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259D" w:rsidRPr="00C6480C" w:rsidP="00C6480C">
      <w:pPr>
        <w:spacing w:after="0" w:line="240" w:lineRule="auto"/>
        <w:rPr>
          <w:rFonts w:eastAsia="Times New Roman" w:cstheme="minorHAnsi"/>
          <w:b/>
          <w:bCs/>
          <w:color w:val="000000" w:themeColor="text1"/>
        </w:rPr>
      </w:pPr>
      <w:r w:rsidRPr="00C6480C">
        <w:rPr>
          <w:rFonts w:eastAsia="Times New Roman" w:cstheme="minorHAnsi"/>
          <w:b/>
          <w:bCs/>
          <w:color w:val="000000" w:themeColor="text1"/>
        </w:rPr>
        <w:t>Written evidence submitted by</w:t>
      </w:r>
      <w:r w:rsidRPr="00C6480C" w:rsidR="00C6480C">
        <w:rPr>
          <w:rFonts w:eastAsia="Times New Roman" w:cstheme="minorHAnsi"/>
          <w:b/>
          <w:bCs/>
          <w:color w:val="000000" w:themeColor="text1"/>
        </w:rPr>
        <w:t xml:space="preserve"> </w:t>
      </w:r>
      <w:r w:rsidRPr="00C6480C">
        <w:rPr>
          <w:rFonts w:eastAsia="Times New Roman" w:cstheme="minorHAnsi"/>
          <w:b/>
          <w:bCs/>
          <w:color w:val="000000" w:themeColor="text1"/>
        </w:rPr>
        <w:t>Greater Manchester Police and Greater Manchester Combined Authority</w:t>
      </w:r>
      <w:r w:rsidRPr="00C6480C" w:rsidR="00C6480C">
        <w:rPr>
          <w:rFonts w:eastAsia="Times New Roman" w:cstheme="minorHAnsi"/>
          <w:b/>
          <w:bCs/>
          <w:color w:val="000000" w:themeColor="text1"/>
        </w:rPr>
        <w:t>, Programme Challenger Partnership</w:t>
      </w:r>
      <w:r w:rsidRPr="00C6480C">
        <w:rPr>
          <w:rFonts w:eastAsia="Times New Roman" w:cstheme="minorHAnsi"/>
          <w:b/>
          <w:bCs/>
          <w:color w:val="000000" w:themeColor="text1"/>
        </w:rPr>
        <w:t xml:space="preserve"> (SOC0027)</w:t>
      </w:r>
    </w:p>
    <w:p w:rsidR="00BC259D" w:rsidRPr="00C6480C" w:rsidP="0006235E">
      <w:pPr>
        <w:spacing w:after="0" w:line="240" w:lineRule="auto"/>
        <w:rPr>
          <w:rFonts w:eastAsia="Times New Roman" w:cstheme="minorHAnsi"/>
          <w:b/>
          <w:bCs/>
          <w:color w:val="000000" w:themeColor="text1"/>
        </w:rPr>
      </w:pP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Greater Manchester’s devolved position provides co-</w:t>
      </w:r>
      <w:r w:rsidRPr="00C6480C">
        <w:rPr>
          <w:rFonts w:eastAsia="Times New Roman" w:cstheme="minorHAnsi"/>
          <w:color w:val="000000" w:themeColor="text1"/>
        </w:rPr>
        <w:t>terminosity</w:t>
      </w:r>
      <w:r w:rsidRPr="00C6480C">
        <w:rPr>
          <w:rFonts w:eastAsia="Times New Roman" w:cstheme="minorHAnsi"/>
          <w:color w:val="000000" w:themeColor="text1"/>
        </w:rPr>
        <w:t xml:space="preserve"> across policing and local authority boundaries, enabling strong foundations to activate partnership activity to tackle SOC at all levels.  The </w:t>
      </w:r>
      <w:r w:rsidRPr="00C6480C">
        <w:rPr>
          <w:rFonts w:eastAsia="Times New Roman" w:cstheme="minorHAnsi"/>
          <w:color w:val="000000" w:themeColor="text1"/>
        </w:rPr>
        <w:t>Mayor’s</w:t>
      </w:r>
      <w:r w:rsidRPr="00C6480C">
        <w:rPr>
          <w:rFonts w:eastAsia="Times New Roman" w:cstheme="minorHAnsi"/>
          <w:color w:val="000000" w:themeColor="text1"/>
        </w:rPr>
        <w:t xml:space="preserve"> devolved responsibilities provide the ability to access, influence and collaborate across a range of functions that directly speak to the manifestation of SOC in local communities to develop shared, innovative responses to it.</w:t>
      </w:r>
    </w:p>
    <w:p w:rsidR="00BC259D" w:rsidRPr="00C6480C" w:rsidP="0006235E">
      <w:pPr>
        <w:spacing w:after="0" w:line="240" w:lineRule="auto"/>
        <w:rPr>
          <w:rFonts w:eastAsia="Times New Roman" w:cstheme="minorHAnsi"/>
          <w:b/>
          <w:bCs/>
          <w:color w:val="000000" w:themeColor="text1"/>
        </w:rPr>
      </w:pPr>
    </w:p>
    <w:p w:rsidR="00BC259D" w:rsidRPr="00C6480C" w:rsidP="0006235E">
      <w:pPr>
        <w:spacing w:after="0" w:line="240" w:lineRule="auto"/>
        <w:rPr>
          <w:rFonts w:eastAsia="Times New Roman" w:cstheme="minorHAnsi"/>
          <w:b/>
          <w:bCs/>
          <w:color w:val="000000" w:themeColor="text1"/>
        </w:rPr>
      </w:pPr>
      <w:r w:rsidRPr="00C6480C">
        <w:rPr>
          <w:rFonts w:eastAsia="Times New Roman" w:cstheme="minorHAnsi"/>
          <w:b/>
          <w:bCs/>
          <w:color w:val="000000" w:themeColor="text1"/>
        </w:rPr>
        <w:t xml:space="preserve">Programme Challenger: Greater Manchester’s Partnership response to serious and </w:t>
      </w:r>
      <w:r w:rsidRPr="00C6480C">
        <w:rPr>
          <w:rFonts w:eastAsia="Times New Roman" w:cstheme="minorHAnsi"/>
          <w:b/>
          <w:bCs/>
          <w:color w:val="000000" w:themeColor="text1"/>
        </w:rPr>
        <w:t>organised</w:t>
      </w:r>
      <w:r w:rsidRPr="00C6480C">
        <w:rPr>
          <w:rFonts w:eastAsia="Times New Roman" w:cstheme="minorHAnsi"/>
          <w:b/>
          <w:bCs/>
          <w:color w:val="000000" w:themeColor="text1"/>
        </w:rPr>
        <w:t xml:space="preserve"> crime</w:t>
      </w: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Programme Challenger was established in 2012, following the murder of two serving GMP officers, Nicola Hughes and Fiona Bone, by a member of an </w:t>
      </w:r>
      <w:r w:rsidRPr="00C6480C">
        <w:rPr>
          <w:rFonts w:eastAsia="Times New Roman" w:cstheme="minorHAnsi"/>
          <w:color w:val="000000" w:themeColor="text1"/>
        </w:rPr>
        <w:t>organised</w:t>
      </w:r>
      <w:r w:rsidRPr="00C6480C">
        <w:rPr>
          <w:rFonts w:eastAsia="Times New Roman" w:cstheme="minorHAnsi"/>
          <w:color w:val="000000" w:themeColor="text1"/>
        </w:rPr>
        <w:t xml:space="preserve"> crime group.  As a result of this incident, Greater Manchester committed to ensuring that the appropriate mechanisms and partnerships were in place to prevent a repetition of this event, and to place Greater Manchester in the strongest possible position to tackle SOC collectively. </w:t>
      </w: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Programme Challenger is jointly led by GMCA and GMP, drawing in a range of partners across multiple functions, including housing, criminal justice, voluntary, community and faith sector, private sector and local authorities.  Challenger operates under a city-region wide strategy to deliver on the 4Ps – Prepare, Prevent, Pursue and Protect.  The work is led by an Executive Board, with a city-region wide Partnership meeting underneath this bringing together a range of local, city-region and national partners </w:t>
      </w:r>
      <w:r w:rsidRPr="00C6480C">
        <w:rPr>
          <w:rFonts w:eastAsia="Times New Roman" w:cstheme="minorHAnsi"/>
          <w:color w:val="000000" w:themeColor="text1"/>
        </w:rPr>
        <w:t>to share good practice.  This is being further developed to enable direct connection to local Challenger Partnerships and will seek to address key themes, challenges and innovative tactics being developed out of responses to local SOC problem profiles. This will support improvements in understanding the SOC threats faced, and potential options to apply 4P responses in a problem-solving context. There is a collective and shared direction of travel through the Challenger Strategy, which feeds directly into th</w:t>
      </w:r>
      <w:r w:rsidRPr="00C6480C">
        <w:rPr>
          <w:rFonts w:eastAsia="Times New Roman" w:cstheme="minorHAnsi"/>
          <w:color w:val="000000" w:themeColor="text1"/>
        </w:rPr>
        <w:t>e Greater Manchester Police and Crime Plan, Standing Together, which includes SOC as a priority for the city-region.</w:t>
      </w: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Local Challenger Partnerships are being redeveloped with a view to not only </w:t>
      </w:r>
      <w:r w:rsidRPr="00C6480C">
        <w:rPr>
          <w:rFonts w:eastAsia="Times New Roman" w:cstheme="minorHAnsi"/>
          <w:color w:val="000000" w:themeColor="text1"/>
        </w:rPr>
        <w:t>tackle</w:t>
      </w:r>
      <w:r w:rsidRPr="00C6480C">
        <w:rPr>
          <w:rFonts w:eastAsia="Times New Roman" w:cstheme="minorHAnsi"/>
          <w:color w:val="000000" w:themeColor="text1"/>
        </w:rPr>
        <w:t xml:space="preserve"> SOC that affects local communities, but to support in transforming the conditions that contribute to SOC manifesting locally.  This follows new national guidance published in February 2025 regarding SOC Problem Profiles, and 4P plans (Prepare, Prevent, Pursue, Protect) provide clearer guidelines on the role of partners in contributing to these police led products.  Beneath these sit individual operational groups for specific threats. Further work is underway to ensure there is full city-region covera</w:t>
      </w:r>
      <w:r w:rsidRPr="00C6480C">
        <w:rPr>
          <w:rFonts w:eastAsia="Times New Roman" w:cstheme="minorHAnsi"/>
          <w:color w:val="000000" w:themeColor="text1"/>
        </w:rPr>
        <w:t>ge.</w:t>
      </w: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The city region has a well-developed policing and partnership response to SOC.  From 2014 – 2024, Challenger provided a multi-agency, co-located partnership approach through central coordination units.  These, based in GMP premises, brought together a range of skills and expertise to develop the capacity and capability of police and partners in identifying and responding to key SOC threats.  The County Lines Team was added in 2022/23</w:t>
      </w: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The coordination functions were stood down in 2023/24, but elements of capability building remain, delivering continuing professional development (CPD) to provide specialist advice and </w:t>
      </w:r>
      <w:r w:rsidRPr="00C6480C">
        <w:rPr>
          <w:rFonts w:eastAsia="Times New Roman" w:cstheme="minorHAnsi"/>
          <w:color w:val="000000" w:themeColor="text1"/>
        </w:rPr>
        <w:t>tactics and</w:t>
      </w:r>
      <w:r w:rsidRPr="00C6480C">
        <w:rPr>
          <w:rFonts w:eastAsia="Times New Roman" w:cstheme="minorHAnsi"/>
          <w:color w:val="000000" w:themeColor="text1"/>
        </w:rPr>
        <w:t xml:space="preserve"> for new and emerging threats such as </w:t>
      </w:r>
      <w:r w:rsidRPr="00C6480C">
        <w:rPr>
          <w:rFonts w:eastAsia="Times New Roman" w:cstheme="minorHAnsi"/>
          <w:color w:val="000000" w:themeColor="text1"/>
        </w:rPr>
        <w:t>organised</w:t>
      </w:r>
      <w:r w:rsidRPr="00C6480C">
        <w:rPr>
          <w:rFonts w:eastAsia="Times New Roman" w:cstheme="minorHAnsi"/>
          <w:color w:val="000000" w:themeColor="text1"/>
        </w:rPr>
        <w:t xml:space="preserve"> immigration crime.  The GMP response to SOC has dedicated syndicates tackling modern slavery and </w:t>
      </w:r>
      <w:r w:rsidRPr="00C6480C">
        <w:rPr>
          <w:rFonts w:eastAsia="Times New Roman" w:cstheme="minorHAnsi"/>
          <w:color w:val="000000" w:themeColor="text1"/>
        </w:rPr>
        <w:t>organised</w:t>
      </w:r>
      <w:r w:rsidRPr="00C6480C">
        <w:rPr>
          <w:rFonts w:eastAsia="Times New Roman" w:cstheme="minorHAnsi"/>
          <w:color w:val="000000" w:themeColor="text1"/>
        </w:rPr>
        <w:t xml:space="preserve"> immigration crime; drugs; force critical wanted; county lines; firearms; and covert surveillance. The highest harm SOC threats are dealt with through these syndicates.</w:t>
      </w:r>
    </w:p>
    <w:p w:rsidR="00BC259D" w:rsidRPr="00C6480C" w:rsidP="0006235E">
      <w:pPr>
        <w:spacing w:after="0" w:line="240" w:lineRule="auto"/>
        <w:rPr>
          <w:rFonts w:eastAsia="Times New Roman" w:cstheme="minorHAnsi"/>
          <w:b/>
          <w:bCs/>
          <w:color w:val="000000" w:themeColor="text1"/>
        </w:rPr>
      </w:pP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At a local level, there are dedicated and specialist Challenger teams who will target high harm local SOC threats, with those at the lowest level of harm (Tier 3 and 4) managed through </w:t>
      </w:r>
      <w:r w:rsidRPr="00C6480C">
        <w:rPr>
          <w:rFonts w:eastAsia="Times New Roman" w:cstheme="minorHAnsi"/>
          <w:color w:val="000000" w:themeColor="text1"/>
        </w:rPr>
        <w:t>neighbourhood</w:t>
      </w:r>
      <w:r w:rsidRPr="00C6480C">
        <w:rPr>
          <w:rFonts w:eastAsia="Times New Roman" w:cstheme="minorHAnsi"/>
          <w:color w:val="000000" w:themeColor="text1"/>
        </w:rPr>
        <w:t xml:space="preserve"> teams or the Prevention Branch.  These take a </w:t>
      </w:r>
      <w:r w:rsidRPr="00C6480C">
        <w:rPr>
          <w:rFonts w:eastAsia="Times New Roman" w:cstheme="minorHAnsi"/>
          <w:color w:val="000000" w:themeColor="text1"/>
        </w:rPr>
        <w:t>problem solving</w:t>
      </w:r>
      <w:r w:rsidRPr="00C6480C">
        <w:rPr>
          <w:rFonts w:eastAsia="Times New Roman" w:cstheme="minorHAnsi"/>
          <w:color w:val="000000" w:themeColor="text1"/>
        </w:rPr>
        <w:t xml:space="preserve"> approach to tackling emerging or returning threats.  An effective tasking system enables threats managed at all levels to be escalated, </w:t>
      </w:r>
      <w:r w:rsidRPr="00C6480C">
        <w:rPr>
          <w:rFonts w:eastAsia="Times New Roman" w:cstheme="minorHAnsi"/>
          <w:color w:val="000000" w:themeColor="text1"/>
        </w:rPr>
        <w:t>including to</w:t>
      </w:r>
      <w:r w:rsidRPr="00C6480C">
        <w:rPr>
          <w:rFonts w:eastAsia="Times New Roman" w:cstheme="minorHAnsi"/>
          <w:color w:val="000000" w:themeColor="text1"/>
        </w:rPr>
        <w:t xml:space="preserve"> Regional </w:t>
      </w:r>
      <w:r w:rsidRPr="00C6480C">
        <w:rPr>
          <w:rFonts w:eastAsia="Times New Roman" w:cstheme="minorHAnsi"/>
          <w:color w:val="000000" w:themeColor="text1"/>
        </w:rPr>
        <w:t>Organised</w:t>
      </w:r>
      <w:r w:rsidRPr="00C6480C">
        <w:rPr>
          <w:rFonts w:eastAsia="Times New Roman" w:cstheme="minorHAnsi"/>
          <w:color w:val="000000" w:themeColor="text1"/>
        </w:rPr>
        <w:t xml:space="preserve"> Crime Units and the National Crime Agency, where capacity or capability is not held locally. These functions can </w:t>
      </w:r>
      <w:r w:rsidRPr="00C6480C">
        <w:rPr>
          <w:rFonts w:eastAsia="Times New Roman" w:cstheme="minorHAnsi"/>
          <w:color w:val="000000" w:themeColor="text1"/>
        </w:rPr>
        <w:t>benefit from</w:t>
      </w:r>
      <w:r w:rsidRPr="00C6480C">
        <w:rPr>
          <w:rFonts w:eastAsia="Times New Roman" w:cstheme="minorHAnsi"/>
          <w:color w:val="000000" w:themeColor="text1"/>
        </w:rPr>
        <w:t xml:space="preserve"> local Challenger Partnerships and operational groups in relation to specific tactics and information, as well as appropriate </w:t>
      </w:r>
      <w:r w:rsidRPr="00C6480C">
        <w:rPr>
          <w:rFonts w:eastAsia="Times New Roman" w:cstheme="minorHAnsi"/>
          <w:color w:val="000000" w:themeColor="text1"/>
        </w:rPr>
        <w:t>resource</w:t>
      </w:r>
      <w:r w:rsidRPr="00C6480C">
        <w:rPr>
          <w:rFonts w:eastAsia="Times New Roman" w:cstheme="minorHAnsi"/>
          <w:color w:val="000000" w:themeColor="text1"/>
        </w:rPr>
        <w:t xml:space="preserve"> to addre</w:t>
      </w:r>
      <w:r w:rsidRPr="00C6480C">
        <w:rPr>
          <w:rFonts w:eastAsia="Times New Roman" w:cstheme="minorHAnsi"/>
          <w:color w:val="000000" w:themeColor="text1"/>
        </w:rPr>
        <w:t>ss SOC issues.</w:t>
      </w: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b/>
          <w:bCs/>
          <w:color w:val="000000" w:themeColor="text1"/>
        </w:rPr>
      </w:pPr>
      <w:r w:rsidRPr="00C6480C">
        <w:rPr>
          <w:rFonts w:eastAsia="Times New Roman" w:cstheme="minorHAnsi"/>
          <w:b/>
          <w:bCs/>
          <w:color w:val="000000" w:themeColor="text1"/>
        </w:rPr>
        <w:t>SOC in local communities</w:t>
      </w:r>
    </w:p>
    <w:p w:rsidR="00BC259D" w:rsidRPr="00C6480C" w:rsidP="0006235E">
      <w:pPr>
        <w:rPr>
          <w:rFonts w:cstheme="minorHAnsi"/>
          <w:color w:val="000000" w:themeColor="text1"/>
        </w:rPr>
      </w:pPr>
      <w:r w:rsidRPr="00C6480C">
        <w:rPr>
          <w:rFonts w:cstheme="minorHAnsi"/>
          <w:color w:val="000000" w:themeColor="text1"/>
        </w:rPr>
        <w:t xml:space="preserve">Greater Manchester residents identified serious and </w:t>
      </w:r>
      <w:r w:rsidRPr="00C6480C">
        <w:rPr>
          <w:rFonts w:cstheme="minorHAnsi"/>
          <w:color w:val="000000" w:themeColor="text1"/>
        </w:rPr>
        <w:t>organised</w:t>
      </w:r>
      <w:r w:rsidRPr="00C6480C">
        <w:rPr>
          <w:rFonts w:cstheme="minorHAnsi"/>
          <w:color w:val="000000" w:themeColor="text1"/>
        </w:rPr>
        <w:t xml:space="preserve"> crime as the third highest priority for Greater Manchester Police and partners to tackle in our consultation for the city-region’s Standing Together: Police and Crime Plan (2025).  Residents are impacted by SOC </w:t>
      </w:r>
      <w:r w:rsidRPr="00C6480C">
        <w:rPr>
          <w:rFonts w:cstheme="minorHAnsi"/>
          <w:color w:val="000000" w:themeColor="text1"/>
        </w:rPr>
        <w:t>on a daily basis</w:t>
      </w:r>
      <w:r w:rsidRPr="00C6480C">
        <w:rPr>
          <w:rFonts w:cstheme="minorHAnsi"/>
          <w:color w:val="000000" w:themeColor="text1"/>
        </w:rPr>
        <w:t xml:space="preserve">. However, the Greater Manchester Community Safety survey also tells us that only 51% of residents feel that SOC is dealt with effectively.  </w:t>
      </w:r>
    </w:p>
    <w:p w:rsidR="00BC259D" w:rsidRPr="00C6480C" w:rsidP="0006235E">
      <w:pPr>
        <w:rPr>
          <w:rFonts w:cstheme="minorHAnsi"/>
          <w:color w:val="000000" w:themeColor="text1"/>
        </w:rPr>
      </w:pPr>
      <w:r w:rsidRPr="00C6480C">
        <w:rPr>
          <w:rFonts w:cstheme="minorHAnsi"/>
          <w:color w:val="000000" w:themeColor="text1"/>
        </w:rPr>
        <w:t>Salford Challenger partnership has highlighted impacts of SOC on local communities such as:</w:t>
      </w:r>
    </w:p>
    <w:p w:rsidR="00BC259D" w:rsidRPr="00C6480C" w:rsidP="0006235E">
      <w:pPr>
        <w:pStyle w:val="ListParagraph"/>
        <w:numPr>
          <w:ilvl w:val="0"/>
          <w:numId w:val="22"/>
        </w:numPr>
        <w:rPr>
          <w:rFonts w:cstheme="minorHAnsi"/>
          <w:color w:val="000000" w:themeColor="text1"/>
          <w:lang w:val="en-GB"/>
        </w:rPr>
      </w:pPr>
      <w:r w:rsidRPr="00C6480C">
        <w:rPr>
          <w:rFonts w:cstheme="minorHAnsi"/>
          <w:color w:val="000000" w:themeColor="text1"/>
        </w:rPr>
        <w:t xml:space="preserve">Eroding </w:t>
      </w:r>
      <w:r w:rsidRPr="00C6480C">
        <w:rPr>
          <w:rFonts w:cstheme="minorHAnsi"/>
          <w:color w:val="000000" w:themeColor="text1"/>
        </w:rPr>
        <w:t>neighbourhood</w:t>
      </w:r>
      <w:r w:rsidRPr="00C6480C">
        <w:rPr>
          <w:rFonts w:cstheme="minorHAnsi"/>
          <w:color w:val="000000" w:themeColor="text1"/>
        </w:rPr>
        <w:t xml:space="preserve"> environments through </w:t>
      </w:r>
      <w:r w:rsidRPr="00C6480C">
        <w:rPr>
          <w:rFonts w:cstheme="minorHAnsi"/>
          <w:color w:val="000000" w:themeColor="text1"/>
          <w:lang w:val="en-GB"/>
        </w:rPr>
        <w:t xml:space="preserve">associated antisocial behaviour, unsafe premises, and increased footfall from criminal consumers affecting the look, feel, and reputation of an area, which also impacts on local economies and </w:t>
      </w:r>
      <w:r w:rsidRPr="00C6480C">
        <w:rPr>
          <w:rFonts w:cstheme="minorHAnsi"/>
          <w:color w:val="000000" w:themeColor="text1"/>
          <w:lang w:val="en-GB"/>
        </w:rPr>
        <w:t>businesses;</w:t>
      </w:r>
      <w:r w:rsidRPr="00C6480C">
        <w:rPr>
          <w:rFonts w:cstheme="minorHAnsi"/>
          <w:color w:val="000000" w:themeColor="text1"/>
          <w:lang w:val="en-GB"/>
        </w:rPr>
        <w:t xml:space="preserve"> </w:t>
      </w:r>
    </w:p>
    <w:p w:rsidR="00BC259D" w:rsidRPr="00C6480C" w:rsidP="0006235E">
      <w:pPr>
        <w:pStyle w:val="ListParagraph"/>
        <w:numPr>
          <w:ilvl w:val="0"/>
          <w:numId w:val="22"/>
        </w:numPr>
        <w:rPr>
          <w:rFonts w:cstheme="minorHAnsi"/>
          <w:color w:val="000000" w:themeColor="text1"/>
        </w:rPr>
      </w:pPr>
      <w:r w:rsidRPr="00C6480C">
        <w:rPr>
          <w:rFonts w:cstheme="minorHAnsi"/>
          <w:color w:val="000000" w:themeColor="text1"/>
          <w:lang w:val="en-GB"/>
        </w:rPr>
        <w:t xml:space="preserve">Undermining community safety and cohesion, with SOC-related activities such as illicit goods, and </w:t>
      </w:r>
      <w:r w:rsidRPr="00C6480C">
        <w:rPr>
          <w:rFonts w:cstheme="minorHAnsi"/>
          <w:color w:val="000000" w:themeColor="text1"/>
        </w:rPr>
        <w:t>exploitation creating fear, reducing feelings of safety, and weakening trust in local services.</w:t>
      </w:r>
    </w:p>
    <w:p w:rsidR="00BC259D" w:rsidRPr="00C6480C" w:rsidP="0006235E">
      <w:pPr>
        <w:pStyle w:val="ListParagraph"/>
        <w:numPr>
          <w:ilvl w:val="0"/>
          <w:numId w:val="22"/>
        </w:numPr>
        <w:rPr>
          <w:rFonts w:cstheme="minorHAnsi"/>
          <w:color w:val="000000" w:themeColor="text1"/>
          <w:lang w:val="en-GB"/>
        </w:rPr>
      </w:pPr>
      <w:r w:rsidRPr="00C6480C">
        <w:rPr>
          <w:rFonts w:cstheme="minorHAnsi"/>
          <w:color w:val="000000" w:themeColor="text1"/>
        </w:rPr>
        <w:t xml:space="preserve">Local SOC activity funding wider </w:t>
      </w:r>
      <w:r w:rsidRPr="00C6480C">
        <w:rPr>
          <w:rFonts w:cstheme="minorHAnsi"/>
          <w:color w:val="000000" w:themeColor="text1"/>
        </w:rPr>
        <w:t>organised</w:t>
      </w:r>
      <w:r w:rsidRPr="00C6480C">
        <w:rPr>
          <w:rFonts w:cstheme="minorHAnsi"/>
          <w:color w:val="000000" w:themeColor="text1"/>
        </w:rPr>
        <w:t xml:space="preserve"> crime networks, with profits often linked directly to other SOC threats such as money </w:t>
      </w:r>
      <w:r w:rsidRPr="00C6480C">
        <w:rPr>
          <w:rFonts w:cstheme="minorHAnsi"/>
          <w:color w:val="000000" w:themeColor="text1"/>
        </w:rPr>
        <w:t>launderin</w:t>
      </w:r>
      <w:r w:rsidRPr="00C6480C">
        <w:rPr>
          <w:rFonts w:cstheme="minorHAnsi"/>
          <w:color w:val="000000" w:themeColor="text1"/>
          <w:lang w:val="en-GB"/>
        </w:rPr>
        <w:t>g.</w:t>
      </w:r>
    </w:p>
    <w:p w:rsidR="00BC259D" w:rsidRPr="00C6480C" w:rsidP="0006235E">
      <w:pPr>
        <w:rPr>
          <w:rFonts w:cstheme="minorHAnsi"/>
          <w:color w:val="000000" w:themeColor="text1"/>
        </w:rPr>
      </w:pPr>
      <w:r w:rsidRPr="00C6480C">
        <w:rPr>
          <w:rFonts w:cstheme="minorHAnsi"/>
          <w:color w:val="000000" w:themeColor="text1"/>
        </w:rPr>
        <w:t xml:space="preserve">Responding to the problem of SOC is not solely the responsibility of police and the criminal justice system; it requires collaboration with </w:t>
      </w:r>
      <w:r w:rsidRPr="00C6480C">
        <w:rPr>
          <w:rFonts w:cstheme="minorHAnsi"/>
          <w:color w:val="000000" w:themeColor="text1"/>
        </w:rPr>
        <w:t>organisations</w:t>
      </w:r>
      <w:r w:rsidRPr="00C6480C">
        <w:rPr>
          <w:rFonts w:cstheme="minorHAnsi"/>
          <w:color w:val="000000" w:themeColor="text1"/>
        </w:rPr>
        <w:t xml:space="preserve"> from all sectors and affected communities.  Programme Challenger and the city-region’s history of working in partnership enables this system-wide collaboration across Greater Manchester and with regional and national partners to effectively tackle the threat of serious and </w:t>
      </w:r>
      <w:r w:rsidRPr="00C6480C">
        <w:rPr>
          <w:rFonts w:cstheme="minorHAnsi"/>
          <w:color w:val="000000" w:themeColor="text1"/>
        </w:rPr>
        <w:t>organised</w:t>
      </w:r>
      <w:r w:rsidRPr="00C6480C">
        <w:rPr>
          <w:rFonts w:cstheme="minorHAnsi"/>
          <w:color w:val="000000" w:themeColor="text1"/>
        </w:rPr>
        <w:t xml:space="preserve"> crime.</w:t>
      </w:r>
    </w:p>
    <w:p w:rsidR="00BC259D" w:rsidRPr="00C6480C" w:rsidP="0006235E">
      <w:pPr>
        <w:rPr>
          <w:rFonts w:cstheme="minorHAnsi"/>
          <w:color w:val="000000" w:themeColor="text1"/>
        </w:rPr>
      </w:pPr>
      <w:r w:rsidRPr="00C6480C">
        <w:rPr>
          <w:rFonts w:cstheme="minorHAnsi"/>
          <w:color w:val="000000" w:themeColor="text1"/>
        </w:rPr>
        <w:t xml:space="preserve">Challenger, via GMP’s Force Intelligence Bureau and GMCA’s Research and Data team, are currently conducting research into the nature of SOC in communities and the extent to which SOC drives criminality.  This comprises an initial data analysis element exploring the nature of criminality committed by all individuals mapped as a SOC threat and where this criminality is taking place.  It will also explore individual histories, creating case studies looking at different types of </w:t>
      </w:r>
      <w:r w:rsidRPr="00C6480C">
        <w:rPr>
          <w:rFonts w:cstheme="minorHAnsi"/>
          <w:color w:val="000000" w:themeColor="text1"/>
        </w:rPr>
        <w:t>organised</w:t>
      </w:r>
      <w:r w:rsidRPr="00C6480C">
        <w:rPr>
          <w:rFonts w:cstheme="minorHAnsi"/>
          <w:color w:val="000000" w:themeColor="text1"/>
        </w:rPr>
        <w:t xml:space="preserve"> crime groups and those mapped as priority individuals.  </w:t>
      </w:r>
    </w:p>
    <w:p w:rsidR="00BC259D" w:rsidRPr="00C6480C" w:rsidP="0006235E">
      <w:pPr>
        <w:rPr>
          <w:rFonts w:cstheme="minorHAnsi"/>
          <w:color w:val="000000" w:themeColor="text1"/>
        </w:rPr>
      </w:pPr>
      <w:r w:rsidRPr="00C6480C">
        <w:rPr>
          <w:rFonts w:cstheme="minorHAnsi"/>
          <w:color w:val="000000" w:themeColor="text1"/>
        </w:rPr>
        <w:t>The second phase of this work will involve qualitative research in local communities.  This will seek to further explore the experiences and perceptions of residents to build a picture of the way SOC manifests in their local area, and the reasons why it is both felt to be a priority area and the ways in which it could be more effectively addressed.</w:t>
      </w:r>
    </w:p>
    <w:p w:rsidR="00BC259D" w:rsidRPr="00C6480C" w:rsidP="0006235E">
      <w:pPr>
        <w:rPr>
          <w:rFonts w:cstheme="minorHAnsi"/>
          <w:color w:val="000000" w:themeColor="text1"/>
        </w:rPr>
      </w:pPr>
      <w:r w:rsidRPr="00C6480C">
        <w:rPr>
          <w:rFonts w:cstheme="minorHAnsi"/>
          <w:color w:val="000000" w:themeColor="text1"/>
        </w:rPr>
        <w:t xml:space="preserve">This analysis will provide a stronger understanding across the city-region of the ways in which SOC drives </w:t>
      </w:r>
      <w:r w:rsidRPr="00C6480C">
        <w:rPr>
          <w:rFonts w:cstheme="minorHAnsi"/>
          <w:color w:val="000000" w:themeColor="text1"/>
        </w:rPr>
        <w:t>neighbourhood</w:t>
      </w:r>
      <w:r w:rsidRPr="00C6480C">
        <w:rPr>
          <w:rFonts w:cstheme="minorHAnsi"/>
          <w:color w:val="000000" w:themeColor="text1"/>
        </w:rPr>
        <w:t xml:space="preserve"> crime specifically, but other criminality as well, and provide an insight for Challenger governance to better plan a shared response under Prepare, Prevent and Protect in particular.</w:t>
      </w:r>
    </w:p>
    <w:p w:rsidR="00BC259D" w:rsidRPr="00C6480C" w:rsidP="0006235E">
      <w:pPr>
        <w:rPr>
          <w:rFonts w:cstheme="minorHAnsi"/>
          <w:color w:val="000000" w:themeColor="text1"/>
          <w:lang w:val="en-GB"/>
        </w:rPr>
      </w:pPr>
    </w:p>
    <w:p w:rsidR="00C6480C" w:rsidP="0006235E">
      <w:pPr>
        <w:rPr>
          <w:rFonts w:cstheme="minorHAnsi"/>
          <w:b/>
          <w:bCs/>
          <w:color w:val="000000" w:themeColor="text1"/>
        </w:rPr>
      </w:pPr>
    </w:p>
    <w:p w:rsidR="00C6480C" w:rsidP="0006235E">
      <w:pPr>
        <w:rPr>
          <w:rFonts w:cstheme="minorHAnsi"/>
          <w:b/>
          <w:bCs/>
          <w:color w:val="000000" w:themeColor="text1"/>
        </w:rPr>
      </w:pPr>
    </w:p>
    <w:p w:rsidR="00BC259D" w:rsidRPr="00C6480C" w:rsidP="0006235E">
      <w:pPr>
        <w:rPr>
          <w:rFonts w:cstheme="minorHAnsi"/>
          <w:b/>
          <w:bCs/>
          <w:color w:val="000000" w:themeColor="text1"/>
        </w:rPr>
      </w:pPr>
      <w:r w:rsidRPr="00C6480C">
        <w:rPr>
          <w:rFonts w:cstheme="minorHAnsi"/>
          <w:b/>
          <w:bCs/>
          <w:color w:val="000000" w:themeColor="text1"/>
        </w:rPr>
        <w:t>Neighbourhood</w:t>
      </w:r>
      <w:r w:rsidRPr="00C6480C">
        <w:rPr>
          <w:rFonts w:cstheme="minorHAnsi"/>
          <w:b/>
          <w:bCs/>
          <w:color w:val="000000" w:themeColor="text1"/>
        </w:rPr>
        <w:t xml:space="preserve"> </w:t>
      </w:r>
      <w:r w:rsidRPr="00C6480C">
        <w:rPr>
          <w:rFonts w:cstheme="minorHAnsi"/>
          <w:b/>
          <w:bCs/>
          <w:color w:val="000000" w:themeColor="text1"/>
        </w:rPr>
        <w:t>policing</w:t>
      </w:r>
      <w:r w:rsidRPr="00C6480C">
        <w:rPr>
          <w:rFonts w:cstheme="minorHAnsi"/>
          <w:b/>
          <w:bCs/>
          <w:color w:val="000000" w:themeColor="text1"/>
        </w:rPr>
        <w:t xml:space="preserve"> and SOC</w:t>
      </w:r>
    </w:p>
    <w:p w:rsidR="00BC259D" w:rsidRPr="00C6480C" w:rsidP="0006235E">
      <w:pPr>
        <w:rPr>
          <w:rFonts w:cstheme="minorHAnsi"/>
          <w:color w:val="000000" w:themeColor="text1"/>
        </w:rPr>
      </w:pPr>
      <w:r w:rsidRPr="00C6480C">
        <w:rPr>
          <w:rFonts w:cstheme="minorHAnsi"/>
          <w:color w:val="000000" w:themeColor="text1"/>
        </w:rPr>
        <w:t xml:space="preserve">GMP have implemented a large-scale continuing Professional Development </w:t>
      </w:r>
      <w:r w:rsidRPr="00C6480C">
        <w:rPr>
          <w:rFonts w:cstheme="minorHAnsi"/>
          <w:color w:val="000000" w:themeColor="text1"/>
        </w:rPr>
        <w:t>programme</w:t>
      </w:r>
      <w:r w:rsidRPr="00C6480C">
        <w:rPr>
          <w:rFonts w:cstheme="minorHAnsi"/>
          <w:color w:val="000000" w:themeColor="text1"/>
        </w:rPr>
        <w:t xml:space="preserve"> for </w:t>
      </w:r>
      <w:r w:rsidRPr="00C6480C">
        <w:rPr>
          <w:rFonts w:cstheme="minorHAnsi"/>
          <w:color w:val="000000" w:themeColor="text1"/>
        </w:rPr>
        <w:t>Neighbourhood</w:t>
      </w:r>
      <w:r w:rsidRPr="00C6480C">
        <w:rPr>
          <w:rFonts w:cstheme="minorHAnsi"/>
          <w:color w:val="000000" w:themeColor="text1"/>
        </w:rPr>
        <w:t xml:space="preserve"> Inspectors and Chief Inspectors as Local Responsible Officers (LROs) for SOC.  This is delivered through the Serious and </w:t>
      </w:r>
      <w:r w:rsidRPr="00C6480C">
        <w:rPr>
          <w:rFonts w:cstheme="minorHAnsi"/>
          <w:color w:val="000000" w:themeColor="text1"/>
        </w:rPr>
        <w:t>Organised</w:t>
      </w:r>
      <w:r w:rsidRPr="00C6480C">
        <w:rPr>
          <w:rFonts w:cstheme="minorHAnsi"/>
          <w:color w:val="000000" w:themeColor="text1"/>
        </w:rPr>
        <w:t xml:space="preserve"> Crime Group syndicates (SOCG) function in the Serious Crime Directorate, </w:t>
      </w:r>
      <w:r w:rsidRPr="00C6480C">
        <w:rPr>
          <w:rFonts w:cstheme="minorHAnsi"/>
          <w:color w:val="000000" w:themeColor="text1"/>
        </w:rPr>
        <w:t>utilising</w:t>
      </w:r>
      <w:r w:rsidRPr="00C6480C">
        <w:rPr>
          <w:rFonts w:cstheme="minorHAnsi"/>
          <w:color w:val="000000" w:themeColor="text1"/>
        </w:rPr>
        <w:t xml:space="preserve"> specialist </w:t>
      </w:r>
      <w:r w:rsidRPr="00C6480C">
        <w:rPr>
          <w:rFonts w:cstheme="minorHAnsi"/>
          <w:color w:val="000000" w:themeColor="text1"/>
        </w:rPr>
        <w:t>advice</w:t>
      </w:r>
      <w:r w:rsidRPr="00C6480C">
        <w:rPr>
          <w:rFonts w:cstheme="minorHAnsi"/>
          <w:color w:val="000000" w:themeColor="text1"/>
        </w:rPr>
        <w:t xml:space="preserve"> which is tailored to address skills gaps, complemented by external experts including third sector providers.  The training focusses on issues and challenges raised by </w:t>
      </w:r>
      <w:r w:rsidRPr="00C6480C">
        <w:rPr>
          <w:rFonts w:cstheme="minorHAnsi"/>
          <w:color w:val="000000" w:themeColor="text1"/>
        </w:rPr>
        <w:t>neighbourhood</w:t>
      </w:r>
      <w:r w:rsidRPr="00C6480C">
        <w:rPr>
          <w:rFonts w:cstheme="minorHAnsi"/>
          <w:color w:val="000000" w:themeColor="text1"/>
        </w:rPr>
        <w:t xml:space="preserve"> LROs.  For example, managing investigations linked the importing of dru</w:t>
      </w:r>
      <w:r w:rsidRPr="00C6480C">
        <w:rPr>
          <w:rFonts w:cstheme="minorHAnsi"/>
          <w:color w:val="000000" w:themeColor="text1"/>
        </w:rPr>
        <w:t xml:space="preserve">gs through the postal system (Op Concept). This has been supplemented by Clear, Hold, Build (CHB) Hydra training events delivered to multi-agency groups, jointly delivered by the North-West Regional </w:t>
      </w:r>
      <w:r w:rsidRPr="00C6480C">
        <w:rPr>
          <w:rFonts w:cstheme="minorHAnsi"/>
          <w:color w:val="000000" w:themeColor="text1"/>
        </w:rPr>
        <w:t>Organised</w:t>
      </w:r>
      <w:r w:rsidRPr="00C6480C">
        <w:rPr>
          <w:rFonts w:cstheme="minorHAnsi"/>
          <w:color w:val="000000" w:themeColor="text1"/>
        </w:rPr>
        <w:t xml:space="preserve"> Crime Unit’s SOC Community Coordinator and GMP training staff.</w:t>
      </w:r>
    </w:p>
    <w:p w:rsidR="00BC259D" w:rsidRPr="00C6480C" w:rsidP="0006235E">
      <w:pPr>
        <w:rPr>
          <w:rFonts w:cstheme="minorHAnsi"/>
          <w:color w:val="000000" w:themeColor="text1"/>
        </w:rPr>
      </w:pPr>
      <w:r w:rsidRPr="00C6480C">
        <w:rPr>
          <w:rFonts w:cstheme="minorHAnsi"/>
          <w:color w:val="000000" w:themeColor="text1"/>
        </w:rPr>
        <w:t xml:space="preserve">There are three primary roles that </w:t>
      </w:r>
      <w:r w:rsidRPr="00C6480C">
        <w:rPr>
          <w:rFonts w:cstheme="minorHAnsi"/>
          <w:color w:val="000000" w:themeColor="text1"/>
        </w:rPr>
        <w:t>neighbourhood</w:t>
      </w:r>
      <w:r w:rsidRPr="00C6480C">
        <w:rPr>
          <w:rFonts w:cstheme="minorHAnsi"/>
          <w:color w:val="000000" w:themeColor="text1"/>
        </w:rPr>
        <w:t xml:space="preserve"> policing play in tackling SOC:</w:t>
      </w:r>
    </w:p>
    <w:p w:rsidR="00BC259D" w:rsidRPr="00C6480C" w:rsidP="0006235E">
      <w:pPr>
        <w:pStyle w:val="ListParagraph"/>
        <w:numPr>
          <w:ilvl w:val="2"/>
          <w:numId w:val="21"/>
        </w:numPr>
        <w:rPr>
          <w:rFonts w:cstheme="minorHAnsi"/>
          <w:color w:val="000000" w:themeColor="text1"/>
        </w:rPr>
      </w:pPr>
      <w:r w:rsidRPr="00C6480C">
        <w:rPr>
          <w:rFonts w:cstheme="minorHAnsi"/>
          <w:color w:val="000000" w:themeColor="text1"/>
        </w:rPr>
        <w:t>Identifying potential new threats for mapping</w:t>
      </w:r>
    </w:p>
    <w:p w:rsidR="00BC259D" w:rsidRPr="00C6480C" w:rsidP="0006235E">
      <w:pPr>
        <w:pStyle w:val="ListParagraph"/>
        <w:numPr>
          <w:ilvl w:val="2"/>
          <w:numId w:val="21"/>
        </w:numPr>
        <w:rPr>
          <w:rFonts w:cstheme="minorHAnsi"/>
          <w:color w:val="000000" w:themeColor="text1"/>
        </w:rPr>
      </w:pPr>
      <w:r w:rsidRPr="00C6480C">
        <w:rPr>
          <w:rFonts w:cstheme="minorHAnsi"/>
          <w:color w:val="000000" w:themeColor="text1"/>
        </w:rPr>
        <w:t>Managing mapped tier 3 and 4 SOC threats</w:t>
      </w:r>
    </w:p>
    <w:p w:rsidR="00BC259D" w:rsidRPr="00C6480C" w:rsidP="0006235E">
      <w:pPr>
        <w:pStyle w:val="ListParagraph"/>
        <w:numPr>
          <w:ilvl w:val="2"/>
          <w:numId w:val="21"/>
        </w:numPr>
        <w:rPr>
          <w:rFonts w:cstheme="minorHAnsi"/>
          <w:color w:val="000000" w:themeColor="text1"/>
        </w:rPr>
      </w:pPr>
      <w:r w:rsidRPr="00C6480C">
        <w:rPr>
          <w:rFonts w:cstheme="minorHAnsi"/>
          <w:color w:val="000000" w:themeColor="text1"/>
        </w:rPr>
        <w:t>Engaging locally with partners and the community</w:t>
      </w:r>
    </w:p>
    <w:p w:rsidR="00BC259D" w:rsidRPr="00C6480C" w:rsidP="0006235E">
      <w:pPr>
        <w:rPr>
          <w:rFonts w:cstheme="minorHAnsi"/>
          <w:color w:val="000000" w:themeColor="text1"/>
        </w:rPr>
      </w:pPr>
      <w:r w:rsidRPr="00C6480C">
        <w:rPr>
          <w:rFonts w:cstheme="minorHAnsi"/>
          <w:color w:val="000000" w:themeColor="text1"/>
        </w:rPr>
        <w:t>Neighbourhood</w:t>
      </w:r>
      <w:r w:rsidRPr="00C6480C">
        <w:rPr>
          <w:rFonts w:cstheme="minorHAnsi"/>
          <w:color w:val="000000" w:themeColor="text1"/>
        </w:rPr>
        <w:t xml:space="preserve"> policing face pressures and demands that necessitate a level of understanding of a broad range of threats and issues.  CPD inputs create and maintain a level of knowledge and skills in tackling SOC, but there remains a challenge in ensuring that the required knowledge and expertise are embedded at this level.  There are clear routes of escalation in relation to tasking at a local level when capacity or capability concerns are identified. This can enable a SOC threat to be moved into a specialist Challenger</w:t>
      </w:r>
      <w:r w:rsidRPr="00C6480C">
        <w:rPr>
          <w:rFonts w:cstheme="minorHAnsi"/>
          <w:color w:val="000000" w:themeColor="text1"/>
        </w:rPr>
        <w:t xml:space="preserve"> team or SOCG function, but as most local tasking includes partners, it can also raise the threat into wider </w:t>
      </w:r>
      <w:r w:rsidRPr="00C6480C">
        <w:rPr>
          <w:rFonts w:cstheme="minorHAnsi"/>
          <w:color w:val="000000" w:themeColor="text1"/>
        </w:rPr>
        <w:t>organisations</w:t>
      </w:r>
      <w:r w:rsidRPr="00C6480C">
        <w:rPr>
          <w:rFonts w:cstheme="minorHAnsi"/>
          <w:color w:val="000000" w:themeColor="text1"/>
        </w:rPr>
        <w:t xml:space="preserve">.  This enables the identification of appropriate resources outside of policing to support in tackling the threat.  This operationally focused process complements the partnership governance being re-established to hold the </w:t>
      </w:r>
      <w:r w:rsidRPr="00C6480C">
        <w:rPr>
          <w:rFonts w:cstheme="minorHAnsi"/>
          <w:color w:val="000000" w:themeColor="text1"/>
        </w:rPr>
        <w:t>District</w:t>
      </w:r>
      <w:r w:rsidRPr="00C6480C">
        <w:rPr>
          <w:rFonts w:cstheme="minorHAnsi"/>
          <w:color w:val="000000" w:themeColor="text1"/>
        </w:rPr>
        <w:t xml:space="preserve"> wide threat.</w:t>
      </w:r>
    </w:p>
    <w:p w:rsidR="00BC259D" w:rsidRPr="00C6480C" w:rsidP="0006235E">
      <w:pPr>
        <w:rPr>
          <w:rFonts w:cstheme="minorHAnsi"/>
          <w:color w:val="000000" w:themeColor="text1"/>
        </w:rPr>
      </w:pPr>
      <w:r w:rsidRPr="00C6480C">
        <w:rPr>
          <w:rFonts w:cstheme="minorHAnsi"/>
          <w:color w:val="000000" w:themeColor="text1"/>
        </w:rPr>
        <w:t xml:space="preserve">Local SOC Challenger Partnership meetings will hold and manage the local SOC Problem Profiles and partnership 4P plans and will also be informed by the findings of the city-region research, which has already been outlined.  This will enable a more informed approach when responding to threats identified and improved targeted place-based approaches from partners to complement joint and police led enforcement activity.  Where partnerships are operating effectively to manage this, they have been established as </w:t>
      </w:r>
      <w:r w:rsidRPr="00C6480C">
        <w:rPr>
          <w:rFonts w:cstheme="minorHAnsi"/>
          <w:color w:val="000000" w:themeColor="text1"/>
        </w:rPr>
        <w:t xml:space="preserve">sub-groups of the Community Safety Partnership. This creates a golden thread running from the city-region wide Standing Together Police and Crime Plan into local authority community safety strategies and further into operational activity. This enables strategic oversight across the whole District/local authority area to target resources, and the establishment of operationally focused partnership groups to </w:t>
      </w:r>
      <w:r w:rsidRPr="00C6480C">
        <w:rPr>
          <w:rFonts w:cstheme="minorHAnsi"/>
          <w:color w:val="000000" w:themeColor="text1"/>
        </w:rPr>
        <w:t>convene to</w:t>
      </w:r>
      <w:r w:rsidRPr="00C6480C">
        <w:rPr>
          <w:rFonts w:cstheme="minorHAnsi"/>
          <w:color w:val="000000" w:themeColor="text1"/>
        </w:rPr>
        <w:t xml:space="preserve"> address specific SOC issues or vulnerabilities.  </w:t>
      </w:r>
    </w:p>
    <w:p w:rsidR="00BC259D" w:rsidRPr="00C6480C" w:rsidP="0006235E">
      <w:pPr>
        <w:rPr>
          <w:rFonts w:cstheme="minorHAnsi"/>
          <w:color w:val="000000" w:themeColor="text1"/>
        </w:rPr>
      </w:pPr>
      <w:r w:rsidRPr="00C6480C">
        <w:rPr>
          <w:rFonts w:cstheme="minorHAnsi"/>
          <w:color w:val="000000" w:themeColor="text1"/>
        </w:rPr>
        <w:t xml:space="preserve">For example, Wigan established </w:t>
      </w:r>
      <w:r w:rsidRPr="00C6480C">
        <w:rPr>
          <w:rFonts w:cstheme="minorHAnsi"/>
          <w:b/>
          <w:bCs/>
          <w:color w:val="000000" w:themeColor="text1"/>
        </w:rPr>
        <w:t xml:space="preserve">Op Slope </w:t>
      </w:r>
      <w:r w:rsidRPr="00C6480C">
        <w:rPr>
          <w:rFonts w:cstheme="minorHAnsi"/>
          <w:color w:val="000000" w:themeColor="text1"/>
        </w:rPr>
        <w:t xml:space="preserve">as a vulnerability in relation to a specific area of the </w:t>
      </w:r>
      <w:r w:rsidRPr="00C6480C">
        <w:rPr>
          <w:rFonts w:cstheme="minorHAnsi"/>
          <w:color w:val="000000" w:themeColor="text1"/>
        </w:rPr>
        <w:t>District</w:t>
      </w:r>
      <w:r w:rsidRPr="00C6480C">
        <w:rPr>
          <w:rFonts w:cstheme="minorHAnsi"/>
          <w:color w:val="000000" w:themeColor="text1"/>
        </w:rPr>
        <w:t xml:space="preserve"> that was experiencing </w:t>
      </w:r>
      <w:r w:rsidRPr="00C6480C">
        <w:rPr>
          <w:rFonts w:cstheme="minorHAnsi"/>
          <w:color w:val="000000" w:themeColor="text1"/>
        </w:rPr>
        <w:t>a number of</w:t>
      </w:r>
      <w:r w:rsidRPr="00C6480C">
        <w:rPr>
          <w:rFonts w:cstheme="minorHAnsi"/>
          <w:color w:val="000000" w:themeColor="text1"/>
        </w:rPr>
        <w:t xml:space="preserve"> SOC issues, but where there was no identified </w:t>
      </w:r>
      <w:r w:rsidRPr="00C6480C">
        <w:rPr>
          <w:rFonts w:cstheme="minorHAnsi"/>
          <w:color w:val="000000" w:themeColor="text1"/>
        </w:rPr>
        <w:t>organised</w:t>
      </w:r>
      <w:r w:rsidRPr="00C6480C">
        <w:rPr>
          <w:rFonts w:cstheme="minorHAnsi"/>
          <w:color w:val="000000" w:themeColor="text1"/>
        </w:rPr>
        <w:t xml:space="preserve"> crime group responsible for the issues.  The partnership approach enabled specific information and intelligence to be shared and instigate activity to seek to address this.  This was then reported back into the Wigan Challenger Partnership, where a housing provider then identified that their allocation policy required review to mitigate vulnerab</w:t>
      </w:r>
      <w:r w:rsidRPr="00C6480C">
        <w:rPr>
          <w:rFonts w:cstheme="minorHAnsi"/>
          <w:color w:val="000000" w:themeColor="text1"/>
        </w:rPr>
        <w:t xml:space="preserve">ility and risk. The multi-agency, children’s services led complex safeguarding team also identified potential actions in relation to supported accommodation for care leavers in the area.  </w:t>
      </w:r>
    </w:p>
    <w:p w:rsidR="00BC259D" w:rsidRPr="00C6480C" w:rsidP="0006235E">
      <w:pPr>
        <w:rPr>
          <w:rFonts w:cstheme="minorHAnsi"/>
          <w:color w:val="000000" w:themeColor="text1"/>
          <w:lang w:val="en-GB"/>
        </w:rPr>
      </w:pPr>
      <w:r w:rsidRPr="00C6480C">
        <w:rPr>
          <w:rFonts w:cstheme="minorHAnsi"/>
          <w:color w:val="000000" w:themeColor="text1"/>
        </w:rPr>
        <w:t xml:space="preserve">In Rochdale, </w:t>
      </w:r>
      <w:r w:rsidRPr="00C6480C">
        <w:rPr>
          <w:rFonts w:cstheme="minorHAnsi"/>
          <w:b/>
          <w:bCs/>
          <w:color w:val="000000" w:themeColor="text1"/>
        </w:rPr>
        <w:t>Op Tetbury is</w:t>
      </w:r>
      <w:r w:rsidRPr="00C6480C">
        <w:rPr>
          <w:rFonts w:cstheme="minorHAnsi"/>
          <w:color w:val="000000" w:themeColor="text1"/>
        </w:rPr>
        <w:t xml:space="preserve"> a local authority trading standards led operation that connects into </w:t>
      </w:r>
      <w:r w:rsidRPr="00C6480C">
        <w:rPr>
          <w:rFonts w:cstheme="minorHAnsi"/>
          <w:color w:val="000000" w:themeColor="text1"/>
        </w:rPr>
        <w:t>neighbourhood</w:t>
      </w:r>
      <w:r w:rsidRPr="00C6480C">
        <w:rPr>
          <w:rFonts w:cstheme="minorHAnsi"/>
          <w:color w:val="000000" w:themeColor="text1"/>
        </w:rPr>
        <w:t xml:space="preserve"> policing. It is </w:t>
      </w:r>
      <w:r w:rsidRPr="00C6480C">
        <w:rPr>
          <w:rFonts w:cstheme="minorHAnsi"/>
          <w:color w:val="000000" w:themeColor="text1"/>
          <w:lang w:val="en-GB"/>
        </w:rPr>
        <w:t xml:space="preserve">a multi-agency partnership initiative dedicated to enhancing the safety, appearance, and overall </w:t>
      </w:r>
      <w:r w:rsidRPr="00C6480C">
        <w:rPr>
          <w:rFonts w:cstheme="minorHAnsi"/>
          <w:color w:val="000000" w:themeColor="text1"/>
          <w:lang w:val="en-GB"/>
        </w:rPr>
        <w:t>experience of Drake Street and Yorkshire Street in Rochdale Town Centre. Feedback from residents and partner organisations has highlighted persistent issues in these areas, including crime, anti-social behaviour, the sale of counterfeit goods, fly-tipping, housing regulation breaches, and potential li</w:t>
      </w:r>
      <w:r w:rsidRPr="00C6480C">
        <w:rPr>
          <w:rFonts w:cstheme="minorHAnsi"/>
          <w:color w:val="000000" w:themeColor="text1"/>
          <w:lang w:val="en-GB"/>
        </w:rPr>
        <w:t xml:space="preserve">nks to serious organised crime. Collectively, these issues negatively impact visitor experience to the town centre. </w:t>
      </w:r>
    </w:p>
    <w:p w:rsidR="00BC259D" w:rsidRPr="00C6480C" w:rsidP="0006235E">
      <w:pPr>
        <w:rPr>
          <w:rFonts w:cstheme="minorHAnsi"/>
          <w:color w:val="000000" w:themeColor="text1"/>
          <w:lang w:val="en-GB"/>
        </w:rPr>
      </w:pPr>
      <w:r w:rsidRPr="00C6480C">
        <w:rPr>
          <w:rFonts w:cstheme="minorHAnsi"/>
          <w:color w:val="000000" w:themeColor="text1"/>
          <w:lang w:val="en-GB"/>
        </w:rPr>
        <w:t>It began in January 2025 with the aim to reduce overall crime and anti-social behaviour, increasing the use of enforcement activity and tools within the defined operational area. A working group was established to take a collaborative approach. The group applies clear, hold, build (CHB) methodology to tackle the issues, utilising the full range of enforcement powers and problem-solving tools available across agencies, with the intention of maximising impact and efficiency. The defined area also aligns to th</w:t>
      </w:r>
      <w:r w:rsidRPr="00C6480C">
        <w:rPr>
          <w:rFonts w:cstheme="minorHAnsi"/>
          <w:color w:val="000000" w:themeColor="text1"/>
          <w:lang w:val="en-GB"/>
        </w:rPr>
        <w:t xml:space="preserve">e Town Centre Public Space Protection Order (PSPO) which Rochdale Council introduced. </w:t>
      </w:r>
    </w:p>
    <w:p w:rsidR="00BC259D" w:rsidRPr="00C6480C" w:rsidP="0006235E">
      <w:pPr>
        <w:rPr>
          <w:rFonts w:cstheme="minorHAnsi"/>
          <w:color w:val="000000" w:themeColor="text1"/>
          <w:lang w:val="en-GB"/>
        </w:rPr>
      </w:pPr>
      <w:r w:rsidRPr="00C6480C">
        <w:rPr>
          <w:rFonts w:cstheme="minorHAnsi"/>
          <w:color w:val="000000" w:themeColor="text1"/>
          <w:lang w:val="en-GB"/>
        </w:rPr>
        <w:t>During Op Tetbury’s first year progress has been achieved against the operational objectives, indicating that targeted enforcement, partnership activity, and environmental changes collectively contribute to measurable positive outcomes across crime, harm and ASB, with the operation also receiving the benefits of other efforts such as Safe4Summer initiative. As a result of the work, Rochdale District are exploring the ways in which Trading Standards can feed into the police tasking system to raise locally so</w:t>
      </w:r>
      <w:r w:rsidRPr="00C6480C">
        <w:rPr>
          <w:rFonts w:cstheme="minorHAnsi"/>
          <w:color w:val="000000" w:themeColor="text1"/>
          <w:lang w:val="en-GB"/>
        </w:rPr>
        <w:t>me of the issues they are identifying and mapping as SOC threats.</w:t>
      </w:r>
    </w:p>
    <w:p w:rsidR="00BC259D" w:rsidRPr="00C6480C" w:rsidP="0006235E">
      <w:pPr>
        <w:rPr>
          <w:rFonts w:cstheme="minorHAnsi"/>
          <w:color w:val="000000" w:themeColor="text1"/>
          <w:lang w:val="en-GB"/>
        </w:rPr>
      </w:pPr>
      <w:r w:rsidRPr="00C6480C">
        <w:rPr>
          <w:rFonts w:cstheme="minorHAnsi"/>
          <w:color w:val="000000" w:themeColor="text1"/>
          <w:lang w:val="en-GB"/>
        </w:rPr>
        <w:t>Perception of safety in Central Rochdale has remained volatile, with a clear improvement emerging towards the end of 2025. The focus for year 2 of Op Tetbury is mapping and addressing any non-compliance in premises identified and any relevant disruption work required to achieve this. The intention is long-term prevention of the premises subject to closure orders issued in 2025 falling again into criminal hands.  This will be achieved by engaging with landlords and exploring all options with relevant stakeho</w:t>
      </w:r>
      <w:r w:rsidRPr="00C6480C">
        <w:rPr>
          <w:rFonts w:cstheme="minorHAnsi"/>
          <w:color w:val="000000" w:themeColor="text1"/>
          <w:lang w:val="en-GB"/>
        </w:rPr>
        <w:t>lders to redefine the ownership or use of these properties.   A further area for improvement is the ‘aesthetic regulation’ of these areas utilising section 215 Town and Country Planning Act 1990 (and associated legislation) where the condition of a property is believed to be adversely affecting the amenity of the surrounding area. Work will continue with stakeholders to tackle undesirable behaviour and alleviate the perception of service users in accessing the town centre and the multiple services offered i</w:t>
      </w:r>
      <w:r w:rsidRPr="00C6480C">
        <w:rPr>
          <w:rFonts w:cstheme="minorHAnsi"/>
          <w:color w:val="000000" w:themeColor="text1"/>
          <w:lang w:val="en-GB"/>
        </w:rPr>
        <w:t>n the locality.</w:t>
      </w:r>
    </w:p>
    <w:p w:rsidR="00BC259D" w:rsidRPr="00C6480C" w:rsidP="0006235E">
      <w:pPr>
        <w:rPr>
          <w:rFonts w:cstheme="minorHAnsi"/>
          <w:color w:val="000000" w:themeColor="text1"/>
        </w:rPr>
      </w:pPr>
      <w:r w:rsidRPr="00C6480C">
        <w:rPr>
          <w:rFonts w:cstheme="minorHAnsi"/>
          <w:b/>
          <w:bCs/>
          <w:color w:val="000000" w:themeColor="text1"/>
        </w:rPr>
        <w:t xml:space="preserve">Op Affect, </w:t>
      </w:r>
      <w:r w:rsidRPr="00C6480C">
        <w:rPr>
          <w:rFonts w:cstheme="minorHAnsi"/>
          <w:color w:val="000000" w:themeColor="text1"/>
        </w:rPr>
        <w:t xml:space="preserve">also in Rochdale, is an excellent example of the way in which </w:t>
      </w:r>
      <w:r w:rsidRPr="00C6480C">
        <w:rPr>
          <w:rFonts w:cstheme="minorHAnsi"/>
          <w:color w:val="000000" w:themeColor="text1"/>
        </w:rPr>
        <w:t>neighbourhood</w:t>
      </w:r>
      <w:r w:rsidRPr="00C6480C">
        <w:rPr>
          <w:rFonts w:cstheme="minorHAnsi"/>
          <w:color w:val="000000" w:themeColor="text1"/>
        </w:rPr>
        <w:t xml:space="preserve"> policing directly impact local SOC </w:t>
      </w:r>
      <w:r w:rsidRPr="00C6480C">
        <w:rPr>
          <w:rFonts w:cstheme="minorHAnsi"/>
          <w:color w:val="000000" w:themeColor="text1"/>
        </w:rPr>
        <w:t>utilising</w:t>
      </w:r>
      <w:r w:rsidRPr="00C6480C">
        <w:rPr>
          <w:rFonts w:cstheme="minorHAnsi"/>
          <w:color w:val="000000" w:themeColor="text1"/>
        </w:rPr>
        <w:t xml:space="preserve"> the CHB methodology.  The local </w:t>
      </w:r>
      <w:r w:rsidRPr="00C6480C">
        <w:rPr>
          <w:rFonts w:cstheme="minorHAnsi"/>
          <w:color w:val="000000" w:themeColor="text1"/>
        </w:rPr>
        <w:t>Neighbourhood</w:t>
      </w:r>
      <w:r w:rsidRPr="00C6480C">
        <w:rPr>
          <w:rFonts w:cstheme="minorHAnsi"/>
          <w:color w:val="000000" w:themeColor="text1"/>
        </w:rPr>
        <w:t xml:space="preserve"> Inspector identified an increasing trend in the Freehold area of the Borough regarding a re-emergence of indicators that historic </w:t>
      </w:r>
      <w:r w:rsidRPr="00C6480C">
        <w:rPr>
          <w:rFonts w:cstheme="minorHAnsi"/>
          <w:color w:val="000000" w:themeColor="text1"/>
        </w:rPr>
        <w:t>organised</w:t>
      </w:r>
      <w:r w:rsidRPr="00C6480C">
        <w:rPr>
          <w:rFonts w:cstheme="minorHAnsi"/>
          <w:color w:val="000000" w:themeColor="text1"/>
        </w:rPr>
        <w:t xml:space="preserve"> criminal activity was returning. Two large scale previous operations resulted in the conviction of 18 SOC offenders who were involved in the trafficking of drugs, exploitation of children and vulnerable ad</w:t>
      </w:r>
      <w:r w:rsidRPr="00C6480C">
        <w:rPr>
          <w:rFonts w:cstheme="minorHAnsi"/>
          <w:color w:val="000000" w:themeColor="text1"/>
        </w:rPr>
        <w:t>ults and creation of fear within the local community.  An increase in reports of drug dealing, a resurgence in crime generally, apathy of residents and tolerance of crime was identified, and following engagement with the community and key partners, Op Affect was established.  A key reason for implementing this was the understanding that a pure offender-based approach does not work in the long term, and a more transformational and place-based approach can support in the longer-term eradication of SOC in comm</w:t>
      </w:r>
      <w:r w:rsidRPr="00C6480C">
        <w:rPr>
          <w:rFonts w:cstheme="minorHAnsi"/>
          <w:color w:val="000000" w:themeColor="text1"/>
        </w:rPr>
        <w:t>unities.</w:t>
      </w:r>
    </w:p>
    <w:p w:rsidR="00BC259D" w:rsidRPr="00C6480C" w:rsidP="0006235E">
      <w:pPr>
        <w:rPr>
          <w:rFonts w:cstheme="minorHAnsi"/>
          <w:color w:val="000000" w:themeColor="text1"/>
        </w:rPr>
      </w:pPr>
      <w:r w:rsidRPr="00C6480C">
        <w:rPr>
          <w:rFonts w:cstheme="minorHAnsi"/>
          <w:color w:val="000000" w:themeColor="text1"/>
        </w:rPr>
        <w:t xml:space="preserve">Analysis of available data enabled a comprehensive understanding of the crime issues and concerns regarding SOC, and the North-West Regional </w:t>
      </w:r>
      <w:r w:rsidRPr="00C6480C">
        <w:rPr>
          <w:rFonts w:cstheme="minorHAnsi"/>
          <w:color w:val="000000" w:themeColor="text1"/>
        </w:rPr>
        <w:t>Organised</w:t>
      </w:r>
      <w:r w:rsidRPr="00C6480C">
        <w:rPr>
          <w:rFonts w:cstheme="minorHAnsi"/>
          <w:color w:val="000000" w:themeColor="text1"/>
        </w:rPr>
        <w:t xml:space="preserve"> Crime Unit SOC Community Coordinator was engaged to support implementing the CHB.  Community engagement events were held to fully understand the range of issues faced by the local community and PCSOs were embedded on the estate. During the ‘clear’ stage, an OCG was identified, which was the primary target of policing activity, although a range of criminality was targeted.  Criminal and civil injunctions were </w:t>
      </w:r>
      <w:r w:rsidRPr="00C6480C">
        <w:rPr>
          <w:rFonts w:cstheme="minorHAnsi"/>
          <w:color w:val="000000" w:themeColor="text1"/>
        </w:rPr>
        <w:t>utilised</w:t>
      </w:r>
      <w:r w:rsidRPr="00C6480C">
        <w:rPr>
          <w:rFonts w:cstheme="minorHAnsi"/>
          <w:color w:val="000000" w:themeColor="text1"/>
        </w:rPr>
        <w:t xml:space="preserve"> to </w:t>
      </w:r>
      <w:r w:rsidRPr="00C6480C">
        <w:rPr>
          <w:rFonts w:cstheme="minorHAnsi"/>
          <w:color w:val="000000" w:themeColor="text1"/>
        </w:rPr>
        <w:t>minimise</w:t>
      </w:r>
      <w:r w:rsidRPr="00C6480C">
        <w:rPr>
          <w:rFonts w:cstheme="minorHAnsi"/>
          <w:color w:val="000000" w:themeColor="text1"/>
        </w:rPr>
        <w:t xml:space="preserve"> opportunities for criminality to return, including the first </w:t>
      </w:r>
      <w:r w:rsidRPr="00C6480C">
        <w:rPr>
          <w:rFonts w:cstheme="minorHAnsi"/>
          <w:color w:val="000000" w:themeColor="text1"/>
        </w:rPr>
        <w:t>use in t</w:t>
      </w:r>
      <w:r w:rsidRPr="00C6480C">
        <w:rPr>
          <w:rFonts w:cstheme="minorHAnsi"/>
          <w:color w:val="000000" w:themeColor="text1"/>
        </w:rPr>
        <w:t xml:space="preserve">he city-region of an open space closure order.  This applied to the whole estate and closed off all communal areas to non-residents.  The impact was immediate, dramatically reducing crime and anti-social </w:t>
      </w:r>
      <w:r w:rsidRPr="00C6480C">
        <w:rPr>
          <w:rFonts w:cstheme="minorHAnsi"/>
          <w:color w:val="000000" w:themeColor="text1"/>
        </w:rPr>
        <w:t>behaviour</w:t>
      </w:r>
      <w:r w:rsidRPr="00C6480C">
        <w:rPr>
          <w:rFonts w:cstheme="minorHAnsi"/>
          <w:color w:val="000000" w:themeColor="text1"/>
        </w:rPr>
        <w:t xml:space="preserve"> and improving the wellbeing of those who live on the estate. The ‘hold’ phase was </w:t>
      </w:r>
      <w:r w:rsidRPr="00C6480C">
        <w:rPr>
          <w:rFonts w:cstheme="minorHAnsi"/>
          <w:color w:val="000000" w:themeColor="text1"/>
        </w:rPr>
        <w:t>characterised</w:t>
      </w:r>
      <w:r w:rsidRPr="00C6480C">
        <w:rPr>
          <w:rFonts w:cstheme="minorHAnsi"/>
          <w:color w:val="000000" w:themeColor="text1"/>
        </w:rPr>
        <w:t xml:space="preserve"> by continued community engagement, with the involvement of the local VCFSE umbrella </w:t>
      </w:r>
      <w:r w:rsidRPr="00C6480C">
        <w:rPr>
          <w:rFonts w:cstheme="minorHAnsi"/>
          <w:color w:val="000000" w:themeColor="text1"/>
        </w:rPr>
        <w:t>organisation</w:t>
      </w:r>
      <w:r w:rsidRPr="00C6480C">
        <w:rPr>
          <w:rFonts w:cstheme="minorHAnsi"/>
          <w:color w:val="000000" w:themeColor="text1"/>
        </w:rPr>
        <w:t xml:space="preserve"> and key community groups, along with Rochdale Boroughwide Housing (as owner of the land and estate).  In </w:t>
      </w:r>
      <w:r w:rsidRPr="00C6480C">
        <w:rPr>
          <w:rFonts w:cstheme="minorHAnsi"/>
          <w:color w:val="000000" w:themeColor="text1"/>
        </w:rPr>
        <w:t xml:space="preserve">relation to the Build aspect of Op Affect, a financial commitment has been made by Rochdale Boroughwide Housing to re-design and uplift the outside of the properties and redesign stairwells.  Other partners are delivering employment workshops and exploring novel service user interventions and treatment plans.  Consideration has also been given in relation to housing allocation and placement by housing providers, the council and probation service, particularly on release from custody.  The ‘build’ phase is </w:t>
      </w:r>
      <w:r w:rsidRPr="00C6480C">
        <w:rPr>
          <w:rFonts w:cstheme="minorHAnsi"/>
          <w:color w:val="000000" w:themeColor="text1"/>
        </w:rPr>
        <w:t>o</w:t>
      </w:r>
      <w:r w:rsidRPr="00C6480C">
        <w:rPr>
          <w:rFonts w:cstheme="minorHAnsi"/>
          <w:color w:val="000000" w:themeColor="text1"/>
        </w:rPr>
        <w:t>ngoing, but</w:t>
      </w:r>
      <w:r w:rsidRPr="00C6480C">
        <w:rPr>
          <w:rFonts w:cstheme="minorHAnsi"/>
          <w:color w:val="000000" w:themeColor="text1"/>
        </w:rPr>
        <w:t xml:space="preserve"> highlights the key role of </w:t>
      </w:r>
      <w:r w:rsidRPr="00C6480C">
        <w:rPr>
          <w:rFonts w:cstheme="minorHAnsi"/>
          <w:color w:val="000000" w:themeColor="text1"/>
        </w:rPr>
        <w:t>neighbourhood</w:t>
      </w:r>
      <w:r w:rsidRPr="00C6480C">
        <w:rPr>
          <w:rFonts w:cstheme="minorHAnsi"/>
          <w:color w:val="000000" w:themeColor="text1"/>
        </w:rPr>
        <w:t xml:space="preserve"> policing in harnessing the power of local partnerships to affect longer term change to tackle SOC in communities.</w:t>
      </w:r>
    </w:p>
    <w:p w:rsidR="00BC259D" w:rsidRPr="00C6480C" w:rsidP="0006235E">
      <w:pPr>
        <w:rPr>
          <w:rFonts w:cstheme="minorHAnsi"/>
          <w:color w:val="000000" w:themeColor="text1"/>
        </w:rPr>
      </w:pPr>
      <w:r w:rsidRPr="00C6480C">
        <w:rPr>
          <w:rFonts w:cstheme="minorHAnsi"/>
          <w:color w:val="000000" w:themeColor="text1"/>
        </w:rPr>
        <w:t>Neighbourhood</w:t>
      </w:r>
      <w:r w:rsidRPr="00C6480C">
        <w:rPr>
          <w:rFonts w:cstheme="minorHAnsi"/>
          <w:color w:val="000000" w:themeColor="text1"/>
        </w:rPr>
        <w:t xml:space="preserve"> policing also plays a key role in the monitoring and management of emerging SOC related issues in the community.  For example, Tameside </w:t>
      </w:r>
      <w:r w:rsidRPr="00C6480C">
        <w:rPr>
          <w:rFonts w:cstheme="minorHAnsi"/>
          <w:color w:val="000000" w:themeColor="text1"/>
        </w:rPr>
        <w:t>neighbourhood</w:t>
      </w:r>
      <w:r w:rsidRPr="00C6480C">
        <w:rPr>
          <w:rFonts w:cstheme="minorHAnsi"/>
          <w:color w:val="000000" w:themeColor="text1"/>
        </w:rPr>
        <w:t xml:space="preserve"> </w:t>
      </w:r>
      <w:r w:rsidRPr="00C6480C">
        <w:rPr>
          <w:rFonts w:cstheme="minorHAnsi"/>
          <w:color w:val="000000" w:themeColor="text1"/>
        </w:rPr>
        <w:t>policing</w:t>
      </w:r>
      <w:r w:rsidRPr="00C6480C">
        <w:rPr>
          <w:rFonts w:cstheme="minorHAnsi"/>
          <w:color w:val="000000" w:themeColor="text1"/>
        </w:rPr>
        <w:t xml:space="preserve"> teams meet </w:t>
      </w:r>
      <w:r w:rsidRPr="00C6480C">
        <w:rPr>
          <w:rFonts w:cstheme="minorHAnsi"/>
          <w:color w:val="000000" w:themeColor="text1"/>
        </w:rPr>
        <w:t>on a monthly basis</w:t>
      </w:r>
      <w:r w:rsidRPr="00C6480C">
        <w:rPr>
          <w:rFonts w:cstheme="minorHAnsi"/>
          <w:color w:val="000000" w:themeColor="text1"/>
        </w:rPr>
        <w:t xml:space="preserve"> with housing providers and council officers involved in adult safeguarding, community safety and anti-social </w:t>
      </w:r>
      <w:r w:rsidRPr="00C6480C">
        <w:rPr>
          <w:rFonts w:cstheme="minorHAnsi"/>
          <w:color w:val="000000" w:themeColor="text1"/>
        </w:rPr>
        <w:t>behaviour</w:t>
      </w:r>
      <w:r w:rsidRPr="00C6480C">
        <w:rPr>
          <w:rFonts w:cstheme="minorHAnsi"/>
          <w:color w:val="000000" w:themeColor="text1"/>
        </w:rPr>
        <w:t xml:space="preserve"> to look specifically at addresses linked to cuckooing.  There is also engagement in targeted days of action, for example joint activity involving GMP, HMRC, Immigration Enforcement, Trading Standards, ad</w:t>
      </w:r>
      <w:r w:rsidRPr="00C6480C">
        <w:rPr>
          <w:rFonts w:cstheme="minorHAnsi"/>
          <w:color w:val="000000" w:themeColor="text1"/>
        </w:rPr>
        <w:t xml:space="preserve">ult and child safeguarding, community safety and Greater Manchester Fire and Rescue Service in relation to massage </w:t>
      </w:r>
      <w:r w:rsidRPr="00C6480C">
        <w:rPr>
          <w:rFonts w:cstheme="minorHAnsi"/>
          <w:color w:val="000000" w:themeColor="text1"/>
        </w:rPr>
        <w:t>parlours</w:t>
      </w:r>
      <w:r w:rsidRPr="00C6480C">
        <w:rPr>
          <w:rFonts w:cstheme="minorHAnsi"/>
          <w:color w:val="000000" w:themeColor="text1"/>
        </w:rPr>
        <w:t xml:space="preserve">, following concerns relating to potential modern slavery and child sexual exploitation. </w:t>
      </w: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Greater Manchester also benefits from </w:t>
      </w:r>
      <w:r w:rsidRPr="00C6480C">
        <w:rPr>
          <w:rFonts w:eastAsia="Times New Roman" w:cstheme="minorHAnsi"/>
          <w:b/>
          <w:bCs/>
          <w:color w:val="000000" w:themeColor="text1"/>
        </w:rPr>
        <w:t>Operation Vulcan</w:t>
      </w:r>
      <w:r w:rsidRPr="00C6480C">
        <w:rPr>
          <w:rFonts w:eastAsia="Times New Roman" w:cstheme="minorHAnsi"/>
          <w:color w:val="000000" w:themeColor="text1"/>
        </w:rPr>
        <w:t xml:space="preserve">, a dedicated policing resource which applies CHB to the highest harm </w:t>
      </w:r>
      <w:r w:rsidRPr="00C6480C">
        <w:rPr>
          <w:rFonts w:eastAsia="Times New Roman" w:cstheme="minorHAnsi"/>
          <w:color w:val="000000" w:themeColor="text1"/>
        </w:rPr>
        <w:t>neighbourhood</w:t>
      </w:r>
      <w:r w:rsidRPr="00C6480C">
        <w:rPr>
          <w:rFonts w:eastAsia="Times New Roman" w:cstheme="minorHAnsi"/>
          <w:color w:val="000000" w:themeColor="text1"/>
        </w:rPr>
        <w:t xml:space="preserve"> areas where anti-social </w:t>
      </w:r>
      <w:r w:rsidRPr="00C6480C">
        <w:rPr>
          <w:rFonts w:eastAsia="Times New Roman" w:cstheme="minorHAnsi"/>
          <w:color w:val="000000" w:themeColor="text1"/>
        </w:rPr>
        <w:t>behaviour</w:t>
      </w:r>
      <w:r w:rsidRPr="00C6480C">
        <w:rPr>
          <w:rFonts w:eastAsia="Times New Roman" w:cstheme="minorHAnsi"/>
          <w:color w:val="000000" w:themeColor="text1"/>
        </w:rPr>
        <w:t>, crime and particularly SOC have become entrenched.  This includes a team of specialist police officers that deliver targeted and consistent pursue activity to clear an area of issues, with a wraparound multi-agency response and governance to support intelligence and information sharing, and effective transitions from clear to hold, and on to build.  Operation Vulcan has just</w:t>
      </w:r>
      <w:r w:rsidRPr="00C6480C">
        <w:rPr>
          <w:rFonts w:eastAsia="Times New Roman" w:cstheme="minorHAnsi"/>
          <w:color w:val="000000" w:themeColor="text1"/>
        </w:rPr>
        <w:t xml:space="preserve"> commenced in </w:t>
      </w:r>
      <w:r w:rsidRPr="00C6480C">
        <w:rPr>
          <w:rFonts w:eastAsia="Times New Roman" w:cstheme="minorHAnsi"/>
          <w:color w:val="000000" w:themeColor="text1"/>
        </w:rPr>
        <w:t>Brinnington</w:t>
      </w:r>
      <w:r w:rsidRPr="00C6480C">
        <w:rPr>
          <w:rFonts w:eastAsia="Times New Roman" w:cstheme="minorHAnsi"/>
          <w:color w:val="000000" w:themeColor="text1"/>
        </w:rPr>
        <w:t xml:space="preserve">, Stockport.  Deployment is data and evidence led, which help to inform and support activity throughout the life of Vulcan deployment.  </w:t>
      </w: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Vulcan, working closely with local authority community safety leads and wider partners, seeks to engage the community at the earliest stages of their work to fully understand the issues being faced. Vulcan is a vital resource in tackling SOC at a very </w:t>
      </w:r>
      <w:r w:rsidRPr="00C6480C">
        <w:rPr>
          <w:rFonts w:eastAsia="Times New Roman" w:cstheme="minorHAnsi"/>
          <w:color w:val="000000" w:themeColor="text1"/>
        </w:rPr>
        <w:t>localised</w:t>
      </w:r>
      <w:r w:rsidRPr="00C6480C">
        <w:rPr>
          <w:rFonts w:eastAsia="Times New Roman" w:cstheme="minorHAnsi"/>
          <w:color w:val="000000" w:themeColor="text1"/>
        </w:rPr>
        <w:t xml:space="preserve"> level with direct and meaningful engagement with partners and the community for the entire process.  As such, communities can see their very specific concerns being directly addressed.  Partnership governance enables a transition from targeted work through the Vulcan policing deployment into the hold, and then the build phase, at which point Vulcan resources will withdraw, leaving the structures and monitoring in place to enable ongoing management of the area.</w:t>
      </w: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color w:val="000000" w:themeColor="text1"/>
        </w:rPr>
      </w:pPr>
    </w:p>
    <w:p w:rsidR="00BC259D" w:rsidRPr="00C6480C" w:rsidP="0006235E">
      <w:pPr>
        <w:spacing w:after="0" w:line="240" w:lineRule="auto"/>
        <w:rPr>
          <w:rFonts w:eastAsia="Times New Roman" w:cstheme="minorHAnsi"/>
          <w:b/>
          <w:bCs/>
          <w:color w:val="000000" w:themeColor="text1"/>
        </w:rPr>
      </w:pPr>
      <w:r w:rsidRPr="00C6480C">
        <w:rPr>
          <w:rFonts w:eastAsia="Times New Roman" w:cstheme="minorHAnsi"/>
          <w:b/>
          <w:bCs/>
          <w:color w:val="000000" w:themeColor="text1"/>
        </w:rPr>
        <w:t>Conclusion</w:t>
      </w:r>
    </w:p>
    <w:p w:rsidR="00BC259D" w:rsidRPr="00C6480C" w:rsidP="0006235E">
      <w:pPr>
        <w:spacing w:after="0" w:line="240" w:lineRule="auto"/>
        <w:rPr>
          <w:rFonts w:eastAsia="Times New Roman" w:cstheme="minorHAnsi"/>
          <w:color w:val="000000" w:themeColor="text1"/>
        </w:rPr>
      </w:pPr>
      <w:r w:rsidRPr="00C6480C">
        <w:rPr>
          <w:rFonts w:eastAsia="Times New Roman" w:cstheme="minorHAnsi"/>
          <w:color w:val="000000" w:themeColor="text1"/>
        </w:rPr>
        <w:t xml:space="preserve">Greater Manchester has built and continues to develop a comprehensive and connecting approach to tackling serious and </w:t>
      </w:r>
      <w:r w:rsidRPr="00C6480C">
        <w:rPr>
          <w:rFonts w:eastAsia="Times New Roman" w:cstheme="minorHAnsi"/>
          <w:color w:val="000000" w:themeColor="text1"/>
        </w:rPr>
        <w:t>organised</w:t>
      </w:r>
      <w:r w:rsidRPr="00C6480C">
        <w:rPr>
          <w:rFonts w:eastAsia="Times New Roman" w:cstheme="minorHAnsi"/>
          <w:color w:val="000000" w:themeColor="text1"/>
        </w:rPr>
        <w:t xml:space="preserve"> crime affecting the city-region.  This approach is multi-</w:t>
      </w:r>
      <w:r w:rsidRPr="00C6480C">
        <w:rPr>
          <w:rFonts w:eastAsia="Times New Roman" w:cstheme="minorHAnsi"/>
          <w:color w:val="000000" w:themeColor="text1"/>
        </w:rPr>
        <w:t>levelled</w:t>
      </w:r>
      <w:r w:rsidRPr="00C6480C">
        <w:rPr>
          <w:rFonts w:eastAsia="Times New Roman" w:cstheme="minorHAnsi"/>
          <w:color w:val="000000" w:themeColor="text1"/>
        </w:rPr>
        <w:t xml:space="preserve"> and multi-</w:t>
      </w:r>
      <w:r w:rsidRPr="00C6480C">
        <w:rPr>
          <w:rFonts w:eastAsia="Times New Roman" w:cstheme="minorHAnsi"/>
          <w:color w:val="000000" w:themeColor="text1"/>
        </w:rPr>
        <w:t>agency, and</w:t>
      </w:r>
      <w:r w:rsidRPr="00C6480C">
        <w:rPr>
          <w:rFonts w:eastAsia="Times New Roman" w:cstheme="minorHAnsi"/>
          <w:color w:val="000000" w:themeColor="text1"/>
        </w:rPr>
        <w:t xml:space="preserve"> continues to develop to best meet the needs of an evolving SOC threat, and evolving policing and partnership capabilities.  </w:t>
      </w:r>
      <w:r w:rsidRPr="00C6480C">
        <w:rPr>
          <w:rFonts w:eastAsia="Times New Roman" w:cstheme="minorHAnsi"/>
          <w:color w:val="000000" w:themeColor="text1"/>
        </w:rPr>
        <w:t>Neighbourhood</w:t>
      </w:r>
      <w:r w:rsidRPr="00C6480C">
        <w:rPr>
          <w:rFonts w:eastAsia="Times New Roman" w:cstheme="minorHAnsi"/>
          <w:color w:val="000000" w:themeColor="text1"/>
        </w:rPr>
        <w:t xml:space="preserve"> policing and local partners, often led by Local Authorities, play a key part in this response, as part of the city-region wide SOC system.  The current system and approach </w:t>
      </w:r>
      <w:r w:rsidRPr="00C6480C">
        <w:rPr>
          <w:rFonts w:eastAsia="Times New Roman" w:cstheme="minorHAnsi"/>
          <w:color w:val="000000" w:themeColor="text1"/>
        </w:rPr>
        <w:t>on</w:t>
      </w:r>
      <w:r w:rsidRPr="00C6480C">
        <w:rPr>
          <w:rFonts w:eastAsia="Times New Roman" w:cstheme="minorHAnsi"/>
          <w:color w:val="000000" w:themeColor="text1"/>
        </w:rPr>
        <w:t xml:space="preserve"> the Greater Manchester footprint </w:t>
      </w:r>
      <w:r w:rsidRPr="00C6480C">
        <w:rPr>
          <w:rFonts w:eastAsia="Times New Roman" w:cstheme="minorHAnsi"/>
          <w:color w:val="000000" w:themeColor="text1"/>
        </w:rPr>
        <w:t>operates</w:t>
      </w:r>
      <w:r w:rsidRPr="00C6480C">
        <w:rPr>
          <w:rFonts w:eastAsia="Times New Roman" w:cstheme="minorHAnsi"/>
          <w:color w:val="000000" w:themeColor="text1"/>
        </w:rPr>
        <w:t xml:space="preserve"> effectively and efficiently.  SOC often manifests in commun</w:t>
      </w:r>
      <w:r w:rsidRPr="00C6480C">
        <w:rPr>
          <w:rFonts w:eastAsia="Times New Roman" w:cstheme="minorHAnsi"/>
          <w:color w:val="000000" w:themeColor="text1"/>
        </w:rPr>
        <w:t xml:space="preserve">ities, as outlined, and significant changes to the approach would necessitate disruptive adaptations to partnership working and tasking that would likely </w:t>
      </w:r>
      <w:r w:rsidRPr="00C6480C">
        <w:rPr>
          <w:rFonts w:eastAsia="Times New Roman" w:cstheme="minorHAnsi"/>
          <w:color w:val="000000" w:themeColor="text1"/>
        </w:rPr>
        <w:t>destabalise</w:t>
      </w:r>
      <w:r w:rsidRPr="00C6480C">
        <w:rPr>
          <w:rFonts w:eastAsia="Times New Roman" w:cstheme="minorHAnsi"/>
          <w:color w:val="000000" w:themeColor="text1"/>
        </w:rPr>
        <w:t xml:space="preserve"> the city-region’s SOC response. It would also require comprehensive stakeholder </w:t>
      </w:r>
      <w:r w:rsidRPr="00C6480C">
        <w:rPr>
          <w:rFonts w:eastAsia="Times New Roman" w:cstheme="minorHAnsi"/>
          <w:color w:val="000000" w:themeColor="text1"/>
        </w:rPr>
        <w:t>engagement to ensure that no part of the SOC response loses out in their ability to continue working in this way to tackle the issue.</w:t>
      </w:r>
    </w:p>
    <w:p w:rsidR="00BC259D" w:rsidRPr="00C6480C" w:rsidP="0006235E">
      <w:pPr>
        <w:spacing w:after="0" w:line="240" w:lineRule="auto"/>
        <w:rPr>
          <w:rFonts w:eastAsia="Times New Roman" w:cstheme="minorHAnsi"/>
        </w:rPr>
      </w:pPr>
    </w:p>
    <w:p w:rsidR="002E3501" w:rsidRPr="00C6480C" w:rsidP="002E3501">
      <w:pPr>
        <w:spacing w:after="0" w:line="240" w:lineRule="auto"/>
        <w:jc w:val="right"/>
        <w:rPr>
          <w:rFonts w:eastAsia="Times New Roman" w:cstheme="minorHAnsi"/>
          <w:b/>
          <w:bCs/>
          <w:i/>
          <w:iCs/>
        </w:rPr>
      </w:pPr>
      <w:r w:rsidRPr="00C6480C">
        <w:rPr>
          <w:rFonts w:eastAsia="Times New Roman" w:cstheme="minorHAnsi"/>
          <w:b/>
          <w:bCs/>
          <w:i/>
          <w:iCs/>
        </w:rPr>
        <w:t>Mar 2026</w:t>
      </w:r>
    </w:p>
    <w:sectPr w:rsidSect="00E9656A">
      <w:headerReference w:type="default" r:id="rId8"/>
      <w:footerReference w:type="default" r:id="rId9"/>
      <w:pgSz w:w="12240" w:h="15840"/>
      <w:pgMar w:top="709"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59D" w:rsidRPr="00C97C56" w:rsidP="00C97C56">
    <w:pPr>
      <w:pStyle w:val="Footer"/>
      <w:rPr>
        <w:lang w:val="en-GB"/>
      </w:rPr>
    </w:pPr>
    <w:r>
      <w:rPr>
        <w:lang w:val="en-GB"/>
      </w:rPr>
      <w:t xml:space="preserve">                    </w:t>
    </w:r>
  </w:p>
  <w:p w:rsidR="00BC259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59D" w:rsidRPr="00003E6F" w:rsidP="00003E6F">
    <w:pPr>
      <w:pStyle w:val="Header"/>
      <w:rPr>
        <w:lang w:val="en-GB"/>
      </w:rPr>
    </w:pPr>
    <w:r>
      <w:tab/>
      <w:t xml:space="preserve">           </w:t>
    </w:r>
    <w:r>
      <w:tab/>
      <w:t xml:space="preserve">        </w:t>
    </w:r>
  </w:p>
  <w:p w:rsidR="00BC25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3EC3"/>
    <w:multiLevelType w:val="hybridMultilevel"/>
    <w:tmpl w:val="B44EAE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1332A18"/>
    <w:multiLevelType w:val="hybridMultilevel"/>
    <w:tmpl w:val="A51A7ACE"/>
    <w:lvl w:ilvl="0">
      <w:start w:val="4"/>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1926681"/>
    <w:multiLevelType w:val="hybridMultilevel"/>
    <w:tmpl w:val="BD4481DE"/>
    <w:lvl w:ilvl="0">
      <w:start w:val="1"/>
      <w:numFmt w:val="bullet"/>
      <w:lvlText w:val=""/>
      <w:lvlJc w:val="left"/>
      <w:pPr>
        <w:ind w:left="9432" w:hanging="360"/>
      </w:pPr>
      <w:rPr>
        <w:rFonts w:ascii="Symbol" w:hAnsi="Symbol" w:hint="default"/>
      </w:rPr>
    </w:lvl>
    <w:lvl w:ilvl="1">
      <w:start w:val="1"/>
      <w:numFmt w:val="bullet"/>
      <w:lvlText w:val="o"/>
      <w:lvlJc w:val="left"/>
      <w:pPr>
        <w:ind w:left="10152" w:hanging="360"/>
      </w:pPr>
      <w:rPr>
        <w:rFonts w:ascii="Courier New" w:hAnsi="Courier New" w:cs="Courier New" w:hint="default"/>
      </w:rPr>
    </w:lvl>
    <w:lvl w:ilvl="2">
      <w:start w:val="1"/>
      <w:numFmt w:val="bullet"/>
      <w:lvlText w:val=""/>
      <w:lvlJc w:val="left"/>
      <w:pPr>
        <w:ind w:left="10872" w:hanging="360"/>
      </w:pPr>
      <w:rPr>
        <w:rFonts w:ascii="Wingdings" w:hAnsi="Wingdings" w:hint="default"/>
      </w:rPr>
    </w:lvl>
    <w:lvl w:ilvl="3">
      <w:start w:val="1"/>
      <w:numFmt w:val="bullet"/>
      <w:lvlText w:val=""/>
      <w:lvlJc w:val="left"/>
      <w:pPr>
        <w:ind w:left="11592" w:hanging="360"/>
      </w:pPr>
      <w:rPr>
        <w:rFonts w:ascii="Symbol" w:hAnsi="Symbol" w:hint="default"/>
      </w:rPr>
    </w:lvl>
    <w:lvl w:ilvl="4">
      <w:start w:val="1"/>
      <w:numFmt w:val="bullet"/>
      <w:lvlText w:val="o"/>
      <w:lvlJc w:val="left"/>
      <w:pPr>
        <w:ind w:left="12312" w:hanging="360"/>
      </w:pPr>
      <w:rPr>
        <w:rFonts w:ascii="Courier New" w:hAnsi="Courier New" w:cs="Courier New" w:hint="default"/>
      </w:rPr>
    </w:lvl>
    <w:lvl w:ilvl="5">
      <w:start w:val="1"/>
      <w:numFmt w:val="bullet"/>
      <w:lvlText w:val=""/>
      <w:lvlJc w:val="left"/>
      <w:pPr>
        <w:ind w:left="13032" w:hanging="360"/>
      </w:pPr>
      <w:rPr>
        <w:rFonts w:ascii="Wingdings" w:hAnsi="Wingdings" w:hint="default"/>
      </w:rPr>
    </w:lvl>
    <w:lvl w:ilvl="6">
      <w:start w:val="1"/>
      <w:numFmt w:val="bullet"/>
      <w:lvlText w:val=""/>
      <w:lvlJc w:val="left"/>
      <w:pPr>
        <w:ind w:left="13752" w:hanging="360"/>
      </w:pPr>
      <w:rPr>
        <w:rFonts w:ascii="Symbol" w:hAnsi="Symbol" w:hint="default"/>
      </w:rPr>
    </w:lvl>
    <w:lvl w:ilvl="7">
      <w:start w:val="1"/>
      <w:numFmt w:val="bullet"/>
      <w:lvlText w:val="o"/>
      <w:lvlJc w:val="left"/>
      <w:pPr>
        <w:ind w:left="14472" w:hanging="360"/>
      </w:pPr>
      <w:rPr>
        <w:rFonts w:ascii="Courier New" w:hAnsi="Courier New" w:cs="Courier New" w:hint="default"/>
      </w:rPr>
    </w:lvl>
    <w:lvl w:ilvl="8">
      <w:start w:val="1"/>
      <w:numFmt w:val="bullet"/>
      <w:lvlText w:val=""/>
      <w:lvlJc w:val="left"/>
      <w:pPr>
        <w:ind w:left="15192" w:hanging="360"/>
      </w:pPr>
      <w:rPr>
        <w:rFonts w:ascii="Wingdings" w:hAnsi="Wingdings" w:hint="default"/>
      </w:rPr>
    </w:lvl>
  </w:abstractNum>
  <w:abstractNum w:abstractNumId="3">
    <w:nsid w:val="05F123FE"/>
    <w:multiLevelType w:val="hybridMultilevel"/>
    <w:tmpl w:val="668CA0B4"/>
    <w:lvl w:ilvl="0">
      <w:start w:val="4"/>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ABB313B"/>
    <w:multiLevelType w:val="hybridMultilevel"/>
    <w:tmpl w:val="EBD61468"/>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3135338"/>
    <w:multiLevelType w:val="hybridMultilevel"/>
    <w:tmpl w:val="FCFCD8CA"/>
    <w:lvl w:ilvl="0">
      <w:start w:val="1"/>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1D1384"/>
    <w:multiLevelType w:val="multilevel"/>
    <w:tmpl w:val="4CB88D7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eastAsiaTheme="minorHAnsi"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916968"/>
    <w:multiLevelType w:val="hybridMultilevel"/>
    <w:tmpl w:val="183AB7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400238F"/>
    <w:multiLevelType w:val="multilevel"/>
    <w:tmpl w:val="E0B62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6F76FE"/>
    <w:multiLevelType w:val="hybridMultilevel"/>
    <w:tmpl w:val="12D82AD2"/>
    <w:lvl w:ilvl="0">
      <w:start w:val="1"/>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54D543E"/>
    <w:multiLevelType w:val="hybridMultilevel"/>
    <w:tmpl w:val="9BE2B798"/>
    <w:lvl w:ilvl="0">
      <w:start w:val="9"/>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5CB192E"/>
    <w:multiLevelType w:val="hybridMultilevel"/>
    <w:tmpl w:val="E6B65C32"/>
    <w:lvl w:ilvl="0">
      <w:start w:val="1"/>
      <w:numFmt w:val="bullet"/>
      <w:lvlText w:val=""/>
      <w:lvlJc w:val="left"/>
      <w:pPr>
        <w:ind w:left="720" w:hanging="360"/>
      </w:pPr>
      <w:rPr>
        <w:rFonts w:ascii="Symbol" w:hAnsi="Symbol"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7076E98"/>
    <w:multiLevelType w:val="hybridMultilevel"/>
    <w:tmpl w:val="3EA6DA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B307721"/>
    <w:multiLevelType w:val="hybridMultilevel"/>
    <w:tmpl w:val="B8FE8244"/>
    <w:lvl w:ilvl="0">
      <w:start w:val="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61134FE3"/>
    <w:multiLevelType w:val="multilevel"/>
    <w:tmpl w:val="D1C64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566528"/>
    <w:multiLevelType w:val="hybridMultilevel"/>
    <w:tmpl w:val="F272A488"/>
    <w:lvl w:ilvl="0">
      <w:start w:val="1"/>
      <w:numFmt w:val="bullet"/>
      <w:lvlText w:val=""/>
      <w:lvlJc w:val="left"/>
      <w:pPr>
        <w:ind w:left="720" w:hanging="360"/>
      </w:pPr>
      <w:rPr>
        <w:rFonts w:ascii="Symbol" w:hAnsi="Symbol" w:eastAsiaTheme="minorHAnsi"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4171875"/>
    <w:multiLevelType w:val="hybridMultilevel"/>
    <w:tmpl w:val="AB8E0E02"/>
    <w:lvl w:ilvl="0">
      <w:start w:val="2"/>
      <w:numFmt w:val="bullet"/>
      <w:lvlText w:val="-"/>
      <w:lvlJc w:val="left"/>
      <w:pPr>
        <w:ind w:left="720" w:hanging="360"/>
      </w:pPr>
      <w:rPr>
        <w:rFonts w:ascii="Arial" w:eastAsia="Times New Roman" w:hAnsi="Arial" w:cs="Aria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88E5F0B"/>
    <w:multiLevelType w:val="hybridMultilevel"/>
    <w:tmpl w:val="9C3E91F6"/>
    <w:lvl w:ilvl="0">
      <w:start w:val="4"/>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9CB55A0"/>
    <w:multiLevelType w:val="hybridMultilevel"/>
    <w:tmpl w:val="95961C52"/>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A800F87"/>
    <w:multiLevelType w:val="hybridMultilevel"/>
    <w:tmpl w:val="2446D89E"/>
    <w:lvl w:ilvl="0">
      <w:start w:val="2"/>
      <w:numFmt w:val="bullet"/>
      <w:lvlText w:val=""/>
      <w:lvlJc w:val="left"/>
      <w:pPr>
        <w:ind w:left="720" w:hanging="360"/>
      </w:pPr>
      <w:rPr>
        <w:rFonts w:ascii="Symbol" w:eastAsia="Times New Roman" w:hAnsi="Symbol"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29B7A84"/>
    <w:multiLevelType w:val="multilevel"/>
    <w:tmpl w:val="D638B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C00F31"/>
    <w:multiLevelType w:val="hybridMultilevel"/>
    <w:tmpl w:val="1FB61550"/>
    <w:lvl w:ilvl="0">
      <w:start w:val="5"/>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80058A4"/>
    <w:multiLevelType w:val="hybridMultilevel"/>
    <w:tmpl w:val="9B4E98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12"/>
  </w:num>
  <w:num w:numId="5">
    <w:abstractNumId w:val="11"/>
  </w:num>
  <w:num w:numId="6">
    <w:abstractNumId w:val="7"/>
  </w:num>
  <w:num w:numId="7">
    <w:abstractNumId w:val="18"/>
  </w:num>
  <w:num w:numId="8">
    <w:abstractNumId w:val="22"/>
  </w:num>
  <w:num w:numId="9">
    <w:abstractNumId w:val="15"/>
  </w:num>
  <w:num w:numId="10">
    <w:abstractNumId w:val="10"/>
  </w:num>
  <w:num w:numId="11">
    <w:abstractNumId w:val="19"/>
  </w:num>
  <w:num w:numId="12">
    <w:abstractNumId w:val="16"/>
  </w:num>
  <w:num w:numId="13">
    <w:abstractNumId w:val="5"/>
  </w:num>
  <w:num w:numId="14">
    <w:abstractNumId w:val="9"/>
  </w:num>
  <w:num w:numId="15">
    <w:abstractNumId w:val="13"/>
  </w:num>
  <w:num w:numId="16">
    <w:abstractNumId w:val="1"/>
  </w:num>
  <w:num w:numId="17">
    <w:abstractNumId w:val="3"/>
  </w:num>
  <w:num w:numId="18">
    <w:abstractNumId w:val="0"/>
  </w:num>
  <w:num w:numId="19">
    <w:abstractNumId w:val="21"/>
  </w:num>
  <w:num w:numId="20">
    <w:abstractNumId w:val="20"/>
  </w:num>
  <w:num w:numId="21">
    <w:abstractNumId w:val="14"/>
  </w:num>
  <w:num w:numId="22">
    <w:abstractNumId w:val="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A20A0"/>
    <w:pPr>
      <w:keepNext/>
      <w:keepLines/>
      <w:spacing w:before="480" w:after="0" w:line="276" w:lineRule="auto"/>
      <w:outlineLvl w:val="0"/>
    </w:pPr>
    <w:rPr>
      <w:rFonts w:ascii="Cambria" w:eastAsia="Times New Roman" w:hAnsi="Cambria" w:cs="Times New Roman"/>
      <w:b/>
      <w:bCs/>
      <w:color w:val="365F91"/>
      <w:sz w:val="28"/>
      <w:szCs w:val="28"/>
      <w:lang w:val="en-GB"/>
    </w:rPr>
  </w:style>
  <w:style w:type="paragraph" w:styleId="Heading2">
    <w:name w:val="heading 2"/>
    <w:basedOn w:val="Normal"/>
    <w:next w:val="Normal"/>
    <w:link w:val="Heading2Char"/>
    <w:uiPriority w:val="9"/>
    <w:semiHidden/>
    <w:unhideWhenUsed/>
    <w:qFormat/>
    <w:rsid w:val="00C748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106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3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EC432B"/>
    <w:pPr>
      <w:ind w:left="720"/>
      <w:contextualSpacing/>
    </w:pPr>
  </w:style>
  <w:style w:type="character" w:styleId="Hyperlink">
    <w:name w:val="Hyperlink"/>
    <w:basedOn w:val="DefaultParagraphFont"/>
    <w:uiPriority w:val="99"/>
    <w:unhideWhenUsed/>
    <w:rsid w:val="00722639"/>
    <w:rPr>
      <w:rFonts w:ascii="Times New Roman" w:hAnsi="Times New Roman" w:cs="Times New Roman" w:hint="default"/>
      <w:color w:val="0563C1"/>
      <w:u w:val="single"/>
    </w:rPr>
  </w:style>
  <w:style w:type="paragraph" w:styleId="NormalWeb">
    <w:name w:val="Normal (Web)"/>
    <w:basedOn w:val="Normal"/>
    <w:uiPriority w:val="99"/>
    <w:unhideWhenUsed/>
    <w:rsid w:val="00722639"/>
    <w:pPr>
      <w:spacing w:after="0" w:line="240" w:lineRule="auto"/>
    </w:pPr>
    <w:rPr>
      <w:rFonts w:ascii="Times New Roman" w:eastAsia="Times New Roman" w:hAnsi="Times New Roman" w:cs="Times New Roman"/>
      <w:sz w:val="24"/>
      <w:szCs w:val="24"/>
    </w:rPr>
  </w:style>
  <w:style w:type="paragraph" w:customStyle="1" w:styleId="ODPMLevel1">
    <w:name w:val="ODPM Level 1"/>
    <w:basedOn w:val="Normal"/>
    <w:rsid w:val="00EA6F60"/>
    <w:pPr>
      <w:tabs>
        <w:tab w:val="left" w:pos="-720"/>
      </w:tabs>
      <w:suppressAutoHyphens/>
      <w:spacing w:after="240" w:line="240" w:lineRule="auto"/>
    </w:pPr>
    <w:rPr>
      <w:rFonts w:ascii="Arial" w:eastAsia="Times New Roman" w:hAnsi="Arial" w:cs="Times New Roman"/>
      <w:spacing w:val="-2"/>
      <w:sz w:val="24"/>
      <w:szCs w:val="20"/>
      <w:lang w:val="en-GB" w:eastAsia="en-GB"/>
    </w:rPr>
  </w:style>
  <w:style w:type="character" w:customStyle="1" w:styleId="Heading1Char">
    <w:name w:val="Heading 1 Char"/>
    <w:basedOn w:val="DefaultParagraphFont"/>
    <w:link w:val="Heading1"/>
    <w:uiPriority w:val="9"/>
    <w:rsid w:val="007A20A0"/>
    <w:rPr>
      <w:rFonts w:ascii="Cambria" w:eastAsia="Times New Roman" w:hAnsi="Cambria" w:cs="Times New Roman"/>
      <w:b/>
      <w:bCs/>
      <w:color w:val="365F91"/>
      <w:sz w:val="28"/>
      <w:szCs w:val="28"/>
      <w:lang w:val="en-GB"/>
    </w:rPr>
  </w:style>
  <w:style w:type="character" w:customStyle="1" w:styleId="ListParagraphChar">
    <w:name w:val="List Paragraph Char"/>
    <w:aliases w:val="Bullet Char,Bullet Styl Char,Colorful List - Accent 12 Char,Dot pt Char,F5 List Paragraph Char,L Char,List Paragra Char,List Paragrap Char,List Paragraph1 Char,List Paragraph11 Char,List Paragraph3 Char,Maire Char,No Spacing11 Char"/>
    <w:link w:val="ListParagraph"/>
    <w:uiPriority w:val="34"/>
    <w:qFormat/>
    <w:locked/>
    <w:rsid w:val="007A20A0"/>
  </w:style>
  <w:style w:type="paragraph" w:styleId="MessageHeader">
    <w:name w:val="Message Header"/>
    <w:basedOn w:val="BodyText"/>
    <w:link w:val="MessageHeaderChar"/>
    <w:unhideWhenUsed/>
    <w:rsid w:val="007A20A0"/>
    <w:pPr>
      <w:keepLines/>
      <w:spacing w:after="0" w:line="415" w:lineRule="atLeast"/>
      <w:ind w:left="1560" w:right="-360" w:hanging="720"/>
    </w:pPr>
    <w:rPr>
      <w:rFonts w:ascii="Times New Roman" w:eastAsia="Times New Roman" w:hAnsi="Times New Roman" w:cs="Times New Roman"/>
      <w:sz w:val="20"/>
      <w:szCs w:val="20"/>
      <w:lang w:val="en-GB"/>
    </w:rPr>
  </w:style>
  <w:style w:type="character" w:customStyle="1" w:styleId="MessageHeaderChar">
    <w:name w:val="Message Header Char"/>
    <w:basedOn w:val="DefaultParagraphFont"/>
    <w:link w:val="MessageHeader"/>
    <w:rsid w:val="007A20A0"/>
    <w:rPr>
      <w:rFonts w:ascii="Times New Roman" w:eastAsia="Times New Roman" w:hAnsi="Times New Roman" w:cs="Times New Roman"/>
      <w:sz w:val="20"/>
      <w:szCs w:val="20"/>
      <w:lang w:val="en-GB"/>
    </w:rPr>
  </w:style>
  <w:style w:type="character" w:customStyle="1" w:styleId="MessageHeaderLabel">
    <w:name w:val="Message Header Label"/>
    <w:rsid w:val="007A20A0"/>
    <w:rPr>
      <w:rFonts w:ascii="Arial" w:hAnsi="Arial" w:cs="Arial" w:hint="default"/>
      <w:b/>
      <w:bCs w:val="0"/>
      <w:spacing w:val="-4"/>
      <w:sz w:val="18"/>
      <w:vertAlign w:val="baseline"/>
    </w:rPr>
  </w:style>
  <w:style w:type="paragraph" w:styleId="BodyText">
    <w:name w:val="Body Text"/>
    <w:basedOn w:val="Normal"/>
    <w:link w:val="BodyTextChar"/>
    <w:uiPriority w:val="99"/>
    <w:semiHidden/>
    <w:unhideWhenUsed/>
    <w:rsid w:val="007A20A0"/>
    <w:pPr>
      <w:spacing w:after="120"/>
    </w:pPr>
  </w:style>
  <w:style w:type="character" w:customStyle="1" w:styleId="BodyTextChar">
    <w:name w:val="Body Text Char"/>
    <w:basedOn w:val="DefaultParagraphFont"/>
    <w:link w:val="BodyText"/>
    <w:uiPriority w:val="99"/>
    <w:semiHidden/>
    <w:rsid w:val="007A20A0"/>
  </w:style>
  <w:style w:type="paragraph" w:styleId="BalloonText">
    <w:name w:val="Balloon Text"/>
    <w:basedOn w:val="Normal"/>
    <w:link w:val="BalloonTextChar"/>
    <w:uiPriority w:val="99"/>
    <w:semiHidden/>
    <w:unhideWhenUsed/>
    <w:rsid w:val="00607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B1A"/>
    <w:rPr>
      <w:rFonts w:ascii="Segoe UI" w:hAnsi="Segoe UI" w:cs="Segoe UI"/>
      <w:sz w:val="18"/>
      <w:szCs w:val="18"/>
    </w:rPr>
  </w:style>
  <w:style w:type="character" w:styleId="Strong">
    <w:name w:val="Strong"/>
    <w:basedOn w:val="DefaultParagraphFont"/>
    <w:uiPriority w:val="22"/>
    <w:qFormat/>
    <w:rsid w:val="00C162BB"/>
    <w:rPr>
      <w:b/>
      <w:bCs/>
    </w:rPr>
  </w:style>
  <w:style w:type="character" w:styleId="Emphasis">
    <w:name w:val="Emphasis"/>
    <w:basedOn w:val="DefaultParagraphFont"/>
    <w:uiPriority w:val="20"/>
    <w:qFormat/>
    <w:rsid w:val="00C162BB"/>
    <w:rPr>
      <w:i/>
      <w:iCs/>
    </w:rPr>
  </w:style>
  <w:style w:type="character" w:customStyle="1" w:styleId="Heading2Char">
    <w:name w:val="Heading 2 Char"/>
    <w:basedOn w:val="DefaultParagraphFont"/>
    <w:link w:val="Heading2"/>
    <w:uiPriority w:val="9"/>
    <w:semiHidden/>
    <w:rsid w:val="00C74808"/>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DC69B0"/>
    <w:rPr>
      <w:sz w:val="16"/>
      <w:szCs w:val="16"/>
    </w:rPr>
  </w:style>
  <w:style w:type="paragraph" w:styleId="CommentText">
    <w:name w:val="annotation text"/>
    <w:basedOn w:val="Normal"/>
    <w:link w:val="CommentTextChar"/>
    <w:uiPriority w:val="99"/>
    <w:semiHidden/>
    <w:unhideWhenUsed/>
    <w:rsid w:val="00DC69B0"/>
    <w:pPr>
      <w:spacing w:line="240" w:lineRule="auto"/>
    </w:pPr>
    <w:rPr>
      <w:sz w:val="20"/>
      <w:szCs w:val="20"/>
    </w:rPr>
  </w:style>
  <w:style w:type="character" w:customStyle="1" w:styleId="CommentTextChar">
    <w:name w:val="Comment Text Char"/>
    <w:basedOn w:val="DefaultParagraphFont"/>
    <w:link w:val="CommentText"/>
    <w:uiPriority w:val="99"/>
    <w:semiHidden/>
    <w:rsid w:val="00DC69B0"/>
    <w:rPr>
      <w:sz w:val="20"/>
      <w:szCs w:val="20"/>
    </w:rPr>
  </w:style>
  <w:style w:type="paragraph" w:styleId="CommentSubject">
    <w:name w:val="annotation subject"/>
    <w:basedOn w:val="CommentText"/>
    <w:next w:val="CommentText"/>
    <w:link w:val="CommentSubjectChar"/>
    <w:uiPriority w:val="99"/>
    <w:semiHidden/>
    <w:unhideWhenUsed/>
    <w:rsid w:val="00DC69B0"/>
    <w:rPr>
      <w:b/>
      <w:bCs/>
    </w:rPr>
  </w:style>
  <w:style w:type="character" w:customStyle="1" w:styleId="CommentSubjectChar">
    <w:name w:val="Comment Subject Char"/>
    <w:basedOn w:val="CommentTextChar"/>
    <w:link w:val="CommentSubject"/>
    <w:uiPriority w:val="99"/>
    <w:semiHidden/>
    <w:rsid w:val="00DC69B0"/>
    <w:rPr>
      <w:b/>
      <w:bCs/>
      <w:sz w:val="20"/>
      <w:szCs w:val="20"/>
    </w:rPr>
  </w:style>
  <w:style w:type="paragraph" w:styleId="Header">
    <w:name w:val="header"/>
    <w:basedOn w:val="Normal"/>
    <w:link w:val="HeaderChar"/>
    <w:uiPriority w:val="99"/>
    <w:unhideWhenUsed/>
    <w:rsid w:val="00633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2AF"/>
  </w:style>
  <w:style w:type="paragraph" w:styleId="Footer">
    <w:name w:val="footer"/>
    <w:basedOn w:val="Normal"/>
    <w:link w:val="FooterChar"/>
    <w:uiPriority w:val="99"/>
    <w:unhideWhenUsed/>
    <w:rsid w:val="00633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2AF"/>
  </w:style>
  <w:style w:type="character" w:customStyle="1" w:styleId="s1">
    <w:name w:val="s1"/>
    <w:basedOn w:val="DefaultParagraphFont"/>
    <w:rsid w:val="008D088F"/>
  </w:style>
  <w:style w:type="paragraph" w:styleId="NoSpacing">
    <w:name w:val="No Spacing"/>
    <w:uiPriority w:val="1"/>
    <w:qFormat/>
    <w:rsid w:val="008228A0"/>
    <w:pPr>
      <w:spacing w:after="0" w:line="240" w:lineRule="auto"/>
    </w:pPr>
  </w:style>
  <w:style w:type="character" w:styleId="FollowedHyperlink">
    <w:name w:val="FollowedHyperlink"/>
    <w:basedOn w:val="DefaultParagraphFont"/>
    <w:uiPriority w:val="99"/>
    <w:semiHidden/>
    <w:unhideWhenUsed/>
    <w:rsid w:val="00773CA0"/>
    <w:rPr>
      <w:color w:val="954F72" w:themeColor="followedHyperlink"/>
      <w:u w:val="single"/>
    </w:rPr>
  </w:style>
  <w:style w:type="character" w:customStyle="1" w:styleId="UnresolvedMention1">
    <w:name w:val="Unresolved Mention1"/>
    <w:basedOn w:val="DefaultParagraphFont"/>
    <w:uiPriority w:val="99"/>
    <w:semiHidden/>
    <w:unhideWhenUsed/>
    <w:rsid w:val="00E753DB"/>
    <w:rPr>
      <w:color w:val="605E5C"/>
      <w:shd w:val="clear" w:color="auto" w:fill="E1DFDD"/>
    </w:rPr>
  </w:style>
  <w:style w:type="character" w:customStyle="1" w:styleId="Heading3Char">
    <w:name w:val="Heading 3 Char"/>
    <w:basedOn w:val="DefaultParagraphFont"/>
    <w:link w:val="Heading3"/>
    <w:uiPriority w:val="9"/>
    <w:semiHidden/>
    <w:rsid w:val="0091066C"/>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DC0D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56A8BADC888A49AE2C0DE5303CBEF0" ma:contentTypeVersion="18" ma:contentTypeDescription="Create a new document." ma:contentTypeScope="" ma:versionID="2874758f2a3ba344569841484fdeba15">
  <xsd:schema xmlns:xsd="http://www.w3.org/2001/XMLSchema" xmlns:xs="http://www.w3.org/2001/XMLSchema" xmlns:p="http://schemas.microsoft.com/office/2006/metadata/properties" xmlns:ns3="29ea4382-385c-444c-a22c-fb8b32e020d9" xmlns:ns4="ae176fad-50c4-49aa-a425-3ed01da3bd5c" targetNamespace="http://schemas.microsoft.com/office/2006/metadata/properties" ma:root="true" ma:fieldsID="808a3aae61b60027f28560d2406ebc6f" ns3:_="" ns4:_="">
    <xsd:import namespace="29ea4382-385c-444c-a22c-fb8b32e020d9"/>
    <xsd:import namespace="ae176fad-50c4-49aa-a425-3ed01da3bd5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a4382-385c-444c-a22c-fb8b32e020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176fad-50c4-49aa-a425-3ed01da3bd5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e176fad-50c4-49aa-a425-3ed01da3bd5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E05E5-BD09-463E-A4A3-14595CAEB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a4382-385c-444c-a22c-fb8b32e020d9"/>
    <ds:schemaRef ds:uri="ae176fad-50c4-49aa-a425-3ed01da3b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BF24A0-8FD1-445D-89D0-87E8ECC46F88}">
  <ds:schemaRefs>
    <ds:schemaRef ds:uri="http://schemas.microsoft.com/sharepoint/v3/contenttype/forms"/>
  </ds:schemaRefs>
</ds:datastoreItem>
</file>

<file path=customXml/itemProps3.xml><?xml version="1.0" encoding="utf-8"?>
<ds:datastoreItem xmlns:ds="http://schemas.openxmlformats.org/officeDocument/2006/customXml" ds:itemID="{AFB81B3D-F337-47E3-AAE4-DA812C18D332}">
  <ds:schemaRefs>
    <ds:schemaRef ds:uri="http://schemas.microsoft.com/office/2006/metadata/properties"/>
    <ds:schemaRef ds:uri="http://schemas.microsoft.com/office/infopath/2007/PartnerControls"/>
    <ds:schemaRef ds:uri="ae176fad-50c4-49aa-a425-3ed01da3bd5c"/>
  </ds:schemaRefs>
</ds:datastoreItem>
</file>

<file path=customXml/itemProps4.xml><?xml version="1.0" encoding="utf-8"?>
<ds:datastoreItem xmlns:ds="http://schemas.openxmlformats.org/officeDocument/2006/customXml" ds:itemID="{69437082-0040-4760-9B95-D0D04F9B397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e8d8036a-b5f9-4f3f-9d36-d7cd740299bb}" enabled="0" method="" siteId="{e8d8036a-b5f9-4f3f-9d36-d7cd740299bb}"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SOC0027</dc:title>
  <cp:revision>0</cp:revision>
</cp:coreProperties>
</file>