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647B" w:rsidRPr="0046626D" w:rsidP="0046626D">
      <w:pPr>
        <w:rPr>
          <w:rFonts w:ascii="Verdana" w:hAnsi="Verdana" w:cs="Calibri"/>
          <w:b/>
          <w:sz w:val="28"/>
          <w:szCs w:val="28"/>
        </w:rPr>
      </w:pPr>
      <w:r w:rsidRPr="00256851">
        <w:rPr>
          <w:rFonts w:ascii="Verdana" w:hAnsi="Verdana" w:cs="Calibri"/>
          <w:b/>
          <w:sz w:val="28"/>
          <w:szCs w:val="28"/>
        </w:rPr>
        <w:t>Dr Chris Ballinger</w:t>
      </w:r>
      <w:r w:rsidRPr="00256851" w:rsidR="002A0311">
        <w:rPr>
          <w:rFonts w:ascii="Verdana" w:hAnsi="Verdana" w:cs="Calibri"/>
          <w:b/>
          <w:sz w:val="28"/>
          <w:szCs w:val="28"/>
        </w:rPr>
        <w:t xml:space="preserve"> - W</w:t>
      </w:r>
      <w:r w:rsidRPr="00256851" w:rsidR="00C35628">
        <w:rPr>
          <w:rFonts w:ascii="Verdana" w:hAnsi="Verdana" w:cs="Calibri"/>
          <w:b/>
          <w:sz w:val="28"/>
          <w:szCs w:val="28"/>
        </w:rPr>
        <w:t>ritten Evidence (RAP0014)</w:t>
      </w:r>
    </w:p>
    <w:p w:rsidR="00112A8F" w:rsidRPr="003A7222" w:rsidP="003A7222">
      <w:pPr>
        <w:rPr>
          <w:rFonts w:ascii="Verdana" w:hAnsi="Verdana" w:cs="Calibri"/>
          <w:bCs/>
          <w:sz w:val="22"/>
          <w:szCs w:val="22"/>
        </w:rPr>
      </w:pPr>
      <w:r w:rsidRPr="003A7222">
        <w:rPr>
          <w:rFonts w:ascii="Verdana" w:hAnsi="Verdana" w:cs="Calibri"/>
          <w:bCs/>
          <w:sz w:val="22"/>
          <w:szCs w:val="22"/>
        </w:rPr>
        <w:t>House of Lords Retirement and Participation Committee</w:t>
      </w:r>
    </w:p>
    <w:p w:rsidR="00112A8F" w:rsidRPr="003A7222" w:rsidP="003A7222">
      <w:pPr>
        <w:rPr>
          <w:rFonts w:ascii="Verdana" w:hAnsi="Verdana" w:cs="Calibri"/>
          <w:bCs/>
          <w:sz w:val="22"/>
          <w:szCs w:val="22"/>
        </w:rPr>
      </w:pPr>
      <w:r w:rsidRPr="003A7222">
        <w:rPr>
          <w:rFonts w:ascii="Verdana" w:hAnsi="Verdana" w:cs="Calibri"/>
          <w:bCs/>
          <w:sz w:val="22"/>
          <w:szCs w:val="22"/>
        </w:rPr>
        <w:t>Written evidence submitted by Dr Chris Ballinger</w:t>
      </w:r>
      <w:r w:rsidRPr="003A7222">
        <w:rPr>
          <w:rFonts w:ascii="Verdana" w:hAnsi="Verdana" w:cs="Calibri"/>
          <w:bCs/>
          <w:sz w:val="22"/>
          <w:szCs w:val="22"/>
        </w:rPr>
        <w:br/>
        <w:t>Senior Tutor &amp; Official Fellow, Exeter College, Oxford</w:t>
      </w:r>
    </w:p>
    <w:p w:rsidR="00C32FAC" w:rsidRPr="003A7222" w:rsidP="003A7222">
      <w:pPr>
        <w:rPr>
          <w:rFonts w:ascii="Verdana" w:hAnsi="Verdana" w:cs="Calibri"/>
          <w:bCs/>
          <w:sz w:val="22"/>
          <w:szCs w:val="22"/>
        </w:rPr>
      </w:pPr>
    </w:p>
    <w:p w:rsidR="009E03C1" w:rsidRPr="003A7222" w:rsidP="003A7222">
      <w:pPr>
        <w:rPr>
          <w:rFonts w:ascii="Verdana" w:hAnsi="Verdana" w:cs="Calibri"/>
          <w:bCs/>
          <w:sz w:val="22"/>
          <w:szCs w:val="22"/>
          <w:u w:val="single"/>
        </w:rPr>
      </w:pPr>
      <w:r w:rsidRPr="003A7222">
        <w:rPr>
          <w:rFonts w:ascii="Verdana" w:hAnsi="Verdana" w:cs="Calibri"/>
          <w:bCs/>
          <w:sz w:val="22"/>
          <w:szCs w:val="22"/>
          <w:u w:val="single"/>
        </w:rPr>
        <w:t>Retirement</w:t>
      </w:r>
    </w:p>
    <w:p w:rsidR="0068263A"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Peers are appointed for life and can expect – subject to statutory provisions about retirement and expulsion –</w:t>
      </w:r>
      <w:r w:rsidRPr="003A7222" w:rsidR="00551ADE">
        <w:rPr>
          <w:rFonts w:ascii="Verdana" w:hAnsi="Verdana" w:cs="Calibri"/>
          <w:bCs/>
          <w:sz w:val="22"/>
          <w:szCs w:val="22"/>
        </w:rPr>
        <w:t xml:space="preserve"> </w:t>
      </w:r>
      <w:r w:rsidRPr="003A7222">
        <w:rPr>
          <w:rFonts w:ascii="Verdana" w:hAnsi="Verdana" w:cs="Calibri"/>
          <w:bCs/>
          <w:sz w:val="22"/>
          <w:szCs w:val="22"/>
        </w:rPr>
        <w:t xml:space="preserve">to retain membership of the House of Lords for life.  Indeed, </w:t>
      </w:r>
      <w:r w:rsidRPr="003A7222" w:rsidR="00A27364">
        <w:rPr>
          <w:rFonts w:ascii="Verdana" w:hAnsi="Verdana" w:cs="Calibri"/>
          <w:bCs/>
          <w:sz w:val="22"/>
          <w:szCs w:val="22"/>
        </w:rPr>
        <w:t>the entitlement to receive a Writ of Summons entails an</w:t>
      </w:r>
      <w:r w:rsidRPr="003A7222">
        <w:rPr>
          <w:rFonts w:ascii="Verdana" w:hAnsi="Verdana" w:cs="Calibri"/>
          <w:bCs/>
          <w:sz w:val="22"/>
          <w:szCs w:val="22"/>
        </w:rPr>
        <w:t xml:space="preserve"> obligation so to serve.</w:t>
      </w:r>
    </w:p>
    <w:p w:rsidR="0068263A"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Most arguments in principle are against mandatory retirement </w:t>
      </w:r>
      <w:r w:rsidRPr="003A7222">
        <w:rPr>
          <w:rFonts w:ascii="Verdana" w:hAnsi="Verdana" w:cs="Calibri"/>
          <w:bCs/>
          <w:sz w:val="22"/>
          <w:szCs w:val="22"/>
        </w:rPr>
        <w:t>on the basis of</w:t>
      </w:r>
      <w:r w:rsidRPr="003A7222">
        <w:rPr>
          <w:rFonts w:ascii="Verdana" w:hAnsi="Verdana" w:cs="Calibri"/>
          <w:bCs/>
          <w:sz w:val="22"/>
          <w:szCs w:val="22"/>
        </w:rPr>
        <w:t xml:space="preserve"> age.  Parliament has legislated to end the default retirement age and to prohibit age discrimination</w:t>
      </w:r>
      <w:r w:rsidRPr="003A7222" w:rsidR="00551ADE">
        <w:rPr>
          <w:rFonts w:ascii="Verdana" w:hAnsi="Verdana" w:cs="Calibri"/>
          <w:bCs/>
          <w:sz w:val="22"/>
          <w:szCs w:val="22"/>
        </w:rPr>
        <w:t xml:space="preserve"> generally in society</w:t>
      </w:r>
      <w:r w:rsidRPr="003A7222">
        <w:rPr>
          <w:rFonts w:ascii="Verdana" w:hAnsi="Verdana" w:cs="Calibri"/>
          <w:bCs/>
          <w:sz w:val="22"/>
          <w:szCs w:val="22"/>
        </w:rPr>
        <w:t xml:space="preserve">.  </w:t>
      </w:r>
      <w:r w:rsidRPr="003A7222">
        <w:rPr>
          <w:rFonts w:ascii="Verdana" w:hAnsi="Verdana" w:cs="Calibri"/>
          <w:bCs/>
          <w:sz w:val="22"/>
          <w:szCs w:val="22"/>
        </w:rPr>
        <w:t>Outwith</w:t>
      </w:r>
      <w:r w:rsidRPr="003A7222">
        <w:rPr>
          <w:rFonts w:ascii="Verdana" w:hAnsi="Verdana" w:cs="Calibri"/>
          <w:bCs/>
          <w:sz w:val="22"/>
          <w:szCs w:val="22"/>
        </w:rPr>
        <w:t xml:space="preserve"> certain professions where a retirement age is spe</w:t>
      </w:r>
      <w:r w:rsidRPr="003A7222" w:rsidR="00A36D40">
        <w:rPr>
          <w:rFonts w:ascii="Verdana" w:hAnsi="Verdana" w:cs="Calibri"/>
          <w:bCs/>
          <w:sz w:val="22"/>
          <w:szCs w:val="22"/>
        </w:rPr>
        <w:t>cified in legislation – for example the clergy in the Church of England (age 70</w:t>
      </w:r>
      <w:r w:rsidRPr="003A7222" w:rsidR="00551ADE">
        <w:rPr>
          <w:rFonts w:ascii="Verdana" w:hAnsi="Verdana" w:cs="Calibri"/>
          <w:bCs/>
          <w:sz w:val="22"/>
          <w:szCs w:val="22"/>
        </w:rPr>
        <w:t>, set more than 50 years ago</w:t>
      </w:r>
      <w:r>
        <w:rPr>
          <w:rStyle w:val="FootnoteReference"/>
          <w:rFonts w:ascii="Verdana" w:hAnsi="Verdana" w:cs="Calibri"/>
          <w:bCs/>
          <w:sz w:val="22"/>
          <w:szCs w:val="22"/>
        </w:rPr>
        <w:footnoteReference w:id="2"/>
      </w:r>
      <w:r w:rsidRPr="003A7222" w:rsidR="00A36D40">
        <w:rPr>
          <w:rFonts w:ascii="Verdana" w:hAnsi="Verdana" w:cs="Calibri"/>
          <w:bCs/>
          <w:sz w:val="22"/>
          <w:szCs w:val="22"/>
        </w:rPr>
        <w:t>)</w:t>
      </w:r>
      <w:r w:rsidRPr="003A7222" w:rsidR="00551ADE">
        <w:rPr>
          <w:rFonts w:ascii="Verdana" w:hAnsi="Verdana" w:cs="Calibri"/>
          <w:bCs/>
          <w:sz w:val="22"/>
          <w:szCs w:val="22"/>
        </w:rPr>
        <w:t xml:space="preserve">; </w:t>
      </w:r>
      <w:r w:rsidRPr="003A7222" w:rsidR="00A36D40">
        <w:rPr>
          <w:rFonts w:ascii="Verdana" w:hAnsi="Verdana" w:cs="Calibri"/>
          <w:bCs/>
          <w:sz w:val="22"/>
          <w:szCs w:val="22"/>
        </w:rPr>
        <w:t>the judiciary (</w:t>
      </w:r>
      <w:r w:rsidRPr="003A7222" w:rsidR="00551ADE">
        <w:rPr>
          <w:rFonts w:ascii="Verdana" w:hAnsi="Verdana" w:cs="Calibri"/>
          <w:bCs/>
          <w:sz w:val="22"/>
          <w:szCs w:val="22"/>
        </w:rPr>
        <w:t>introduced in 1959</w:t>
      </w:r>
      <w:r>
        <w:rPr>
          <w:rStyle w:val="FootnoteReference"/>
          <w:rFonts w:ascii="Verdana" w:hAnsi="Verdana" w:cs="Calibri"/>
          <w:bCs/>
          <w:sz w:val="22"/>
          <w:szCs w:val="22"/>
        </w:rPr>
        <w:footnoteReference w:id="3"/>
      </w:r>
      <w:r w:rsidRPr="003A7222" w:rsidR="00551ADE">
        <w:rPr>
          <w:rFonts w:ascii="Verdana" w:hAnsi="Verdana" w:cs="Calibri"/>
          <w:bCs/>
          <w:sz w:val="22"/>
          <w:szCs w:val="22"/>
        </w:rPr>
        <w:t xml:space="preserve"> and </w:t>
      </w:r>
      <w:r w:rsidRPr="003A7222" w:rsidR="00A36D40">
        <w:rPr>
          <w:rFonts w:ascii="Verdana" w:hAnsi="Verdana" w:cs="Calibri"/>
          <w:bCs/>
          <w:sz w:val="22"/>
          <w:szCs w:val="22"/>
        </w:rPr>
        <w:t xml:space="preserve">recently raised from 70 to 75) – retirement ages have to be carefully justified by the employer and are open to challenge; most professions have abolished them.  Introducing a mandatory retirement age for Members of the House would not accord with the principles of competence, rather than age, as the basis on which Parliament requires most organisations to take decisions about people and </w:t>
      </w:r>
      <w:r w:rsidRPr="003A7222" w:rsidR="00A02D34">
        <w:rPr>
          <w:rFonts w:ascii="Verdana" w:hAnsi="Verdana" w:cs="Calibri"/>
          <w:bCs/>
          <w:sz w:val="22"/>
          <w:szCs w:val="22"/>
        </w:rPr>
        <w:t>should</w:t>
      </w:r>
      <w:r w:rsidRPr="003A7222" w:rsidR="00A36D40">
        <w:rPr>
          <w:rFonts w:ascii="Verdana" w:hAnsi="Verdana" w:cs="Calibri"/>
          <w:bCs/>
          <w:sz w:val="22"/>
          <w:szCs w:val="22"/>
        </w:rPr>
        <w:t xml:space="preserve"> be carefully justified.</w:t>
      </w:r>
    </w:p>
    <w:p w:rsidR="0068263A"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Members are, of course, not employees.  </w:t>
      </w:r>
      <w:r w:rsidRPr="003A7222" w:rsidR="00A36D40">
        <w:rPr>
          <w:rFonts w:ascii="Verdana" w:hAnsi="Verdana" w:cs="Calibri"/>
          <w:bCs/>
          <w:sz w:val="22"/>
          <w:szCs w:val="22"/>
        </w:rPr>
        <w:t>So</w:t>
      </w:r>
      <w:r w:rsidRPr="003A7222" w:rsidR="00A36D40">
        <w:rPr>
          <w:rFonts w:ascii="Verdana" w:hAnsi="Verdana" w:cs="Calibri"/>
          <w:bCs/>
          <w:sz w:val="22"/>
          <w:szCs w:val="22"/>
        </w:rPr>
        <w:t xml:space="preserve"> the analogy with the Church of England clergy and the judiciary may not easily apply in the case of members.  A parallel may be drawn with lay Magistrates, who have a retiring age of 75 (recently raised from 70).  The maximum age of </w:t>
      </w:r>
      <w:r w:rsidRPr="003A7222" w:rsidR="00A02D34">
        <w:rPr>
          <w:rFonts w:ascii="Verdana" w:hAnsi="Verdana" w:cs="Calibri"/>
          <w:bCs/>
          <w:sz w:val="22"/>
          <w:szCs w:val="22"/>
        </w:rPr>
        <w:t>j</w:t>
      </w:r>
      <w:r w:rsidRPr="003A7222" w:rsidR="00A36D40">
        <w:rPr>
          <w:rFonts w:ascii="Verdana" w:hAnsi="Verdana" w:cs="Calibri"/>
          <w:bCs/>
          <w:sz w:val="22"/>
          <w:szCs w:val="22"/>
        </w:rPr>
        <w:t xml:space="preserve">urors is now also 75 (raised from 70).  There are therefore examples of retirement ages for voluntary appointments, as well as salaried ones, from which to draw.  </w:t>
      </w:r>
      <w:r w:rsidRPr="003A7222" w:rsidR="00C64395">
        <w:rPr>
          <w:rFonts w:ascii="Verdana" w:hAnsi="Verdana" w:cs="Calibri"/>
          <w:bCs/>
          <w:sz w:val="22"/>
          <w:szCs w:val="22"/>
        </w:rPr>
        <w:t>Nonetheless, any specific retirement age which was not justified on proportionate and legitimate grounds would be difficult to explain to the public – and perhaps to existing members too.</w:t>
      </w:r>
    </w:p>
    <w:p w:rsidR="007C4B16"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Mandatory retirement is also a necessarily arbitrary mechanism for controlling numbers in the House.  It does not take account of the ability </w:t>
      </w:r>
      <w:r w:rsidRPr="003A7222">
        <w:rPr>
          <w:rFonts w:ascii="Verdana" w:hAnsi="Verdana" w:cs="Calibri"/>
          <w:bCs/>
          <w:sz w:val="22"/>
          <w:szCs w:val="22"/>
        </w:rPr>
        <w:t xml:space="preserve">or inclination </w:t>
      </w:r>
      <w:r w:rsidRPr="003A7222">
        <w:rPr>
          <w:rFonts w:ascii="Verdana" w:hAnsi="Verdana" w:cs="Calibri"/>
          <w:bCs/>
          <w:sz w:val="22"/>
          <w:szCs w:val="22"/>
        </w:rPr>
        <w:t xml:space="preserve">to serve the House over the years </w:t>
      </w:r>
      <w:r w:rsidRPr="003A7222" w:rsidR="00A02D34">
        <w:rPr>
          <w:rFonts w:ascii="Verdana" w:hAnsi="Verdana" w:cs="Calibri"/>
          <w:bCs/>
          <w:sz w:val="22"/>
          <w:szCs w:val="22"/>
        </w:rPr>
        <w:t>that follow</w:t>
      </w:r>
      <w:r w:rsidRPr="003A7222">
        <w:rPr>
          <w:rFonts w:ascii="Verdana" w:hAnsi="Verdana" w:cs="Calibri"/>
          <w:bCs/>
          <w:sz w:val="22"/>
          <w:szCs w:val="22"/>
        </w:rPr>
        <w:t xml:space="preserve">.  A mandatory </w:t>
      </w:r>
      <w:r w:rsidRPr="003A7222">
        <w:rPr>
          <w:rFonts w:ascii="Verdana" w:hAnsi="Verdana" w:cs="Calibri"/>
          <w:bCs/>
          <w:sz w:val="22"/>
          <w:szCs w:val="22"/>
        </w:rPr>
        <w:t>retirement age limits the ability of some groups to serve the House.  Senior judiciary (retirement age of 75) and long-serving MPs (no retirement age) are ineligible to serve in the House of Lords until they have left their former occupation and could therefore have any period in the House substantially curtailed by a retirement age of c.80 years.  Indeed, one current member (a former MP) would have been ineligible on appointment in 2024</w:t>
      </w:r>
      <w:r w:rsidRPr="003A7222" w:rsidR="00A02D34">
        <w:rPr>
          <w:rFonts w:ascii="Verdana" w:hAnsi="Verdana" w:cs="Calibri"/>
          <w:bCs/>
          <w:sz w:val="22"/>
          <w:szCs w:val="22"/>
        </w:rPr>
        <w:t xml:space="preserve"> if a retirement age of 80 had been in place</w:t>
      </w:r>
      <w:r w:rsidRPr="003A7222">
        <w:rPr>
          <w:rFonts w:ascii="Verdana" w:hAnsi="Verdana" w:cs="Calibri"/>
          <w:bCs/>
          <w:sz w:val="22"/>
          <w:szCs w:val="22"/>
        </w:rPr>
        <w:t xml:space="preserve">.  Others who have valuable service to give, but who </w:t>
      </w:r>
      <w:r w:rsidRPr="003A7222">
        <w:rPr>
          <w:rFonts w:ascii="Verdana" w:hAnsi="Verdana" w:cs="Calibri"/>
          <w:bCs/>
          <w:sz w:val="22"/>
          <w:szCs w:val="22"/>
        </w:rPr>
        <w:t>are not able to</w:t>
      </w:r>
      <w:r w:rsidRPr="003A7222">
        <w:rPr>
          <w:rFonts w:ascii="Verdana" w:hAnsi="Verdana" w:cs="Calibri"/>
          <w:bCs/>
          <w:sz w:val="22"/>
          <w:szCs w:val="22"/>
        </w:rPr>
        <w:t xml:space="preserve"> commit to that service until their 70s, would be </w:t>
      </w:r>
      <w:r w:rsidRPr="003A7222">
        <w:rPr>
          <w:rFonts w:ascii="Verdana" w:hAnsi="Verdana" w:cs="Calibri"/>
          <w:bCs/>
          <w:sz w:val="22"/>
          <w:szCs w:val="22"/>
        </w:rPr>
        <w:t>similarly-impacted</w:t>
      </w:r>
      <w:r w:rsidRPr="003A7222">
        <w:rPr>
          <w:rFonts w:ascii="Verdana" w:hAnsi="Verdana" w:cs="Calibri"/>
          <w:bCs/>
          <w:sz w:val="22"/>
          <w:szCs w:val="22"/>
        </w:rPr>
        <w:t xml:space="preserve">.  It may be that a minimum period of appointment (say, 7 or 10 years) </w:t>
      </w:r>
      <w:r w:rsidRPr="003A7222" w:rsidR="00A02D34">
        <w:rPr>
          <w:rFonts w:ascii="Verdana" w:hAnsi="Verdana" w:cs="Calibri"/>
          <w:bCs/>
          <w:sz w:val="22"/>
          <w:szCs w:val="22"/>
        </w:rPr>
        <w:t>should sit</w:t>
      </w:r>
      <w:r w:rsidRPr="003A7222">
        <w:rPr>
          <w:rFonts w:ascii="Verdana" w:hAnsi="Verdana" w:cs="Calibri"/>
          <w:bCs/>
          <w:sz w:val="22"/>
          <w:szCs w:val="22"/>
        </w:rPr>
        <w:t xml:space="preserve"> alongside a retirement age, to guarantee that those at risk of having their membership curtailed by the intersection of their age and the end of a Parliament would, under a </w:t>
      </w:r>
      <w:r w:rsidRPr="003A7222" w:rsidR="00A02D34">
        <w:rPr>
          <w:rFonts w:ascii="Verdana" w:hAnsi="Verdana" w:cs="Calibri"/>
          <w:bCs/>
          <w:sz w:val="22"/>
          <w:szCs w:val="22"/>
        </w:rPr>
        <w:t xml:space="preserve">mandatory </w:t>
      </w:r>
      <w:r w:rsidRPr="003A7222">
        <w:rPr>
          <w:rFonts w:ascii="Verdana" w:hAnsi="Verdana" w:cs="Calibri"/>
          <w:bCs/>
          <w:sz w:val="22"/>
          <w:szCs w:val="22"/>
        </w:rPr>
        <w:t>retirement scheme, retain membership beyond the retirement age if a Life Peer had not met a minimum number of years of service.</w:t>
      </w:r>
    </w:p>
    <w:p w:rsidR="0022388F"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Furthermore, a mandatory retirement age creates a de facto age limit for ministerial appointments where none exists at present.  That will not constrain the Government unduly; but I note that the </w:t>
      </w:r>
      <w:r w:rsidRPr="003A7222" w:rsidR="00A02D34">
        <w:rPr>
          <w:rFonts w:ascii="Verdana" w:hAnsi="Verdana" w:cs="Calibri"/>
          <w:bCs/>
          <w:sz w:val="22"/>
          <w:szCs w:val="22"/>
        </w:rPr>
        <w:t>one Lord Speaker con</w:t>
      </w:r>
      <w:r w:rsidRPr="003A7222">
        <w:rPr>
          <w:rFonts w:ascii="Verdana" w:hAnsi="Verdana" w:cs="Calibri"/>
          <w:bCs/>
          <w:sz w:val="22"/>
          <w:szCs w:val="22"/>
        </w:rPr>
        <w:t xml:space="preserve">tinued to serve the House </w:t>
      </w:r>
      <w:r w:rsidRPr="003A7222" w:rsidR="00A02D34">
        <w:rPr>
          <w:rFonts w:ascii="Verdana" w:hAnsi="Verdana" w:cs="Calibri"/>
          <w:bCs/>
          <w:sz w:val="22"/>
          <w:szCs w:val="22"/>
        </w:rPr>
        <w:t>in that role</w:t>
      </w:r>
      <w:r w:rsidRPr="003A7222">
        <w:rPr>
          <w:rFonts w:ascii="Verdana" w:hAnsi="Verdana" w:cs="Calibri"/>
          <w:bCs/>
          <w:sz w:val="22"/>
          <w:szCs w:val="22"/>
        </w:rPr>
        <w:t xml:space="preserve"> for nearly a year and a half beyond the general election at which he would (had the current Government’s retirement proposals been in place) have been </w:t>
      </w:r>
      <w:r w:rsidRPr="003A7222" w:rsidR="00A02D34">
        <w:rPr>
          <w:rFonts w:ascii="Verdana" w:hAnsi="Verdana" w:cs="Calibri"/>
          <w:bCs/>
          <w:sz w:val="22"/>
          <w:szCs w:val="22"/>
        </w:rPr>
        <w:t>forced</w:t>
      </w:r>
      <w:r w:rsidRPr="003A7222">
        <w:rPr>
          <w:rFonts w:ascii="Verdana" w:hAnsi="Verdana" w:cs="Calibri"/>
          <w:bCs/>
          <w:sz w:val="22"/>
          <w:szCs w:val="22"/>
        </w:rPr>
        <w:t xml:space="preserve"> to retire from membership.</w:t>
      </w:r>
      <w:r w:rsidRPr="003A7222" w:rsidR="00A02D34">
        <w:rPr>
          <w:rFonts w:ascii="Verdana" w:hAnsi="Verdana" w:cs="Calibri"/>
          <w:bCs/>
          <w:sz w:val="22"/>
          <w:szCs w:val="22"/>
        </w:rPr>
        <w:t xml:space="preserve">  It may be that Government Ministers and certain officers of the House should be exempted from any mandatory retirement provision while they hold office.</w:t>
      </w:r>
    </w:p>
    <w:p w:rsidR="007C4B16"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Mandating retirement at the end of a Parliament creates inequality between members and undermines the case for retirement at a specific </w:t>
      </w:r>
      <w:r w:rsidRPr="003A7222">
        <w:rPr>
          <w:rFonts w:ascii="Verdana" w:hAnsi="Verdana" w:cs="Calibri"/>
          <w:bCs/>
          <w:i/>
          <w:iCs/>
          <w:sz w:val="22"/>
          <w:szCs w:val="22"/>
        </w:rPr>
        <w:t>age</w:t>
      </w:r>
      <w:r w:rsidRPr="003A7222">
        <w:rPr>
          <w:rFonts w:ascii="Verdana" w:hAnsi="Verdana" w:cs="Calibri"/>
          <w:bCs/>
          <w:sz w:val="22"/>
          <w:szCs w:val="22"/>
        </w:rPr>
        <w:t>.  Had the policy been in place in 2024, one peer would have been forcibly retired only 13 days after his 80</w:t>
      </w:r>
      <w:r w:rsidRPr="003A7222">
        <w:rPr>
          <w:rFonts w:ascii="Verdana" w:hAnsi="Verdana" w:cs="Calibri"/>
          <w:bCs/>
          <w:sz w:val="22"/>
          <w:szCs w:val="22"/>
          <w:vertAlign w:val="superscript"/>
        </w:rPr>
        <w:t>th</w:t>
      </w:r>
      <w:r w:rsidRPr="003A7222">
        <w:rPr>
          <w:rFonts w:ascii="Verdana" w:hAnsi="Verdana" w:cs="Calibri"/>
          <w:bCs/>
          <w:sz w:val="22"/>
          <w:szCs w:val="22"/>
        </w:rPr>
        <w:t xml:space="preserve"> birthday after </w:t>
      </w:r>
      <w:r w:rsidRPr="003A7222" w:rsidR="00A02D34">
        <w:rPr>
          <w:rFonts w:ascii="Verdana" w:hAnsi="Verdana" w:cs="Calibri"/>
          <w:bCs/>
          <w:sz w:val="22"/>
          <w:szCs w:val="22"/>
        </w:rPr>
        <w:t>less</w:t>
      </w:r>
      <w:r w:rsidRPr="003A7222">
        <w:rPr>
          <w:rFonts w:ascii="Verdana" w:hAnsi="Verdana" w:cs="Calibri"/>
          <w:bCs/>
          <w:sz w:val="22"/>
          <w:szCs w:val="22"/>
        </w:rPr>
        <w:t xml:space="preserve"> than four years of service whilst another retiree would have been six months short of their 85</w:t>
      </w:r>
      <w:r w:rsidRPr="003A7222">
        <w:rPr>
          <w:rFonts w:ascii="Verdana" w:hAnsi="Verdana" w:cs="Calibri"/>
          <w:bCs/>
          <w:sz w:val="22"/>
          <w:szCs w:val="22"/>
          <w:vertAlign w:val="superscript"/>
        </w:rPr>
        <w:t>th</w:t>
      </w:r>
      <w:r w:rsidRPr="003A7222">
        <w:rPr>
          <w:rFonts w:ascii="Verdana" w:hAnsi="Verdana" w:cs="Calibri"/>
          <w:bCs/>
          <w:sz w:val="22"/>
          <w:szCs w:val="22"/>
        </w:rPr>
        <w:t xml:space="preserve"> birthday and would have served seven years longer in the House.  If this Parliament lasts for five years, retirees in summer 2029 will be aged between 80 and 85.  So, is this inequality necessary; is it appropriate?  And how does a justification for a particular </w:t>
      </w:r>
      <w:r w:rsidRPr="003A7222">
        <w:rPr>
          <w:rFonts w:ascii="Verdana" w:hAnsi="Verdana" w:cs="Calibri"/>
          <w:bCs/>
          <w:i/>
          <w:iCs/>
          <w:sz w:val="22"/>
          <w:szCs w:val="22"/>
        </w:rPr>
        <w:t>age</w:t>
      </w:r>
      <w:r w:rsidRPr="003A7222">
        <w:rPr>
          <w:rFonts w:ascii="Verdana" w:hAnsi="Verdana" w:cs="Calibri"/>
          <w:bCs/>
          <w:sz w:val="22"/>
          <w:szCs w:val="22"/>
        </w:rPr>
        <w:t xml:space="preserve"> sit alongside this variability?  A turn-over at the end of a Parliament might help the outgoing and incoming governments by creating space for new elevations; but how well does losing many years of experience on the same day serve collegiality and the overall work of the House?  A better approach </w:t>
      </w:r>
      <w:r w:rsidRPr="003A7222" w:rsidR="00A02D34">
        <w:rPr>
          <w:rFonts w:ascii="Verdana" w:hAnsi="Verdana" w:cs="Calibri"/>
          <w:bCs/>
          <w:sz w:val="22"/>
          <w:szCs w:val="22"/>
        </w:rPr>
        <w:t xml:space="preserve">to age-based mandatory retirement would be to require a member to retire </w:t>
      </w:r>
      <w:r w:rsidRPr="003A7222">
        <w:rPr>
          <w:rFonts w:ascii="Verdana" w:hAnsi="Verdana" w:cs="Calibri"/>
          <w:bCs/>
          <w:sz w:val="22"/>
          <w:szCs w:val="22"/>
        </w:rPr>
        <w:t>at the end of a session</w:t>
      </w:r>
      <w:r w:rsidRPr="003A7222" w:rsidR="00A02D34">
        <w:rPr>
          <w:rFonts w:ascii="Verdana" w:hAnsi="Verdana" w:cs="Calibri"/>
          <w:bCs/>
          <w:sz w:val="22"/>
          <w:szCs w:val="22"/>
        </w:rPr>
        <w:t xml:space="preserve"> rather than at the end </w:t>
      </w:r>
      <w:r w:rsidRPr="003A7222">
        <w:rPr>
          <w:rFonts w:ascii="Verdana" w:hAnsi="Verdana" w:cs="Calibri"/>
          <w:bCs/>
          <w:sz w:val="22"/>
          <w:szCs w:val="22"/>
        </w:rPr>
        <w:t>of a Parliament.</w:t>
      </w:r>
    </w:p>
    <w:p w:rsidR="007C4B16"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Even if justified, the Government’s manifesto pledge on mandatory retirement will not limit the size of the House.  It</w:t>
      </w:r>
      <w:r w:rsidRPr="003A7222" w:rsidR="00A02D34">
        <w:rPr>
          <w:rFonts w:ascii="Verdana" w:hAnsi="Verdana" w:cs="Calibri"/>
          <w:bCs/>
          <w:sz w:val="22"/>
          <w:szCs w:val="22"/>
        </w:rPr>
        <w:t xml:space="preserve"> will </w:t>
      </w:r>
      <w:r w:rsidRPr="003A7222" w:rsidR="00A02D34">
        <w:rPr>
          <w:rFonts w:ascii="Verdana" w:hAnsi="Verdana" w:cs="Calibri"/>
          <w:bCs/>
          <w:sz w:val="22"/>
          <w:szCs w:val="22"/>
          <w:u w:val="single"/>
        </w:rPr>
        <w:t>reduce</w:t>
      </w:r>
      <w:r w:rsidRPr="003A7222" w:rsidR="00A02D34">
        <w:rPr>
          <w:rFonts w:ascii="Verdana" w:hAnsi="Verdana" w:cs="Calibri"/>
          <w:bCs/>
          <w:sz w:val="22"/>
          <w:szCs w:val="22"/>
        </w:rPr>
        <w:t xml:space="preserve"> the overall membership of the House:</w:t>
      </w:r>
      <w:r w:rsidRPr="003A7222">
        <w:rPr>
          <w:rFonts w:ascii="Verdana" w:hAnsi="Verdana" w:cs="Calibri"/>
          <w:bCs/>
          <w:sz w:val="22"/>
          <w:szCs w:val="22"/>
        </w:rPr>
        <w:t xml:space="preserve"> had retirement been mandated in May 2024 </w:t>
      </w:r>
      <w:r w:rsidRPr="003A7222">
        <w:rPr>
          <w:rFonts w:ascii="Verdana" w:hAnsi="Verdana" w:cs="Calibri"/>
          <w:bCs/>
          <w:sz w:val="22"/>
          <w:szCs w:val="22"/>
        </w:rPr>
        <w:t xml:space="preserve">for those who had reached 80 at or before dissolution, 598 Life Peers, and not 742, would have been members in January 2026 (a reduction of 144, which includes one member who would have been ineligible to join the House, having been appointed after the 2024 dissolution at the age of 81 years).  However, this does not guarantee a </w:t>
      </w:r>
      <w:r w:rsidRPr="003A7222">
        <w:rPr>
          <w:rFonts w:ascii="Verdana" w:hAnsi="Verdana" w:cs="Calibri"/>
          <w:bCs/>
          <w:sz w:val="22"/>
          <w:szCs w:val="22"/>
          <w:u w:val="single"/>
        </w:rPr>
        <w:t>limit</w:t>
      </w:r>
      <w:r w:rsidRPr="003A7222">
        <w:rPr>
          <w:rFonts w:ascii="Verdana" w:hAnsi="Verdana" w:cs="Calibri"/>
          <w:bCs/>
          <w:sz w:val="22"/>
          <w:szCs w:val="22"/>
        </w:rPr>
        <w:t xml:space="preserve"> on the size of the House, as there is no limitation to the creation of new </w:t>
      </w:r>
      <w:r w:rsidRPr="003A7222" w:rsidR="00A02D34">
        <w:rPr>
          <w:rFonts w:ascii="Verdana" w:hAnsi="Verdana" w:cs="Calibri"/>
          <w:bCs/>
          <w:sz w:val="22"/>
          <w:szCs w:val="22"/>
        </w:rPr>
        <w:t>Life P</w:t>
      </w:r>
      <w:r w:rsidRPr="003A7222">
        <w:rPr>
          <w:rFonts w:ascii="Verdana" w:hAnsi="Verdana" w:cs="Calibri"/>
          <w:bCs/>
          <w:sz w:val="22"/>
          <w:szCs w:val="22"/>
        </w:rPr>
        <w:t xml:space="preserve">eerages, and with an upper age limit </w:t>
      </w:r>
      <w:r w:rsidRPr="003A7222" w:rsidR="00A02D34">
        <w:rPr>
          <w:rFonts w:ascii="Verdana" w:hAnsi="Verdana" w:cs="Calibri"/>
          <w:bCs/>
          <w:sz w:val="22"/>
          <w:szCs w:val="22"/>
        </w:rPr>
        <w:t xml:space="preserve">imposed </w:t>
      </w:r>
      <w:r w:rsidRPr="003A7222">
        <w:rPr>
          <w:rFonts w:ascii="Verdana" w:hAnsi="Verdana" w:cs="Calibri"/>
          <w:bCs/>
          <w:sz w:val="22"/>
          <w:szCs w:val="22"/>
        </w:rPr>
        <w:t xml:space="preserve">there may be a tendency to appoint younger peers.  A limit on the number of Life Peers eligible to attend the House (which would require legislation) or fixed-term appointments underpinned by a limit on creations (also requiring legislation) are the ways to guarantee that membership of the House does not rise in the future.  </w:t>
      </w:r>
    </w:p>
    <w:p w:rsidR="00C64395"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A more secure approach </w:t>
      </w:r>
      <w:r w:rsidRPr="003A7222" w:rsidR="007C4B16">
        <w:rPr>
          <w:rFonts w:ascii="Verdana" w:hAnsi="Verdana" w:cs="Calibri"/>
          <w:bCs/>
          <w:sz w:val="22"/>
          <w:szCs w:val="22"/>
        </w:rPr>
        <w:t xml:space="preserve">to limiting terms and controlling the size of the House </w:t>
      </w:r>
      <w:r w:rsidRPr="003A7222" w:rsidR="00A02D34">
        <w:rPr>
          <w:rFonts w:ascii="Verdana" w:hAnsi="Verdana" w:cs="Calibri"/>
          <w:bCs/>
          <w:sz w:val="22"/>
          <w:szCs w:val="22"/>
        </w:rPr>
        <w:t>is</w:t>
      </w:r>
      <w:r w:rsidRPr="003A7222">
        <w:rPr>
          <w:rFonts w:ascii="Verdana" w:hAnsi="Verdana" w:cs="Calibri"/>
          <w:bCs/>
          <w:sz w:val="22"/>
          <w:szCs w:val="22"/>
        </w:rPr>
        <w:t xml:space="preserve"> to introduce a fixed term for membership.  Fixed terms are widely used </w:t>
      </w:r>
      <w:r w:rsidRPr="003A7222" w:rsidR="0022388F">
        <w:rPr>
          <w:rFonts w:ascii="Verdana" w:hAnsi="Verdana" w:cs="Calibri"/>
          <w:bCs/>
          <w:sz w:val="22"/>
          <w:szCs w:val="22"/>
        </w:rPr>
        <w:t xml:space="preserve">– indeed, accepted as a norm – </w:t>
      </w:r>
      <w:r w:rsidRPr="003A7222">
        <w:rPr>
          <w:rFonts w:ascii="Verdana" w:hAnsi="Verdana" w:cs="Calibri"/>
          <w:bCs/>
          <w:sz w:val="22"/>
          <w:szCs w:val="22"/>
        </w:rPr>
        <w:t>for UK public appointments</w:t>
      </w:r>
      <w:r w:rsidRPr="003A7222" w:rsidR="0022388F">
        <w:rPr>
          <w:rFonts w:ascii="Verdana" w:hAnsi="Verdana" w:cs="Calibri"/>
          <w:bCs/>
          <w:sz w:val="22"/>
          <w:szCs w:val="22"/>
        </w:rPr>
        <w:t>.</w:t>
      </w:r>
      <w:r w:rsidRPr="003A7222">
        <w:rPr>
          <w:rFonts w:ascii="Verdana" w:hAnsi="Verdana" w:cs="Calibri"/>
          <w:bCs/>
          <w:sz w:val="22"/>
          <w:szCs w:val="22"/>
        </w:rPr>
        <w:t xml:space="preserve">  Members appointed to fixed terms of, say, 15 or 20 years, would ensure both continuity and turn-over.  </w:t>
      </w:r>
      <w:r w:rsidRPr="003A7222" w:rsidR="00492EED">
        <w:rPr>
          <w:rFonts w:ascii="Verdana" w:hAnsi="Verdana" w:cs="Calibri"/>
          <w:bCs/>
          <w:sz w:val="22"/>
          <w:szCs w:val="22"/>
        </w:rPr>
        <w:t>Fixed terms</w:t>
      </w:r>
      <w:r w:rsidRPr="003A7222">
        <w:rPr>
          <w:rFonts w:ascii="Verdana" w:hAnsi="Verdana" w:cs="Calibri"/>
          <w:bCs/>
          <w:sz w:val="22"/>
          <w:szCs w:val="22"/>
        </w:rPr>
        <w:t xml:space="preserve"> mean that the duration of the commitment required in the role is set on appointment – and thereby sits well alongside any expectation that, on appointment, the member should undertake to adhere to a certain level of participation in each of those years.  </w:t>
      </w:r>
      <w:r w:rsidRPr="003A7222" w:rsidR="00492EED">
        <w:rPr>
          <w:rFonts w:ascii="Verdana" w:hAnsi="Verdana" w:cs="Calibri"/>
          <w:bCs/>
          <w:sz w:val="22"/>
          <w:szCs w:val="22"/>
        </w:rPr>
        <w:t xml:space="preserve">There would be no cliff-edge when a wealth of experience was lost on a single day.  </w:t>
      </w:r>
    </w:p>
    <w:p w:rsidR="00610147"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Though I argue that, on principle, fixed-term appointments are to be preferred to a retirement age, fixed-term appointments</w:t>
      </w:r>
      <w:r w:rsidRPr="003A7222">
        <w:rPr>
          <w:rFonts w:ascii="Verdana" w:hAnsi="Verdana" w:cs="Calibri"/>
          <w:bCs/>
          <w:sz w:val="22"/>
          <w:szCs w:val="22"/>
        </w:rPr>
        <w:t xml:space="preserve"> would reduce the average length of service, and therefore the institutional memory of the House.  At present, the mean average length of service of the 742 Life Peers is 13.2 years</w:t>
      </w:r>
      <w:r w:rsidRPr="003A7222" w:rsidR="00492EED">
        <w:rPr>
          <w:rFonts w:ascii="Verdana" w:hAnsi="Verdana" w:cs="Calibri"/>
          <w:bCs/>
          <w:sz w:val="22"/>
          <w:szCs w:val="22"/>
        </w:rPr>
        <w:t>.  T</w:t>
      </w:r>
      <w:r w:rsidRPr="003A7222" w:rsidR="003D7CE7">
        <w:rPr>
          <w:rFonts w:ascii="Verdana" w:hAnsi="Verdana" w:cs="Calibri"/>
          <w:bCs/>
          <w:sz w:val="22"/>
          <w:szCs w:val="22"/>
        </w:rPr>
        <w:t xml:space="preserve">he 598 Life Peers who would (if mandatory retirement had been in place in May 2024) be current members of the House </w:t>
      </w:r>
      <w:r w:rsidRPr="003A7222" w:rsidR="00492EED">
        <w:rPr>
          <w:rFonts w:ascii="Verdana" w:hAnsi="Verdana" w:cs="Calibri"/>
          <w:bCs/>
          <w:sz w:val="22"/>
          <w:szCs w:val="22"/>
        </w:rPr>
        <w:t>have a mean service</w:t>
      </w:r>
      <w:r w:rsidRPr="003A7222" w:rsidR="003D7CE7">
        <w:rPr>
          <w:rFonts w:ascii="Verdana" w:hAnsi="Verdana" w:cs="Calibri"/>
          <w:bCs/>
          <w:sz w:val="22"/>
          <w:szCs w:val="22"/>
        </w:rPr>
        <w:t xml:space="preserve"> 10.6 years</w:t>
      </w:r>
      <w:r w:rsidRPr="003A7222">
        <w:rPr>
          <w:rFonts w:ascii="Verdana" w:hAnsi="Verdana" w:cs="Calibri"/>
          <w:bCs/>
          <w:sz w:val="22"/>
          <w:szCs w:val="22"/>
        </w:rPr>
        <w:t xml:space="preserve">.  </w:t>
      </w:r>
      <w:r w:rsidRPr="003A7222" w:rsidR="004A2190">
        <w:rPr>
          <w:rFonts w:ascii="Verdana" w:hAnsi="Verdana" w:cs="Calibri"/>
          <w:bCs/>
          <w:sz w:val="22"/>
          <w:szCs w:val="22"/>
        </w:rPr>
        <w:t xml:space="preserve">A term limit of 20 years would exclude 198 </w:t>
      </w:r>
      <w:r w:rsidRPr="003A7222" w:rsidR="00492EED">
        <w:rPr>
          <w:rFonts w:ascii="Verdana" w:hAnsi="Verdana" w:cs="Calibri"/>
          <w:bCs/>
          <w:sz w:val="22"/>
          <w:szCs w:val="22"/>
        </w:rPr>
        <w:t xml:space="preserve">of the </w:t>
      </w:r>
      <w:r w:rsidRPr="003A7222" w:rsidR="004A2190">
        <w:rPr>
          <w:rFonts w:ascii="Verdana" w:hAnsi="Verdana" w:cs="Calibri"/>
          <w:bCs/>
          <w:sz w:val="22"/>
          <w:szCs w:val="22"/>
        </w:rPr>
        <w:t xml:space="preserve">current </w:t>
      </w:r>
      <w:r w:rsidRPr="003A7222" w:rsidR="00492EED">
        <w:rPr>
          <w:rFonts w:ascii="Verdana" w:hAnsi="Verdana" w:cs="Calibri"/>
          <w:bCs/>
          <w:sz w:val="22"/>
          <w:szCs w:val="22"/>
        </w:rPr>
        <w:t>742 Life Peers</w:t>
      </w:r>
      <w:r w:rsidRPr="003A7222" w:rsidR="004A2190">
        <w:rPr>
          <w:rFonts w:ascii="Verdana" w:hAnsi="Verdana" w:cs="Calibri"/>
          <w:bCs/>
          <w:sz w:val="22"/>
          <w:szCs w:val="22"/>
        </w:rPr>
        <w:t xml:space="preserve"> and bring the mean service down to 8.4 years.  A term limit of 15 years would exclude a further 123 current members and result in a mean service of 6.1 years.  On this basis, a lengthy fixed-term appointment of 20 years may be preferred over 15 years, especially as it is inevitable that some members will leave the house before the end of any lengthy fixed term.</w:t>
      </w:r>
      <w:r w:rsidRPr="003A7222" w:rsidR="003D7CE7">
        <w:rPr>
          <w:rFonts w:ascii="Verdana" w:hAnsi="Verdana" w:cs="Calibri"/>
          <w:bCs/>
          <w:sz w:val="22"/>
          <w:szCs w:val="22"/>
        </w:rPr>
        <w:t xml:space="preserve">  Fixed-term appointments may, therefore, result in an even shorter average length of service than a mandatory retirement age.</w:t>
      </w:r>
    </w:p>
    <w:p w:rsidR="00E36DEE"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For existing members, mandatory retirement </w:t>
      </w:r>
      <w:r w:rsidRPr="003A7222" w:rsidR="00610147">
        <w:rPr>
          <w:rFonts w:ascii="Verdana" w:hAnsi="Verdana" w:cs="Calibri"/>
          <w:bCs/>
          <w:sz w:val="22"/>
          <w:szCs w:val="22"/>
        </w:rPr>
        <w:t xml:space="preserve">(or </w:t>
      </w:r>
      <w:r w:rsidRPr="003A7222" w:rsidR="00610147">
        <w:rPr>
          <w:rFonts w:ascii="Verdana" w:hAnsi="Verdana" w:cs="Calibri"/>
          <w:bCs/>
          <w:sz w:val="22"/>
          <w:szCs w:val="22"/>
        </w:rPr>
        <w:t>fixed-terms</w:t>
      </w:r>
      <w:r w:rsidRPr="003A7222" w:rsidR="00610147">
        <w:rPr>
          <w:rFonts w:ascii="Verdana" w:hAnsi="Verdana" w:cs="Calibri"/>
          <w:bCs/>
          <w:sz w:val="22"/>
          <w:szCs w:val="22"/>
        </w:rPr>
        <w:t xml:space="preserve">) </w:t>
      </w:r>
      <w:r w:rsidRPr="003A7222">
        <w:rPr>
          <w:rFonts w:ascii="Verdana" w:hAnsi="Verdana" w:cs="Calibri"/>
          <w:bCs/>
          <w:sz w:val="22"/>
          <w:szCs w:val="22"/>
        </w:rPr>
        <w:t>should be imposed only by legislation.  Life peers are entitled – subject to certain statutory provisions pertaining to retirement and expulsion – to receive a writ of summons, and therefore, to sit and vote as members of the House, for life.  Statutory schemes exist to end that right</w:t>
      </w:r>
      <w:r w:rsidRPr="003A7222" w:rsidR="00492EED">
        <w:rPr>
          <w:rFonts w:ascii="Verdana" w:hAnsi="Verdana" w:cs="Calibri"/>
          <w:bCs/>
          <w:sz w:val="22"/>
          <w:szCs w:val="22"/>
        </w:rPr>
        <w:t>, including voluntary retirement.  If a new way</w:t>
      </w:r>
      <w:r w:rsidRPr="003A7222">
        <w:rPr>
          <w:rFonts w:ascii="Verdana" w:hAnsi="Verdana" w:cs="Calibri"/>
          <w:bCs/>
          <w:sz w:val="22"/>
          <w:szCs w:val="22"/>
        </w:rPr>
        <w:t xml:space="preserve"> of ending that right for existing members</w:t>
      </w:r>
      <w:r w:rsidRPr="003A7222" w:rsidR="00492EED">
        <w:rPr>
          <w:rFonts w:ascii="Verdana" w:hAnsi="Verdana" w:cs="Calibri"/>
          <w:bCs/>
          <w:sz w:val="22"/>
          <w:szCs w:val="22"/>
        </w:rPr>
        <w:t xml:space="preserve"> – </w:t>
      </w:r>
      <w:r w:rsidRPr="003A7222" w:rsidR="00492EED">
        <w:rPr>
          <w:rFonts w:ascii="Verdana" w:hAnsi="Verdana" w:cs="Calibri"/>
          <w:bCs/>
          <w:i/>
          <w:iCs/>
          <w:sz w:val="22"/>
          <w:szCs w:val="22"/>
        </w:rPr>
        <w:t>mandatory</w:t>
      </w:r>
      <w:r w:rsidRPr="003A7222" w:rsidR="00492EED">
        <w:rPr>
          <w:rFonts w:ascii="Verdana" w:hAnsi="Verdana" w:cs="Calibri"/>
          <w:bCs/>
          <w:sz w:val="22"/>
          <w:szCs w:val="22"/>
        </w:rPr>
        <w:t xml:space="preserve"> retirement – is imposed</w:t>
      </w:r>
      <w:r w:rsidRPr="003A7222">
        <w:rPr>
          <w:rFonts w:ascii="Verdana" w:hAnsi="Verdana" w:cs="Calibri"/>
          <w:bCs/>
          <w:sz w:val="22"/>
          <w:szCs w:val="22"/>
        </w:rPr>
        <w:t xml:space="preserve">, it should be </w:t>
      </w:r>
      <w:r w:rsidRPr="003A7222" w:rsidR="00492EED">
        <w:rPr>
          <w:rFonts w:ascii="Verdana" w:hAnsi="Verdana" w:cs="Calibri"/>
          <w:bCs/>
          <w:sz w:val="22"/>
          <w:szCs w:val="22"/>
        </w:rPr>
        <w:t>done by statute</w:t>
      </w:r>
      <w:r w:rsidRPr="003A7222">
        <w:rPr>
          <w:rFonts w:ascii="Verdana" w:hAnsi="Verdana" w:cs="Calibri"/>
          <w:bCs/>
          <w:sz w:val="22"/>
          <w:szCs w:val="22"/>
        </w:rPr>
        <w:t>.</w:t>
      </w:r>
    </w:p>
    <w:p w:rsidR="00E36DEE"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 xml:space="preserve">For new members, legislation on mandatory retirement </w:t>
      </w:r>
      <w:r w:rsidRPr="003A7222" w:rsidR="00610147">
        <w:rPr>
          <w:rFonts w:ascii="Verdana" w:hAnsi="Verdana" w:cs="Calibri"/>
          <w:bCs/>
          <w:sz w:val="22"/>
          <w:szCs w:val="22"/>
        </w:rPr>
        <w:t xml:space="preserve">(or fixed terms) </w:t>
      </w:r>
      <w:r w:rsidRPr="003A7222">
        <w:rPr>
          <w:rFonts w:ascii="Verdana" w:hAnsi="Verdana" w:cs="Calibri"/>
          <w:bCs/>
          <w:sz w:val="22"/>
          <w:szCs w:val="22"/>
        </w:rPr>
        <w:t>may not be required.  The Lord Speaker’s Committee on the Size of the House, which sought a non-legislative route to limiting the size of the House, proposed a “new way forward” for new appointments only: requiring newly-appointed peers to sign an undertaking to retire from membership of the House at a particular age (or, in the case of the specific recommendations of that Committee, after a specified number of years) and making a failure to fulfil this undertaking a breach of the Code of Conduct punishable by expulsion.</w:t>
      </w:r>
      <w:r>
        <w:rPr>
          <w:rStyle w:val="FootnoteReference"/>
          <w:rFonts w:ascii="Verdana" w:hAnsi="Verdana" w:cs="Calibri"/>
          <w:bCs/>
          <w:sz w:val="22"/>
          <w:szCs w:val="22"/>
        </w:rPr>
        <w:footnoteReference w:id="4"/>
      </w:r>
      <w:r w:rsidRPr="003A7222">
        <w:rPr>
          <w:rFonts w:ascii="Verdana" w:hAnsi="Verdana" w:cs="Calibri"/>
          <w:bCs/>
          <w:sz w:val="22"/>
          <w:szCs w:val="22"/>
        </w:rPr>
        <w:t xml:space="preserve">   That approach was highly innovative, and any risks would not be tested for some years.  It may work for new appointees; it is likely to be unacceptable for existing members.  The argument is that a new member making this undertaking on appointment is very different from imposing a requirement on existing members.</w:t>
      </w:r>
    </w:p>
    <w:p w:rsidR="009E03C1" w:rsidRPr="003A7222" w:rsidP="003A7222">
      <w:pPr>
        <w:rPr>
          <w:rFonts w:ascii="Verdana" w:hAnsi="Verdana" w:cs="Calibri"/>
          <w:bCs/>
          <w:sz w:val="22"/>
          <w:szCs w:val="22"/>
          <w:u w:val="single"/>
        </w:rPr>
      </w:pPr>
      <w:r w:rsidRPr="003A7222">
        <w:rPr>
          <w:rFonts w:ascii="Verdana" w:hAnsi="Verdana" w:cs="Calibri"/>
          <w:bCs/>
          <w:sz w:val="22"/>
          <w:szCs w:val="22"/>
          <w:u w:val="single"/>
        </w:rPr>
        <w:t>Participation</w:t>
      </w:r>
    </w:p>
    <w:p w:rsidR="009E03C1"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The House already has a minimum participation requirement.  It is statutory (House of Lords Reform Act 2014, Section 2).  It has a very low requirement (to attend at least once during a session which lasts six months or more); but carries a very high sanction (cessation of membership).  The question is, therefore, not whether to introduce a minimum participation requirement, but</w:t>
      </w:r>
      <w:r w:rsidRPr="003A7222" w:rsidR="00112A8F">
        <w:rPr>
          <w:rFonts w:ascii="Verdana" w:hAnsi="Verdana" w:cs="Calibri"/>
          <w:bCs/>
          <w:sz w:val="22"/>
          <w:szCs w:val="22"/>
        </w:rPr>
        <w:t xml:space="preserve"> whether to change it – formally, or informally.</w:t>
      </w:r>
    </w:p>
    <w:p w:rsidR="009E03C1"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S</w:t>
      </w:r>
      <w:r w:rsidRPr="003A7222">
        <w:rPr>
          <w:rFonts w:ascii="Verdana" w:hAnsi="Verdana" w:cs="Calibri"/>
          <w:bCs/>
          <w:sz w:val="22"/>
          <w:szCs w:val="22"/>
        </w:rPr>
        <w:t xml:space="preserve">hould the current minimum participation requirement be increased?  </w:t>
      </w:r>
      <w:r w:rsidRPr="003A7222" w:rsidR="002418BA">
        <w:rPr>
          <w:rFonts w:ascii="Verdana" w:hAnsi="Verdana" w:cs="Calibri"/>
          <w:bCs/>
          <w:sz w:val="22"/>
          <w:szCs w:val="22"/>
        </w:rPr>
        <w:t xml:space="preserve">This depends on the purpose of </w:t>
      </w:r>
      <w:r w:rsidRPr="003A7222" w:rsidR="002D3298">
        <w:rPr>
          <w:rFonts w:ascii="Verdana" w:hAnsi="Verdana" w:cs="Calibri"/>
          <w:bCs/>
          <w:sz w:val="22"/>
          <w:szCs w:val="22"/>
        </w:rPr>
        <w:t>the requirement.  The Lords has always been a part-time House.  How the obligations imposed by receipt of a Writ of Summons are discharged is a matter of honour.  However, it may be reasonable to assert that a higher minimum level of attendance is required to maintain some level of understanding of, and therefore competence in, the functioning of the House.  By analogy, lay Magistrates (who may, of course in addition be in full-time employment or full-time caring roles</w:t>
      </w:r>
      <w:r w:rsidRPr="003A7222">
        <w:rPr>
          <w:rFonts w:ascii="Verdana" w:hAnsi="Verdana" w:cs="Calibri"/>
          <w:bCs/>
          <w:sz w:val="22"/>
          <w:szCs w:val="22"/>
        </w:rPr>
        <w:t xml:space="preserve"> alongside their judicial duties</w:t>
      </w:r>
      <w:r w:rsidRPr="003A7222" w:rsidR="002D3298">
        <w:rPr>
          <w:rFonts w:ascii="Verdana" w:hAnsi="Verdana" w:cs="Calibri"/>
          <w:bCs/>
          <w:sz w:val="22"/>
          <w:szCs w:val="22"/>
        </w:rPr>
        <w:t xml:space="preserve">) are required to make an undertaking to sit for at least 13 days </w:t>
      </w:r>
      <w:r w:rsidRPr="003A7222">
        <w:rPr>
          <w:rFonts w:ascii="Verdana" w:hAnsi="Verdana" w:cs="Calibri"/>
          <w:bCs/>
          <w:sz w:val="22"/>
          <w:szCs w:val="22"/>
        </w:rPr>
        <w:t xml:space="preserve">(or 26 half-days) </w:t>
      </w:r>
      <w:r w:rsidRPr="003A7222" w:rsidR="002D3298">
        <w:rPr>
          <w:rFonts w:ascii="Verdana" w:hAnsi="Verdana" w:cs="Calibri"/>
          <w:bCs/>
          <w:sz w:val="22"/>
          <w:szCs w:val="22"/>
        </w:rPr>
        <w:t xml:space="preserve">per year.  Many </w:t>
      </w:r>
      <w:r w:rsidRPr="003A7222" w:rsidR="002D3298">
        <w:rPr>
          <w:rFonts w:ascii="Verdana" w:hAnsi="Verdana" w:cs="Calibri"/>
          <w:bCs/>
          <w:sz w:val="22"/>
          <w:szCs w:val="22"/>
        </w:rPr>
        <w:t>sit</w:t>
      </w:r>
      <w:r w:rsidRPr="003A7222" w:rsidR="002D3298">
        <w:rPr>
          <w:rFonts w:ascii="Verdana" w:hAnsi="Verdana" w:cs="Calibri"/>
          <w:bCs/>
          <w:sz w:val="22"/>
          <w:szCs w:val="22"/>
        </w:rPr>
        <w:t xml:space="preserve"> for more, and sometimes there is an unofficial – and wholly unenforceable – local</w:t>
      </w:r>
      <w:r w:rsidRPr="003A7222">
        <w:rPr>
          <w:rFonts w:ascii="Verdana" w:hAnsi="Verdana" w:cs="Calibri"/>
          <w:bCs/>
          <w:sz w:val="22"/>
          <w:szCs w:val="22"/>
        </w:rPr>
        <w:t>ly determined minimum</w:t>
      </w:r>
      <w:r w:rsidRPr="003A7222" w:rsidR="002D3298">
        <w:rPr>
          <w:rFonts w:ascii="Verdana" w:hAnsi="Verdana" w:cs="Calibri"/>
          <w:bCs/>
          <w:sz w:val="22"/>
          <w:szCs w:val="22"/>
        </w:rPr>
        <w:t xml:space="preserve"> expected sitting level.  Some exceptions </w:t>
      </w:r>
      <w:r w:rsidRPr="003A7222">
        <w:rPr>
          <w:rFonts w:ascii="Verdana" w:hAnsi="Verdana" w:cs="Calibri"/>
          <w:bCs/>
          <w:sz w:val="22"/>
          <w:szCs w:val="22"/>
        </w:rPr>
        <w:t xml:space="preserve">from the 13-day minimum are permitted </w:t>
      </w:r>
      <w:r w:rsidRPr="003A7222" w:rsidR="002D3298">
        <w:rPr>
          <w:rFonts w:ascii="Verdana" w:hAnsi="Verdana" w:cs="Calibri"/>
          <w:bCs/>
          <w:sz w:val="22"/>
          <w:szCs w:val="22"/>
        </w:rPr>
        <w:t xml:space="preserve">for extenuating circumstances and leave of absence </w:t>
      </w:r>
      <w:r w:rsidRPr="003A7222">
        <w:rPr>
          <w:rFonts w:ascii="Verdana" w:hAnsi="Verdana" w:cs="Calibri"/>
          <w:bCs/>
          <w:sz w:val="22"/>
          <w:szCs w:val="22"/>
        </w:rPr>
        <w:t>can be granted</w:t>
      </w:r>
      <w:r w:rsidRPr="003A7222" w:rsidR="002D3298">
        <w:rPr>
          <w:rFonts w:ascii="Verdana" w:hAnsi="Verdana" w:cs="Calibri"/>
          <w:bCs/>
          <w:sz w:val="22"/>
          <w:szCs w:val="22"/>
        </w:rPr>
        <w:t xml:space="preserve">; but in extremis, </w:t>
      </w:r>
      <w:r w:rsidRPr="003A7222">
        <w:rPr>
          <w:rFonts w:ascii="Verdana" w:hAnsi="Verdana" w:cs="Calibri"/>
          <w:bCs/>
          <w:sz w:val="22"/>
          <w:szCs w:val="22"/>
        </w:rPr>
        <w:t>a lay Magistrate</w:t>
      </w:r>
      <w:r w:rsidRPr="003A7222" w:rsidR="002D3298">
        <w:rPr>
          <w:rFonts w:ascii="Verdana" w:hAnsi="Verdana" w:cs="Calibri"/>
          <w:bCs/>
          <w:sz w:val="22"/>
          <w:szCs w:val="22"/>
        </w:rPr>
        <w:t xml:space="preserve"> may be obliged to stand down.  Fee-paid judges are required to sit for at least 15 days per year.  In both cases, the minimum requirement is about maintaining competence in their judicial role, although a </w:t>
      </w:r>
      <w:r w:rsidRPr="003A7222">
        <w:rPr>
          <w:rFonts w:ascii="Verdana" w:hAnsi="Verdana" w:cs="Calibri"/>
          <w:bCs/>
          <w:sz w:val="22"/>
          <w:szCs w:val="22"/>
        </w:rPr>
        <w:t>wide array</w:t>
      </w:r>
      <w:r w:rsidRPr="003A7222" w:rsidR="002D3298">
        <w:rPr>
          <w:rFonts w:ascii="Verdana" w:hAnsi="Verdana" w:cs="Calibri"/>
          <w:bCs/>
          <w:sz w:val="22"/>
          <w:szCs w:val="22"/>
        </w:rPr>
        <w:t xml:space="preserve"> of business is not guaranteed across a</w:t>
      </w:r>
      <w:r w:rsidRPr="003A7222">
        <w:rPr>
          <w:rFonts w:ascii="Verdana" w:hAnsi="Verdana" w:cs="Calibri"/>
          <w:bCs/>
          <w:sz w:val="22"/>
          <w:szCs w:val="22"/>
        </w:rPr>
        <w:t>n</w:t>
      </w:r>
      <w:r w:rsidRPr="003A7222" w:rsidR="002D3298">
        <w:rPr>
          <w:rFonts w:ascii="Verdana" w:hAnsi="Verdana" w:cs="Calibri"/>
          <w:bCs/>
          <w:sz w:val="22"/>
          <w:szCs w:val="22"/>
        </w:rPr>
        <w:t xml:space="preserve">y year.  A higher participation expectation laid down by the </w:t>
      </w:r>
      <w:r w:rsidRPr="003A7222">
        <w:rPr>
          <w:rFonts w:ascii="Verdana" w:hAnsi="Verdana" w:cs="Calibri"/>
          <w:bCs/>
          <w:sz w:val="22"/>
          <w:szCs w:val="22"/>
        </w:rPr>
        <w:t xml:space="preserve">whole </w:t>
      </w:r>
      <w:r w:rsidRPr="003A7222" w:rsidR="002D3298">
        <w:rPr>
          <w:rFonts w:ascii="Verdana" w:hAnsi="Verdana" w:cs="Calibri"/>
          <w:bCs/>
          <w:sz w:val="22"/>
          <w:szCs w:val="22"/>
        </w:rPr>
        <w:t xml:space="preserve">House could, at the least, cause </w:t>
      </w:r>
      <w:r w:rsidRPr="003A7222" w:rsidR="002D3298">
        <w:rPr>
          <w:rFonts w:ascii="Verdana" w:hAnsi="Verdana" w:cs="Calibri"/>
          <w:bCs/>
          <w:sz w:val="22"/>
          <w:szCs w:val="22"/>
        </w:rPr>
        <w:t>individual members to reflect on whether, as a matter of personal honour, they are executing their duty</w:t>
      </w:r>
      <w:r w:rsidRPr="003A7222">
        <w:rPr>
          <w:rFonts w:ascii="Verdana" w:hAnsi="Verdana" w:cs="Calibri"/>
          <w:bCs/>
          <w:sz w:val="22"/>
          <w:szCs w:val="22"/>
        </w:rPr>
        <w:t>, and thereby promote consideration of voluntary retirement</w:t>
      </w:r>
      <w:r w:rsidRPr="003A7222" w:rsidR="002D3298">
        <w:rPr>
          <w:rFonts w:ascii="Verdana" w:hAnsi="Verdana" w:cs="Calibri"/>
          <w:bCs/>
          <w:sz w:val="22"/>
          <w:szCs w:val="22"/>
        </w:rPr>
        <w:t>.</w:t>
      </w:r>
    </w:p>
    <w:p w:rsidR="00390381"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W</w:t>
      </w:r>
      <w:r w:rsidRPr="003A7222" w:rsidR="002418BA">
        <w:rPr>
          <w:rFonts w:ascii="Verdana" w:hAnsi="Verdana" w:cs="Calibri"/>
          <w:bCs/>
          <w:sz w:val="22"/>
          <w:szCs w:val="22"/>
        </w:rPr>
        <w:t xml:space="preserve">hat should count as “participation”?  </w:t>
      </w:r>
      <w:r w:rsidRPr="003A7222">
        <w:rPr>
          <w:rFonts w:ascii="Verdana" w:hAnsi="Verdana" w:cs="Calibri"/>
          <w:bCs/>
          <w:sz w:val="22"/>
          <w:szCs w:val="22"/>
        </w:rPr>
        <w:t>A</w:t>
      </w:r>
      <w:r w:rsidRPr="003A7222" w:rsidR="002418BA">
        <w:rPr>
          <w:rFonts w:ascii="Verdana" w:hAnsi="Verdana" w:cs="Calibri"/>
          <w:bCs/>
          <w:sz w:val="22"/>
          <w:szCs w:val="22"/>
        </w:rPr>
        <w:t>t present, only “attendance” counts as participation.  That is easily defined, and easily counted, but is not necessarily a meaningful indicator of engagement with</w:t>
      </w:r>
      <w:r w:rsidRPr="003A7222">
        <w:rPr>
          <w:rFonts w:ascii="Verdana" w:hAnsi="Verdana" w:cs="Calibri"/>
          <w:bCs/>
          <w:sz w:val="22"/>
          <w:szCs w:val="22"/>
        </w:rPr>
        <w:t>,</w:t>
      </w:r>
      <w:r w:rsidRPr="003A7222" w:rsidR="002418BA">
        <w:rPr>
          <w:rFonts w:ascii="Verdana" w:hAnsi="Verdana" w:cs="Calibri"/>
          <w:bCs/>
          <w:sz w:val="22"/>
          <w:szCs w:val="22"/>
        </w:rPr>
        <w:t xml:space="preserve"> or participation in proceedings of</w:t>
      </w:r>
      <w:r w:rsidRPr="003A7222">
        <w:rPr>
          <w:rFonts w:ascii="Verdana" w:hAnsi="Verdana" w:cs="Calibri"/>
          <w:bCs/>
          <w:sz w:val="22"/>
          <w:szCs w:val="22"/>
        </w:rPr>
        <w:t>,</w:t>
      </w:r>
      <w:r w:rsidRPr="003A7222" w:rsidR="002418BA">
        <w:rPr>
          <w:rFonts w:ascii="Verdana" w:hAnsi="Verdana" w:cs="Calibri"/>
          <w:bCs/>
          <w:sz w:val="22"/>
          <w:szCs w:val="22"/>
        </w:rPr>
        <w:t xml:space="preserve"> the House.  A higher attendance requirement would likely disadvantage those with heavy professional commitments who only attend for matters relating to their </w:t>
      </w:r>
      <w:r w:rsidRPr="003A7222" w:rsidR="002418BA">
        <w:rPr>
          <w:rFonts w:ascii="Verdana" w:hAnsi="Verdana" w:cs="Calibri"/>
          <w:bCs/>
          <w:sz w:val="22"/>
          <w:szCs w:val="22"/>
        </w:rPr>
        <w:t>expertise</w:t>
      </w:r>
      <w:r w:rsidRPr="003A7222" w:rsidR="002418BA">
        <w:rPr>
          <w:rFonts w:ascii="Verdana" w:hAnsi="Verdana" w:cs="Calibri"/>
          <w:bCs/>
          <w:sz w:val="22"/>
          <w:szCs w:val="22"/>
        </w:rPr>
        <w:t xml:space="preserve"> but who otherwise assiduously keep up with the business of the House remotely.  A system of “weighted attendance” could be devised: with membership of a committee perhaps counting more than simply attending a </w:t>
      </w:r>
      <w:r w:rsidRPr="003A7222" w:rsidR="002418BA">
        <w:rPr>
          <w:rFonts w:ascii="Verdana" w:hAnsi="Verdana" w:cs="Calibri"/>
          <w:bCs/>
          <w:sz w:val="22"/>
          <w:szCs w:val="22"/>
        </w:rPr>
        <w:t>debate, and</w:t>
      </w:r>
      <w:r w:rsidRPr="003A7222" w:rsidR="002418BA">
        <w:rPr>
          <w:rFonts w:ascii="Verdana" w:hAnsi="Verdana" w:cs="Calibri"/>
          <w:bCs/>
          <w:sz w:val="22"/>
          <w:szCs w:val="22"/>
        </w:rPr>
        <w:t xml:space="preserve"> chairing a committee counting significantly (and proportionately to the effort involved).  </w:t>
      </w:r>
      <w:r w:rsidRPr="003A7222">
        <w:rPr>
          <w:rFonts w:ascii="Verdana" w:hAnsi="Verdana" w:cs="Calibri"/>
          <w:bCs/>
          <w:sz w:val="22"/>
          <w:szCs w:val="22"/>
        </w:rPr>
        <w:t>Is</w:t>
      </w:r>
      <w:r w:rsidRPr="003A7222" w:rsidR="002418BA">
        <w:rPr>
          <w:rFonts w:ascii="Verdana" w:hAnsi="Verdana" w:cs="Calibri"/>
          <w:bCs/>
          <w:sz w:val="22"/>
          <w:szCs w:val="22"/>
        </w:rPr>
        <w:t xml:space="preserve"> the House content with a member fulfilling a high participation requirement primarily through committee work?  Evaluating the worth of contribution or effectiveness is fraught with logistical and political difficulty.  Countable activities (speaking in debate, the laying of amendments, asking of written or oral questions) may or may not contribute to the good working of the House – 20</w:t>
      </w:r>
      <w:r w:rsidRPr="003A7222" w:rsidR="002418BA">
        <w:rPr>
          <w:rFonts w:ascii="Verdana" w:hAnsi="Verdana" w:cs="Calibri"/>
          <w:bCs/>
          <w:sz w:val="22"/>
          <w:szCs w:val="22"/>
          <w:vertAlign w:val="superscript"/>
        </w:rPr>
        <w:t>th</w:t>
      </w:r>
      <w:r w:rsidRPr="003A7222" w:rsidR="002418BA">
        <w:rPr>
          <w:rFonts w:ascii="Verdana" w:hAnsi="Verdana" w:cs="Calibri"/>
          <w:bCs/>
          <w:sz w:val="22"/>
          <w:szCs w:val="22"/>
        </w:rPr>
        <w:t xml:space="preserve"> century attempts to deal with “the problem of the backwoodsmen”, as it was called, were always tempered by a concern not to clog up the day-to-day function of the house through incentivising greater activity for its own sake – and will likely favour those who have help in drafting from party machines or advocacy groups.  Therefore, attendance is likely the least-worst </w:t>
      </w:r>
      <w:r w:rsidRPr="003A7222" w:rsidR="002D3298">
        <w:rPr>
          <w:rFonts w:ascii="Verdana" w:hAnsi="Verdana" w:cs="Calibri"/>
          <w:bCs/>
          <w:sz w:val="22"/>
          <w:szCs w:val="22"/>
        </w:rPr>
        <w:t>measure of participation; but the House should seriously consider devising a system of “weighting”, imperfect as it may be, to acknowledge that not all attendance represents the same effort.</w:t>
      </w:r>
    </w:p>
    <w:p w:rsidR="002418BA"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H</w:t>
      </w:r>
      <w:r w:rsidRPr="003A7222" w:rsidR="00390381">
        <w:rPr>
          <w:rFonts w:ascii="Verdana" w:hAnsi="Verdana" w:cs="Calibri"/>
          <w:bCs/>
          <w:sz w:val="22"/>
          <w:szCs w:val="22"/>
        </w:rPr>
        <w:t xml:space="preserve">ow should an attendance level be set?  A requirement to attend a minimum proportion of sittings – 20% has in the past been suggested – is superficially attractive.  But the number of sittings in any session can vary considerably, and some members whose other legitimate commitments make it difficult to attend frequently may be at risk of not knowing whether they have met that minimum until after the end of the session, until which time what 20% means in practice will not be known.  </w:t>
      </w:r>
      <w:r w:rsidRPr="003A7222" w:rsidR="002806EA">
        <w:rPr>
          <w:rFonts w:ascii="Verdana" w:hAnsi="Verdana" w:cs="Calibri"/>
          <w:bCs/>
          <w:sz w:val="22"/>
          <w:szCs w:val="22"/>
        </w:rPr>
        <w:t>The better option is</w:t>
      </w:r>
      <w:r w:rsidRPr="003A7222" w:rsidR="00390381">
        <w:rPr>
          <w:rFonts w:ascii="Verdana" w:hAnsi="Verdana" w:cs="Calibri"/>
          <w:bCs/>
          <w:sz w:val="22"/>
          <w:szCs w:val="22"/>
        </w:rPr>
        <w:t xml:space="preserve"> to fix a minimum number of sittings (perhaps with a transparent weighting scheme) to be attended per year, or per session lasting more than six months (as at present).  </w:t>
      </w:r>
    </w:p>
    <w:p w:rsidR="00112A8F"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S</w:t>
      </w:r>
      <w:r w:rsidRPr="003A7222" w:rsidR="009E03C1">
        <w:rPr>
          <w:rFonts w:ascii="Verdana" w:hAnsi="Verdana" w:cs="Calibri"/>
          <w:bCs/>
          <w:sz w:val="22"/>
          <w:szCs w:val="22"/>
        </w:rPr>
        <w:t>hould a higher requirement should</w:t>
      </w:r>
      <w:r w:rsidRPr="003A7222" w:rsidR="009E03C1">
        <w:rPr>
          <w:rFonts w:ascii="Verdana" w:hAnsi="Verdana" w:cs="Calibri"/>
          <w:bCs/>
          <w:sz w:val="22"/>
          <w:szCs w:val="22"/>
        </w:rPr>
        <w:t xml:space="preserve"> come with the same very high sanction?  </w:t>
      </w:r>
      <w:r w:rsidRPr="003A7222" w:rsidR="002806EA">
        <w:rPr>
          <w:rFonts w:ascii="Verdana" w:hAnsi="Verdana" w:cs="Calibri"/>
          <w:bCs/>
          <w:sz w:val="22"/>
          <w:szCs w:val="22"/>
        </w:rPr>
        <w:t xml:space="preserve">It depends on the purpose of a higher requirement.  </w:t>
      </w:r>
      <w:r w:rsidRPr="003A7222" w:rsidR="005A122B">
        <w:rPr>
          <w:rFonts w:ascii="Verdana" w:hAnsi="Verdana" w:cs="Calibri"/>
          <w:bCs/>
          <w:sz w:val="22"/>
          <w:szCs w:val="22"/>
        </w:rPr>
        <w:t>Yes, if the House is sure that a higher participation requirement is necessary for the good functioning of the House – and in that case, the statut</w:t>
      </w:r>
      <w:r w:rsidRPr="003A7222">
        <w:rPr>
          <w:rFonts w:ascii="Verdana" w:hAnsi="Verdana" w:cs="Calibri"/>
          <w:bCs/>
          <w:sz w:val="22"/>
          <w:szCs w:val="22"/>
        </w:rPr>
        <w:t>ory minimum</w:t>
      </w:r>
      <w:r w:rsidRPr="003A7222" w:rsidR="005A122B">
        <w:rPr>
          <w:rFonts w:ascii="Verdana" w:hAnsi="Verdana" w:cs="Calibri"/>
          <w:bCs/>
          <w:sz w:val="22"/>
          <w:szCs w:val="22"/>
        </w:rPr>
        <w:t xml:space="preserve"> should be amended accordingly.  Otherwise, consideration should be given as to less extreme sanctions, for example whether a member who has not </w:t>
      </w:r>
      <w:r w:rsidRPr="003A7222" w:rsidR="005A122B">
        <w:rPr>
          <w:rFonts w:ascii="Verdana" w:hAnsi="Verdana" w:cs="Calibri"/>
          <w:bCs/>
          <w:sz w:val="22"/>
          <w:szCs w:val="22"/>
        </w:rPr>
        <w:t xml:space="preserve">met a participation threshold in one session should have the right to vote in the next.  Or whether, simply, a higher requirement should be a means of </w:t>
      </w:r>
      <w:r w:rsidRPr="003A7222" w:rsidR="005A122B">
        <w:rPr>
          <w:rFonts w:ascii="Verdana" w:hAnsi="Verdana" w:cs="Calibri"/>
          <w:bCs/>
          <w:sz w:val="22"/>
          <w:szCs w:val="22"/>
        </w:rPr>
        <w:t>opening up</w:t>
      </w:r>
      <w:r w:rsidRPr="003A7222" w:rsidR="005A122B">
        <w:rPr>
          <w:rFonts w:ascii="Verdana" w:hAnsi="Verdana" w:cs="Calibri"/>
          <w:bCs/>
          <w:sz w:val="22"/>
          <w:szCs w:val="22"/>
        </w:rPr>
        <w:t xml:space="preserve"> a sensitive pastoral conversation with a member as to whether they still have the time and energy to commit to active membership of the House – or whether they should seek a leave of </w:t>
      </w:r>
      <w:r w:rsidRPr="003A7222" w:rsidR="005A122B">
        <w:rPr>
          <w:rFonts w:ascii="Verdana" w:hAnsi="Verdana" w:cs="Calibri"/>
          <w:bCs/>
          <w:sz w:val="22"/>
          <w:szCs w:val="22"/>
        </w:rPr>
        <w:t>absence, or</w:t>
      </w:r>
      <w:r w:rsidRPr="003A7222" w:rsidR="005A122B">
        <w:rPr>
          <w:rFonts w:ascii="Verdana" w:hAnsi="Verdana" w:cs="Calibri"/>
          <w:bCs/>
          <w:sz w:val="22"/>
          <w:szCs w:val="22"/>
        </w:rPr>
        <w:t xml:space="preserve"> elect to retire.</w:t>
      </w:r>
      <w:r w:rsidRPr="003A7222" w:rsidR="00390381">
        <w:rPr>
          <w:rFonts w:ascii="Verdana" w:hAnsi="Verdana" w:cs="Calibri"/>
          <w:bCs/>
          <w:sz w:val="22"/>
          <w:szCs w:val="22"/>
        </w:rPr>
        <w:t xml:space="preserve">  </w:t>
      </w:r>
    </w:p>
    <w:p w:rsidR="00112A8F" w:rsidRPr="003A7222" w:rsidP="003A7222">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S</w:t>
      </w:r>
      <w:r w:rsidRPr="003A7222" w:rsidR="009E03C1">
        <w:rPr>
          <w:rFonts w:ascii="Verdana" w:hAnsi="Verdana" w:cs="Calibri"/>
          <w:bCs/>
          <w:sz w:val="22"/>
          <w:szCs w:val="22"/>
        </w:rPr>
        <w:t xml:space="preserve">hould a higher requirement be statutory or non-statutory?  </w:t>
      </w:r>
      <w:r w:rsidRPr="003A7222" w:rsidR="002806EA">
        <w:rPr>
          <w:rFonts w:ascii="Verdana" w:hAnsi="Verdana" w:cs="Calibri"/>
          <w:bCs/>
          <w:sz w:val="22"/>
          <w:szCs w:val="22"/>
        </w:rPr>
        <w:t xml:space="preserve">Most likely, non-statutory.  </w:t>
      </w:r>
      <w:r w:rsidRPr="003A7222" w:rsidR="005A122B">
        <w:rPr>
          <w:rFonts w:ascii="Verdana" w:hAnsi="Verdana" w:cs="Calibri"/>
          <w:bCs/>
          <w:sz w:val="22"/>
          <w:szCs w:val="22"/>
        </w:rPr>
        <w:t>If a higher minimum participation requirement is considered so important to the good functioning of the House that a failure to meet it (without being on leave of absence or with other special considerations) should result in cessation of membership, then the appropriate route is to amend the House of Lords Reform Act 2014 accordingly.  To meet the statutory requirement but to have membership curtailed for non-attendance nonetheless can hardly be appropriate.  If, however, a participation expectation is to guide sensitive pastoral conversations, then a non-statutory – and non-binding – higher requirement is appropriate.</w:t>
      </w:r>
    </w:p>
    <w:p w:rsidR="00B17777" w:rsidP="00B17777">
      <w:pPr>
        <w:pStyle w:val="ListParagraph"/>
        <w:numPr>
          <w:ilvl w:val="0"/>
          <w:numId w:val="3"/>
        </w:numPr>
        <w:contextualSpacing w:val="0"/>
        <w:rPr>
          <w:rFonts w:ascii="Verdana" w:hAnsi="Verdana" w:cs="Calibri"/>
          <w:bCs/>
          <w:sz w:val="22"/>
          <w:szCs w:val="22"/>
        </w:rPr>
      </w:pPr>
      <w:r w:rsidRPr="003A7222">
        <w:rPr>
          <w:rFonts w:ascii="Verdana" w:hAnsi="Verdana" w:cs="Calibri"/>
          <w:bCs/>
          <w:sz w:val="22"/>
          <w:szCs w:val="22"/>
        </w:rPr>
        <w:t>S</w:t>
      </w:r>
      <w:r w:rsidRPr="003A7222" w:rsidR="002D3298">
        <w:rPr>
          <w:rFonts w:ascii="Verdana" w:hAnsi="Verdana" w:cs="Calibri"/>
          <w:bCs/>
          <w:sz w:val="22"/>
          <w:szCs w:val="22"/>
        </w:rPr>
        <w:t xml:space="preserve">hould there be any standing exceptions to any higher requirement?  In principle: no.  But that “no” will have </w:t>
      </w:r>
      <w:r w:rsidRPr="003A7222" w:rsidR="002D3298">
        <w:rPr>
          <w:rFonts w:ascii="Verdana" w:hAnsi="Verdana" w:cs="Calibri"/>
          <w:bCs/>
          <w:sz w:val="22"/>
          <w:szCs w:val="22"/>
        </w:rPr>
        <w:t>particular consequences</w:t>
      </w:r>
      <w:r w:rsidRPr="003A7222" w:rsidR="002D3298">
        <w:rPr>
          <w:rFonts w:ascii="Verdana" w:hAnsi="Verdana" w:cs="Calibri"/>
          <w:bCs/>
          <w:sz w:val="22"/>
          <w:szCs w:val="22"/>
        </w:rPr>
        <w:t xml:space="preserve">, depending on the level set.  An attendance level </w:t>
      </w:r>
      <w:r w:rsidRPr="003A7222" w:rsidR="00390381">
        <w:rPr>
          <w:rFonts w:ascii="Verdana" w:hAnsi="Verdana" w:cs="Calibri"/>
          <w:bCs/>
          <w:sz w:val="22"/>
          <w:szCs w:val="22"/>
        </w:rPr>
        <w:t xml:space="preserve">of 20% (or </w:t>
      </w:r>
      <w:r w:rsidRPr="003A7222">
        <w:rPr>
          <w:rFonts w:ascii="Verdana" w:hAnsi="Verdana" w:cs="Calibri"/>
          <w:bCs/>
          <w:sz w:val="22"/>
          <w:szCs w:val="22"/>
        </w:rPr>
        <w:t xml:space="preserve">– preferably and more practicably – a broadly </w:t>
      </w:r>
      <w:r w:rsidRPr="003A7222" w:rsidR="00390381">
        <w:rPr>
          <w:rFonts w:ascii="Verdana" w:hAnsi="Verdana" w:cs="Calibri"/>
          <w:bCs/>
          <w:sz w:val="22"/>
          <w:szCs w:val="22"/>
        </w:rPr>
        <w:t xml:space="preserve">equivalent figure </w:t>
      </w:r>
      <w:r w:rsidRPr="003A7222">
        <w:rPr>
          <w:rFonts w:ascii="Verdana" w:hAnsi="Verdana" w:cs="Calibri"/>
          <w:bCs/>
          <w:sz w:val="22"/>
          <w:szCs w:val="22"/>
        </w:rPr>
        <w:t xml:space="preserve">set in advance and </w:t>
      </w:r>
      <w:r w:rsidRPr="003A7222" w:rsidR="00390381">
        <w:rPr>
          <w:rFonts w:ascii="Verdana" w:hAnsi="Verdana" w:cs="Calibri"/>
          <w:bCs/>
          <w:sz w:val="22"/>
          <w:szCs w:val="22"/>
        </w:rPr>
        <w:t xml:space="preserve">expressed in days) is likely systematically to disadvantage the Lords Spiritual, who ipso facto </w:t>
      </w:r>
      <w:r w:rsidRPr="003A7222" w:rsidR="00390381">
        <w:rPr>
          <w:rFonts w:ascii="Verdana" w:hAnsi="Verdana" w:cs="Calibri"/>
          <w:bCs/>
          <w:sz w:val="22"/>
          <w:szCs w:val="22"/>
        </w:rPr>
        <w:t>have</w:t>
      </w:r>
      <w:r w:rsidRPr="003A7222" w:rsidR="00390381">
        <w:rPr>
          <w:rFonts w:ascii="Verdana" w:hAnsi="Verdana" w:cs="Calibri"/>
          <w:bCs/>
          <w:sz w:val="22"/>
          <w:szCs w:val="22"/>
        </w:rPr>
        <w:t xml:space="preserve"> full-time jobs and are below the retiring age </w:t>
      </w:r>
      <w:r w:rsidRPr="003A7222">
        <w:rPr>
          <w:rFonts w:ascii="Verdana" w:hAnsi="Verdana" w:cs="Calibri"/>
          <w:bCs/>
          <w:sz w:val="22"/>
          <w:szCs w:val="22"/>
        </w:rPr>
        <w:t xml:space="preserve">in those jobs, </w:t>
      </w:r>
      <w:r w:rsidRPr="003A7222" w:rsidR="00390381">
        <w:rPr>
          <w:rFonts w:ascii="Verdana" w:hAnsi="Verdana" w:cs="Calibri"/>
          <w:bCs/>
          <w:sz w:val="22"/>
          <w:szCs w:val="22"/>
        </w:rPr>
        <w:t xml:space="preserve">and whose average attendance is 14%.  But their position is little different from any member who has full-time commitments (whether through employment, self-employment, or unpaid caring for example) </w:t>
      </w:r>
      <w:r w:rsidRPr="003A7222">
        <w:rPr>
          <w:rFonts w:ascii="Verdana" w:hAnsi="Verdana" w:cs="Calibri"/>
          <w:bCs/>
          <w:sz w:val="22"/>
          <w:szCs w:val="22"/>
        </w:rPr>
        <w:t xml:space="preserve">and </w:t>
      </w:r>
      <w:r w:rsidRPr="003A7222" w:rsidR="00390381">
        <w:rPr>
          <w:rFonts w:ascii="Verdana" w:hAnsi="Verdana" w:cs="Calibri"/>
          <w:bCs/>
          <w:sz w:val="22"/>
          <w:szCs w:val="22"/>
        </w:rPr>
        <w:t xml:space="preserve">for many of whom there is no retiring age in their external roles; </w:t>
      </w:r>
      <w:r w:rsidRPr="003A7222" w:rsidR="00390381">
        <w:rPr>
          <w:rFonts w:ascii="Verdana" w:hAnsi="Verdana" w:cs="Calibri"/>
          <w:bCs/>
          <w:sz w:val="22"/>
          <w:szCs w:val="22"/>
        </w:rPr>
        <w:t>indeed</w:t>
      </w:r>
      <w:r w:rsidRPr="003A7222" w:rsidR="00390381">
        <w:rPr>
          <w:rFonts w:ascii="Verdana" w:hAnsi="Verdana" w:cs="Calibri"/>
          <w:bCs/>
          <w:sz w:val="22"/>
          <w:szCs w:val="22"/>
        </w:rPr>
        <w:t xml:space="preserve"> for </w:t>
      </w:r>
      <w:r w:rsidRPr="003A7222" w:rsidR="00390381">
        <w:rPr>
          <w:rFonts w:ascii="Verdana" w:hAnsi="Verdana" w:cs="Calibri"/>
          <w:bCs/>
          <w:sz w:val="22"/>
          <w:szCs w:val="22"/>
        </w:rPr>
        <w:t>these membership</w:t>
      </w:r>
      <w:r w:rsidRPr="003A7222" w:rsidR="00390381">
        <w:rPr>
          <w:rFonts w:ascii="Verdana" w:hAnsi="Verdana" w:cs="Calibri"/>
          <w:bCs/>
          <w:sz w:val="22"/>
          <w:szCs w:val="22"/>
        </w:rPr>
        <w:t xml:space="preserve"> of the House is in addition to their full-time and not an embedded part of it.  So, any exception for the </w:t>
      </w:r>
      <w:r w:rsidRPr="003A7222" w:rsidR="00390381">
        <w:rPr>
          <w:rFonts w:ascii="Verdana" w:hAnsi="Verdana" w:cs="Calibri"/>
          <w:bCs/>
          <w:sz w:val="22"/>
          <w:szCs w:val="22"/>
        </w:rPr>
        <w:t>Bishops</w:t>
      </w:r>
      <w:r w:rsidRPr="003A7222" w:rsidR="00390381">
        <w:rPr>
          <w:rFonts w:ascii="Verdana" w:hAnsi="Verdana" w:cs="Calibri"/>
          <w:bCs/>
          <w:sz w:val="22"/>
          <w:szCs w:val="22"/>
        </w:rPr>
        <w:t xml:space="preserve"> should apply to anyone who has full-time duties elsewhere and would arguably </w:t>
      </w:r>
      <w:r w:rsidRPr="003A7222">
        <w:rPr>
          <w:rFonts w:ascii="Verdana" w:hAnsi="Verdana" w:cs="Calibri"/>
          <w:bCs/>
          <w:sz w:val="22"/>
          <w:szCs w:val="22"/>
        </w:rPr>
        <w:t xml:space="preserve">thereby </w:t>
      </w:r>
      <w:r w:rsidRPr="003A7222" w:rsidR="00390381">
        <w:rPr>
          <w:rFonts w:ascii="Verdana" w:hAnsi="Verdana" w:cs="Calibri"/>
          <w:bCs/>
          <w:sz w:val="22"/>
          <w:szCs w:val="22"/>
        </w:rPr>
        <w:t xml:space="preserve">be too widely </w:t>
      </w:r>
      <w:r w:rsidRPr="003A7222">
        <w:rPr>
          <w:rFonts w:ascii="Verdana" w:hAnsi="Verdana" w:cs="Calibri"/>
          <w:bCs/>
          <w:sz w:val="22"/>
          <w:szCs w:val="22"/>
        </w:rPr>
        <w:t>applicable</w:t>
      </w:r>
      <w:r w:rsidRPr="003A7222" w:rsidR="00390381">
        <w:rPr>
          <w:rFonts w:ascii="Verdana" w:hAnsi="Verdana" w:cs="Calibri"/>
          <w:bCs/>
          <w:sz w:val="22"/>
          <w:szCs w:val="22"/>
        </w:rPr>
        <w:t xml:space="preserve"> to be helpful.  Better to focus on ensuring that </w:t>
      </w:r>
      <w:r w:rsidRPr="003A7222" w:rsidR="00E36DEE">
        <w:rPr>
          <w:rFonts w:ascii="Verdana" w:hAnsi="Verdana" w:cs="Calibri"/>
          <w:bCs/>
          <w:sz w:val="22"/>
          <w:szCs w:val="22"/>
        </w:rPr>
        <w:t>a minimum participation requirement does not disadvantage anyone who, for temporary reasons beyond their control, cannot meet that minimum</w:t>
      </w:r>
      <w:r w:rsidRPr="003A7222" w:rsidR="002806EA">
        <w:rPr>
          <w:rFonts w:ascii="Verdana" w:hAnsi="Verdana" w:cs="Calibri"/>
          <w:bCs/>
          <w:sz w:val="22"/>
          <w:szCs w:val="22"/>
        </w:rPr>
        <w:t>.  This might mean that some leading experts find that their current professional commitments mean they cannot sustain membership of the House</w:t>
      </w:r>
      <w:r w:rsidRPr="003A7222">
        <w:rPr>
          <w:rFonts w:ascii="Verdana" w:hAnsi="Verdana" w:cs="Calibri"/>
          <w:bCs/>
          <w:sz w:val="22"/>
          <w:szCs w:val="22"/>
        </w:rPr>
        <w:t xml:space="preserve"> alongside them</w:t>
      </w:r>
      <w:r w:rsidRPr="003A7222" w:rsidR="002806EA">
        <w:rPr>
          <w:rFonts w:ascii="Verdana" w:hAnsi="Verdana" w:cs="Calibri"/>
          <w:bCs/>
          <w:sz w:val="22"/>
          <w:szCs w:val="22"/>
        </w:rPr>
        <w:t xml:space="preserve">; but at some point the unfamiliarity with the ways of the House </w:t>
      </w:r>
      <w:r w:rsidRPr="003A7222">
        <w:rPr>
          <w:rFonts w:ascii="Verdana" w:hAnsi="Verdana" w:cs="Calibri"/>
          <w:bCs/>
          <w:sz w:val="22"/>
          <w:szCs w:val="22"/>
        </w:rPr>
        <w:t xml:space="preserve">arising from only very occasional attendance </w:t>
      </w:r>
      <w:r w:rsidRPr="003A7222" w:rsidR="002806EA">
        <w:rPr>
          <w:rFonts w:ascii="Verdana" w:hAnsi="Verdana" w:cs="Calibri"/>
          <w:bCs/>
          <w:sz w:val="22"/>
          <w:szCs w:val="22"/>
        </w:rPr>
        <w:t xml:space="preserve">mean that it is more fruitful that </w:t>
      </w:r>
      <w:r w:rsidRPr="003A7222">
        <w:rPr>
          <w:rFonts w:ascii="Verdana" w:hAnsi="Verdana" w:cs="Calibri"/>
          <w:bCs/>
          <w:sz w:val="22"/>
          <w:szCs w:val="22"/>
        </w:rPr>
        <w:t>someone</w:t>
      </w:r>
      <w:r w:rsidRPr="003A7222" w:rsidR="002806EA">
        <w:rPr>
          <w:rFonts w:ascii="Verdana" w:hAnsi="Verdana" w:cs="Calibri"/>
          <w:bCs/>
          <w:sz w:val="22"/>
          <w:szCs w:val="22"/>
        </w:rPr>
        <w:t xml:space="preserve"> appear</w:t>
      </w:r>
      <w:r w:rsidRPr="003A7222">
        <w:rPr>
          <w:rFonts w:ascii="Verdana" w:hAnsi="Verdana" w:cs="Calibri"/>
          <w:bCs/>
          <w:sz w:val="22"/>
          <w:szCs w:val="22"/>
        </w:rPr>
        <w:t>s</w:t>
      </w:r>
      <w:r w:rsidRPr="003A7222" w:rsidR="002806EA">
        <w:rPr>
          <w:rFonts w:ascii="Verdana" w:hAnsi="Verdana" w:cs="Calibri"/>
          <w:bCs/>
          <w:sz w:val="22"/>
          <w:szCs w:val="22"/>
        </w:rPr>
        <w:t xml:space="preserve"> as an expert witness before a House committee than they are on the other side of the table asking questions.  Whichever participation requirement is set, </w:t>
      </w:r>
      <w:r w:rsidRPr="003A7222" w:rsidR="00E36DEE">
        <w:rPr>
          <w:rFonts w:ascii="Verdana" w:hAnsi="Verdana" w:cs="Calibri"/>
          <w:bCs/>
          <w:sz w:val="22"/>
          <w:szCs w:val="22"/>
        </w:rPr>
        <w:t xml:space="preserve">an appropriately confidential and sensitive system will need to be established </w:t>
      </w:r>
      <w:r w:rsidRPr="003A7222" w:rsidR="00E36DEE">
        <w:rPr>
          <w:rFonts w:ascii="Verdana" w:hAnsi="Verdana" w:cs="Calibri"/>
          <w:bCs/>
          <w:sz w:val="22"/>
          <w:szCs w:val="22"/>
        </w:rPr>
        <w:t>in order to</w:t>
      </w:r>
      <w:r w:rsidRPr="003A7222" w:rsidR="00E36DEE">
        <w:rPr>
          <w:rFonts w:ascii="Verdana" w:hAnsi="Verdana" w:cs="Calibri"/>
          <w:bCs/>
          <w:sz w:val="22"/>
          <w:szCs w:val="22"/>
        </w:rPr>
        <w:t xml:space="preserve"> consider any exceptions.</w:t>
      </w:r>
    </w:p>
    <w:p w:rsidR="00112A8F" w:rsidRPr="00B17777" w:rsidP="00112A8F">
      <w:pPr>
        <w:rPr>
          <w:rFonts w:ascii="Verdana" w:hAnsi="Verdana" w:cs="Calibri"/>
          <w:i/>
          <w:iCs/>
          <w:sz w:val="22"/>
          <w:szCs w:val="22"/>
        </w:rPr>
      </w:pPr>
      <w:r>
        <w:rPr>
          <w:rFonts w:ascii="Verdana" w:hAnsi="Verdana" w:cs="Calibri"/>
          <w:i/>
          <w:iCs/>
          <w:sz w:val="22"/>
          <w:szCs w:val="22"/>
        </w:rPr>
        <w:t>Received 17 March 2026</w:t>
      </w: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FAC" w:rsidRPr="00C32FAC" w:rsidP="00C32FAC">
    <w:pPr>
      <w:pStyle w:val="Footer"/>
      <w:jc w:val="center"/>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7947" w:rsidP="00551ADE">
      <w:pPr>
        <w:spacing w:after="0" w:line="240" w:lineRule="auto"/>
      </w:pPr>
      <w:r>
        <w:separator/>
      </w:r>
    </w:p>
  </w:footnote>
  <w:footnote w:type="continuationSeparator" w:id="1">
    <w:p w:rsidR="00FD7947" w:rsidP="00551ADE">
      <w:pPr>
        <w:spacing w:after="0" w:line="240" w:lineRule="auto"/>
      </w:pPr>
      <w:r>
        <w:continuationSeparator/>
      </w:r>
    </w:p>
  </w:footnote>
  <w:footnote w:id="2">
    <w:p w:rsidR="00492EED" w:rsidRPr="0046626D">
      <w:pPr>
        <w:pStyle w:val="FootnoteText"/>
        <w:rPr>
          <w:rFonts w:ascii="Verdana" w:hAnsi="Verdana" w:cs="Calibri"/>
          <w:sz w:val="18"/>
          <w:szCs w:val="18"/>
        </w:rPr>
      </w:pPr>
      <w:r w:rsidRPr="0046626D">
        <w:rPr>
          <w:rStyle w:val="FootnoteReference"/>
          <w:rFonts w:ascii="Verdana" w:hAnsi="Verdana" w:cs="Calibri"/>
          <w:sz w:val="18"/>
          <w:szCs w:val="18"/>
        </w:rPr>
        <w:footnoteRef/>
      </w:r>
      <w:r w:rsidRPr="0046626D">
        <w:rPr>
          <w:rFonts w:ascii="Verdana" w:hAnsi="Verdana" w:cs="Calibri"/>
          <w:sz w:val="18"/>
          <w:szCs w:val="18"/>
        </w:rPr>
        <w:t xml:space="preserve"> Ecclesiastical Offices (Age Limit) Measure 1975.</w:t>
      </w:r>
    </w:p>
  </w:footnote>
  <w:footnote w:id="3">
    <w:p w:rsidR="00551ADE" w:rsidRPr="00492EED">
      <w:pPr>
        <w:pStyle w:val="FootnoteText"/>
        <w:rPr>
          <w:rFonts w:ascii="Calibri" w:hAnsi="Calibri" w:cs="Calibri"/>
        </w:rPr>
      </w:pPr>
      <w:r w:rsidRPr="0046626D">
        <w:rPr>
          <w:rStyle w:val="FootnoteReference"/>
          <w:rFonts w:ascii="Verdana" w:hAnsi="Verdana" w:cs="Calibri"/>
          <w:sz w:val="18"/>
          <w:szCs w:val="18"/>
        </w:rPr>
        <w:footnoteRef/>
      </w:r>
      <w:r w:rsidRPr="0046626D">
        <w:rPr>
          <w:rFonts w:ascii="Verdana" w:hAnsi="Verdana" w:cs="Calibri"/>
          <w:sz w:val="18"/>
          <w:szCs w:val="18"/>
        </w:rPr>
        <w:t xml:space="preserve"> Therefore, when modern Life Peerages were provided for by the Life Peerages Act 1958, there was no judicial retiring age.  The Judicial Pensions Act 1959 set a retirement age of 75 for judges; judicial retirement ages were standardised at 70 by the Judicial Pensions and Retirement Act 1993, although certain categories of judicial office-holder could sit up to the age of 75 subject to Ministerial approval; the mandatory retirement age for judicial office-holders was raised from 70 to 75 in March 2022.</w:t>
      </w:r>
    </w:p>
  </w:footnote>
  <w:footnote w:id="4">
    <w:p w:rsidR="00492EED" w:rsidRPr="0046626D">
      <w:pPr>
        <w:pStyle w:val="FootnoteText"/>
        <w:rPr>
          <w:rFonts w:ascii="Verdana" w:hAnsi="Verdana" w:cs="Calibri"/>
          <w:sz w:val="18"/>
          <w:szCs w:val="18"/>
        </w:rPr>
      </w:pPr>
      <w:r w:rsidRPr="0046626D">
        <w:rPr>
          <w:rStyle w:val="FootnoteReference"/>
          <w:rFonts w:ascii="Verdana" w:hAnsi="Verdana" w:cs="Calibri"/>
          <w:sz w:val="18"/>
          <w:szCs w:val="18"/>
        </w:rPr>
        <w:footnoteRef/>
      </w:r>
      <w:r w:rsidRPr="0046626D">
        <w:rPr>
          <w:rFonts w:ascii="Verdana" w:hAnsi="Verdana" w:cs="Calibri"/>
          <w:sz w:val="18"/>
          <w:szCs w:val="18"/>
        </w:rPr>
        <w:t xml:space="preserve"> Report of the Lord Speaker’s Committee on the Size of the House (First Report), 31 October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590B0C"/>
    <w:multiLevelType w:val="hybridMultilevel"/>
    <w:tmpl w:val="BA1E95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CB7795C"/>
    <w:multiLevelType w:val="hybridMultilevel"/>
    <w:tmpl w:val="E5AECE6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B070511"/>
    <w:multiLevelType w:val="hybridMultilevel"/>
    <w:tmpl w:val="6B66A91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1CC292D"/>
    <w:multiLevelType w:val="hybridMultilevel"/>
    <w:tmpl w:val="B7F6D3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33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137"/>
    <w:rPr>
      <w:rFonts w:eastAsiaTheme="majorEastAsia" w:cstheme="majorBidi"/>
      <w:color w:val="272727" w:themeColor="text1" w:themeTint="D8"/>
    </w:rPr>
  </w:style>
  <w:style w:type="paragraph" w:styleId="Title">
    <w:name w:val="Title"/>
    <w:basedOn w:val="Normal"/>
    <w:next w:val="Normal"/>
    <w:link w:val="TitleChar"/>
    <w:uiPriority w:val="10"/>
    <w:qFormat/>
    <w:rsid w:val="00B33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137"/>
    <w:pPr>
      <w:spacing w:before="160"/>
      <w:jc w:val="center"/>
    </w:pPr>
    <w:rPr>
      <w:i/>
      <w:iCs/>
      <w:color w:val="404040" w:themeColor="text1" w:themeTint="BF"/>
    </w:rPr>
  </w:style>
  <w:style w:type="character" w:customStyle="1" w:styleId="QuoteChar">
    <w:name w:val="Quote Char"/>
    <w:basedOn w:val="DefaultParagraphFont"/>
    <w:link w:val="Quote"/>
    <w:uiPriority w:val="29"/>
    <w:rsid w:val="00B33137"/>
    <w:rPr>
      <w:i/>
      <w:iCs/>
      <w:color w:val="404040" w:themeColor="text1" w:themeTint="BF"/>
    </w:rPr>
  </w:style>
  <w:style w:type="paragraph" w:styleId="ListParagraph">
    <w:name w:val="List Paragraph"/>
    <w:basedOn w:val="Normal"/>
    <w:uiPriority w:val="34"/>
    <w:qFormat/>
    <w:rsid w:val="00B33137"/>
    <w:pPr>
      <w:ind w:left="720"/>
      <w:contextualSpacing/>
    </w:pPr>
  </w:style>
  <w:style w:type="character" w:styleId="IntenseEmphasis">
    <w:name w:val="Intense Emphasis"/>
    <w:basedOn w:val="DefaultParagraphFont"/>
    <w:uiPriority w:val="21"/>
    <w:qFormat/>
    <w:rsid w:val="00B33137"/>
    <w:rPr>
      <w:i/>
      <w:iCs/>
      <w:color w:val="0F4761" w:themeColor="accent1" w:themeShade="BF"/>
    </w:rPr>
  </w:style>
  <w:style w:type="paragraph" w:styleId="IntenseQuote">
    <w:name w:val="Intense Quote"/>
    <w:basedOn w:val="Normal"/>
    <w:next w:val="Normal"/>
    <w:link w:val="IntenseQuoteChar"/>
    <w:uiPriority w:val="30"/>
    <w:qFormat/>
    <w:rsid w:val="00B3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137"/>
    <w:rPr>
      <w:i/>
      <w:iCs/>
      <w:color w:val="0F4761" w:themeColor="accent1" w:themeShade="BF"/>
    </w:rPr>
  </w:style>
  <w:style w:type="character" w:styleId="IntenseReference">
    <w:name w:val="Intense Reference"/>
    <w:basedOn w:val="DefaultParagraphFont"/>
    <w:uiPriority w:val="32"/>
    <w:qFormat/>
    <w:rsid w:val="00B33137"/>
    <w:rPr>
      <w:b/>
      <w:bCs/>
      <w:smallCaps/>
      <w:color w:val="0F4761" w:themeColor="accent1" w:themeShade="BF"/>
      <w:spacing w:val="5"/>
    </w:rPr>
  </w:style>
  <w:style w:type="paragraph" w:styleId="FootnoteText">
    <w:name w:val="footnote text"/>
    <w:basedOn w:val="Normal"/>
    <w:link w:val="FootnoteTextChar"/>
    <w:uiPriority w:val="99"/>
    <w:semiHidden/>
    <w:unhideWhenUsed/>
    <w:rsid w:val="00551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ADE"/>
    <w:rPr>
      <w:sz w:val="20"/>
      <w:szCs w:val="20"/>
    </w:rPr>
  </w:style>
  <w:style w:type="character" w:styleId="FootnoteReference">
    <w:name w:val="footnote reference"/>
    <w:basedOn w:val="DefaultParagraphFont"/>
    <w:uiPriority w:val="99"/>
    <w:semiHidden/>
    <w:unhideWhenUsed/>
    <w:rsid w:val="00551ADE"/>
    <w:rPr>
      <w:vertAlign w:val="superscript"/>
    </w:rPr>
  </w:style>
  <w:style w:type="character" w:styleId="Hyperlink">
    <w:name w:val="Hyperlink"/>
    <w:basedOn w:val="DefaultParagraphFont"/>
    <w:uiPriority w:val="99"/>
    <w:unhideWhenUsed/>
    <w:rsid w:val="00492EED"/>
    <w:rPr>
      <w:color w:val="467886" w:themeColor="hyperlink"/>
      <w:u w:val="single"/>
    </w:rPr>
  </w:style>
  <w:style w:type="character" w:customStyle="1" w:styleId="UnresolvedMention">
    <w:name w:val="Unresolved Mention"/>
    <w:basedOn w:val="DefaultParagraphFont"/>
    <w:uiPriority w:val="99"/>
    <w:semiHidden/>
    <w:unhideWhenUsed/>
    <w:rsid w:val="00492EED"/>
    <w:rPr>
      <w:color w:val="605E5C"/>
      <w:shd w:val="clear" w:color="auto" w:fill="E1DFDD"/>
    </w:rPr>
  </w:style>
  <w:style w:type="paragraph" w:styleId="Header">
    <w:name w:val="header"/>
    <w:basedOn w:val="Normal"/>
    <w:link w:val="HeaderChar"/>
    <w:uiPriority w:val="99"/>
    <w:unhideWhenUsed/>
    <w:rsid w:val="00C32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FAC"/>
  </w:style>
  <w:style w:type="paragraph" w:styleId="Footer">
    <w:name w:val="footer"/>
    <w:basedOn w:val="Normal"/>
    <w:link w:val="FooterChar"/>
    <w:uiPriority w:val="99"/>
    <w:unhideWhenUsed/>
    <w:rsid w:val="00C32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6445D-485A-4CBE-8D33-70A0A9DC1BAD}">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RAP0014</dc:title>
  <cp:revision>0</cp:revision>
</cp:coreProperties>
</file>