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A3AE8" w:rsidRPr="007E6749" w:rsidP="00812E4C">
      <w:pPr>
        <w:shd w:val="clear" w:color="auto" w:fill="F8F6FC"/>
        <w:spacing w:after="180" w:line="240" w:lineRule="auto"/>
        <w:jc w:val="center"/>
        <w:rPr>
          <w:rFonts w:ascii="Calibri" w:eastAsia="Times New Roman" w:hAnsi="Calibri" w:cs="Calibri"/>
          <w:b/>
          <w:bCs/>
          <w:color w:val="4D4D4D"/>
          <w:kern w:val="0"/>
          <w:sz w:val="22"/>
          <w:szCs w:val="22"/>
          <w:lang w:eastAsia="en-GB"/>
        </w:rPr>
      </w:pPr>
      <w:r w:rsidRPr="007E6749">
        <w:rPr>
          <w:rFonts w:ascii="Calibri" w:eastAsia="Times New Roman" w:hAnsi="Calibri" w:cs="Calibri"/>
          <w:b/>
          <w:bCs/>
          <w:color w:val="4D4D4D"/>
          <w:kern w:val="0"/>
          <w:sz w:val="22"/>
          <w:szCs w:val="22"/>
          <w:lang w:eastAsia="en-GB"/>
        </w:rPr>
        <w:t xml:space="preserve">Written evidence </w:t>
      </w:r>
      <w:r w:rsidRPr="007E6749" w:rsidR="007E6749">
        <w:rPr>
          <w:rFonts w:ascii="Calibri" w:eastAsia="Times New Roman" w:hAnsi="Calibri" w:cs="Calibri"/>
          <w:b/>
          <w:bCs/>
          <w:color w:val="4D4D4D"/>
          <w:kern w:val="0"/>
          <w:sz w:val="22"/>
          <w:szCs w:val="22"/>
          <w:lang w:eastAsia="en-GB"/>
        </w:rPr>
        <w:t>Anita Thapar</w:t>
      </w:r>
      <w:r w:rsidRPr="007E6749" w:rsidR="007E6749">
        <w:rPr>
          <w:rFonts w:ascii="Calibri" w:eastAsia="Times New Roman" w:hAnsi="Calibri" w:cs="Calibri"/>
          <w:b/>
          <w:bCs/>
          <w:color w:val="4D4D4D"/>
          <w:kern w:val="0"/>
          <w:sz w:val="22"/>
          <w:szCs w:val="22"/>
          <w:lang w:eastAsia="en-GB"/>
        </w:rPr>
        <w:t xml:space="preserve"> </w:t>
      </w:r>
      <w:r w:rsidRPr="007E6749">
        <w:rPr>
          <w:rFonts w:ascii="Calibri" w:eastAsia="Times New Roman" w:hAnsi="Calibri" w:cs="Calibri"/>
          <w:b/>
          <w:bCs/>
          <w:color w:val="4D4D4D"/>
          <w:kern w:val="0"/>
          <w:sz w:val="22"/>
          <w:szCs w:val="22"/>
          <w:lang w:eastAsia="en-GB"/>
        </w:rPr>
        <w:t>(CYM0049)</w:t>
      </w:r>
    </w:p>
    <w:p w:rsidR="002A3AE8" w:rsidRPr="00812E4C" w:rsidP="00812E4C">
      <w:pPr>
        <w:spacing w:after="0" w:line="240" w:lineRule="auto"/>
        <w:rPr>
          <w:rFonts w:ascii="Calibri" w:eastAsia="Aptos" w:hAnsi="Calibri" w:cs="Calibri"/>
          <w:b/>
          <w:bCs/>
          <w:kern w:val="0"/>
          <w:sz w:val="22"/>
          <w:szCs w:val="22"/>
        </w:rPr>
      </w:pPr>
      <w:r w:rsidRPr="00812E4C">
        <w:rPr>
          <w:rFonts w:ascii="Calibri" w:eastAsia="Aptos" w:hAnsi="Calibri" w:cs="Calibri"/>
          <w:b/>
          <w:bCs/>
          <w:kern w:val="0"/>
          <w:sz w:val="22"/>
          <w:szCs w:val="22"/>
        </w:rPr>
        <w:t>Education Committee</w:t>
      </w:r>
    </w:p>
    <w:p w:rsidR="002A3AE8" w:rsidRPr="00812E4C" w:rsidP="00812E4C">
      <w:pPr>
        <w:spacing w:after="0" w:line="240" w:lineRule="auto"/>
        <w:rPr>
          <w:rFonts w:ascii="Calibri" w:eastAsia="Aptos" w:hAnsi="Calibri" w:cs="Calibri"/>
          <w:b/>
          <w:bCs/>
          <w:kern w:val="0"/>
          <w:sz w:val="22"/>
          <w:szCs w:val="22"/>
        </w:rPr>
      </w:pPr>
      <w:r w:rsidRPr="00812E4C">
        <w:rPr>
          <w:rFonts w:ascii="Calibri" w:eastAsia="Aptos" w:hAnsi="Calibri" w:cs="Calibri"/>
          <w:b/>
          <w:bCs/>
          <w:kern w:val="0"/>
          <w:sz w:val="22"/>
          <w:szCs w:val="22"/>
        </w:rPr>
        <w:t>Children and Young People's Mental Health</w:t>
      </w:r>
    </w:p>
    <w:p w:rsidR="002A3AE8" w:rsidRPr="00812E4C" w:rsidP="00812E4C">
      <w:pPr>
        <w:shd w:val="clear" w:color="auto" w:fill="F8F6FC"/>
        <w:spacing w:after="180" w:line="240" w:lineRule="auto"/>
        <w:rPr>
          <w:rFonts w:ascii="Calibri" w:eastAsia="Times New Roman" w:hAnsi="Calibri" w:cs="Calibri"/>
          <w:b/>
          <w:bCs/>
          <w:color w:val="4D4D4D"/>
          <w:kern w:val="0"/>
          <w:sz w:val="22"/>
          <w:szCs w:val="22"/>
          <w:lang w:eastAsia="en-GB"/>
        </w:rPr>
      </w:pPr>
    </w:p>
    <w:p w:rsidR="002A3AE8" w:rsidRPr="00812E4C" w:rsidP="00A342C0">
      <w:pPr>
        <w:shd w:val="clear" w:color="auto" w:fill="F8F6FC"/>
        <w:spacing w:after="180"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 xml:space="preserve">I served as </w:t>
      </w:r>
      <w:r w:rsidRPr="00812E4C">
        <w:rPr>
          <w:rFonts w:ascii="Calibri" w:eastAsia="Times New Roman" w:hAnsi="Calibri" w:cs="Calibri"/>
          <w:color w:val="4D4D4D"/>
          <w:kern w:val="0"/>
          <w:sz w:val="22"/>
          <w:szCs w:val="22"/>
          <w:lang w:eastAsia="en-GB"/>
        </w:rPr>
        <w:t>Chair of the NHS-E commissioned independent ADHD Taskforce that made recommendations on ADHD in England (reports published in 2025). These recommendations were informed by an independent panel of UK scientific experts (research evidence), consultation with international scientists, those with lived experience and clinician perspectives. There has been no formal response to the recommendations from the Government. Rather some of the work is being repeated for ADHD in a new prevalence review. </w:t>
      </w: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 xml:space="preserve">We recommended that diagnostic siloes need to be broken down given the enormous overlap of ADHD with mental health. Co-occurrence is typical and risk factors are shared. </w:t>
      </w:r>
    </w:p>
    <w:p w:rsidR="002A3AE8" w:rsidRPr="00812E4C" w:rsidP="004D5B66">
      <w:pPr>
        <w:pStyle w:val="ListParagraph"/>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We recommended integration and join up of PINS and school mental health teams who need to be trained in supporting young people with neurodivergence/ADHD as well as mental health challenges. ADHD is a potent route into early-onset common mental health problems (e.g. depression, anxiety), suicide, substance misuse as well as less common ones (e.g. psychosis, bipolar disorder, eating disorders) so separation is unwarranted.</w:t>
      </w:r>
    </w:p>
    <w:p w:rsidR="002A3AE8" w:rsidRPr="00812E4C" w:rsidP="00C744D8">
      <w:p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We recommended that early support should not wait for or require a diagnosis but be based on needs. Diagnosis is needed for clinical decisions (e.g. medication) but not to plan support in other contexts.</w:t>
      </w:r>
    </w:p>
    <w:p w:rsidR="002A3AE8" w:rsidRPr="00812E4C" w:rsidP="00C744D8">
      <w:p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We recommended that there is direct link between schools and ADHD services to enable early consultation and fast tracking the highest concern children and young people with potential severe ADHD given the enormous evidence on the benefits of ADHD medication together with other interventions that  include lowering risks of developing secondary mental health problems, suicide, substance misuse and premature mortality.</w:t>
      </w:r>
    </w:p>
    <w:p w:rsidR="002A3AE8" w:rsidRPr="00812E4C" w:rsidP="004D5B66">
      <w:pPr>
        <w:pStyle w:val="ListParagraph"/>
        <w:rPr>
          <w:rFonts w:ascii="Calibri" w:eastAsia="Times New Roman" w:hAnsi="Calibri" w:cs="Calibri"/>
          <w:color w:val="4D4D4D"/>
          <w:kern w:val="0"/>
          <w:sz w:val="22"/>
          <w:szCs w:val="22"/>
          <w:lang w:eastAsia="en-GB"/>
        </w:rPr>
      </w:pPr>
    </w:p>
    <w:p w:rsidR="002A3AE8" w:rsidRPr="00812E4C" w:rsidP="004D5B66">
      <w:pPr>
        <w:pStyle w:val="ListParagraph"/>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T</w:t>
      </w:r>
      <w:r w:rsidRPr="00812E4C">
        <w:rPr>
          <w:rFonts w:ascii="Calibri" w:eastAsia="Times New Roman" w:hAnsi="Calibri" w:cs="Calibri"/>
          <w:color w:val="4D4D4D"/>
          <w:kern w:val="0"/>
          <w:sz w:val="22"/>
          <w:szCs w:val="22"/>
          <w:lang w:eastAsia="en-GB"/>
        </w:rPr>
        <w:t>he rollout of Education Mental Health Practitioners and Mental Health Support Teams needs to be completed, and staff will require training in ADHD, neurodivergence and mental health.</w:t>
      </w:r>
    </w:p>
    <w:p w:rsidR="002A3AE8" w:rsidRPr="00812E4C" w:rsidP="004D5B66">
      <w:pPr>
        <w:pStyle w:val="ListParagraph"/>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 xml:space="preserve">Schools require systems including flexibility around curriculum and learning in place to support the needs of young people. </w:t>
      </w:r>
    </w:p>
    <w:p w:rsidR="002A3AE8" w:rsidRPr="00812E4C" w:rsidP="00C744D8">
      <w:p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 xml:space="preserve">Separating budgets, training and personnel for ADHD /ND and mental health or presumed diagnosis fragments support, is inefficient and can result in potentially lethal delays in accessing prompt support. </w:t>
      </w:r>
    </w:p>
    <w:p w:rsidR="002A3AE8" w:rsidRPr="00812E4C" w:rsidP="00C744D8">
      <w:p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The ADHD taskforce recommended evaluation of integrated youth services in England for 11/12- to 25-year-olds to break down current barriers around transition from child to adult services and enable continuity of care for the highest risk age group. This front door YP codesigned approach has been shown to be effective (research evidence) across multiple countries and brings together health (physical and mental), education, social care, careers/employment and been shown to provide more rapid support and requi</w:t>
      </w:r>
      <w:r w:rsidRPr="00812E4C">
        <w:rPr>
          <w:rFonts w:ascii="Calibri" w:eastAsia="Times New Roman" w:hAnsi="Calibri" w:cs="Calibri"/>
          <w:color w:val="4D4D4D"/>
          <w:kern w:val="0"/>
          <w:sz w:val="22"/>
          <w:szCs w:val="22"/>
          <w:lang w:eastAsia="en-GB"/>
        </w:rPr>
        <w:t>re less specialist intervention than traditional services that typically are siloed.</w:t>
      </w:r>
    </w:p>
    <w:p w:rsidR="002A3AE8" w:rsidRPr="00812E4C" w:rsidP="00C162CD">
      <w:pPr>
        <w:pStyle w:val="ListParagraph"/>
        <w:rPr>
          <w:rFonts w:ascii="Calibri" w:eastAsia="Times New Roman" w:hAnsi="Calibri" w:cs="Calibri"/>
          <w:color w:val="4D4D4D"/>
          <w:kern w:val="0"/>
          <w:sz w:val="22"/>
          <w:szCs w:val="22"/>
          <w:lang w:eastAsia="en-GB"/>
        </w:rPr>
      </w:pPr>
    </w:p>
    <w:p w:rsidR="002A3AE8" w:rsidRPr="00812E4C" w:rsidP="00C162CD">
      <w:pPr>
        <w:pStyle w:val="ListParagraph"/>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Sure Start showed benefits but evidence on immediate benefits were not apparent. However, by adolescence, effects were observed (mental health, education, lower SEND).  Based on data from Sure Start we recommended that Best Start Family Hubs are rolled out across England but are likely to be more effective if adopting evidence-based parenting support interventions and include expertise in ADHD/ neurodivergence as well as mental health and wellbeing. </w:t>
      </w:r>
    </w:p>
    <w:p w:rsidR="002A3AE8" w:rsidRPr="00812E4C" w:rsidP="00C162CD">
      <w:pPr>
        <w:pStyle w:val="ListParagraph"/>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Young Futures Hubs: we recommend using models that already have been shown to be effective in other countries especially the integrated youth service spanning up to age 25 years. The peak onset of mental health problems is across adolescence and early adult life. These services should cut across ND/ADHD and mental health.</w:t>
      </w:r>
    </w:p>
    <w:p w:rsidR="002A3AE8" w:rsidRPr="00812E4C" w:rsidP="00C162CD">
      <w:pPr>
        <w:pStyle w:val="ListParagraph"/>
        <w:rPr>
          <w:rFonts w:ascii="Calibri" w:eastAsia="Times New Roman" w:hAnsi="Calibri" w:cs="Calibri"/>
          <w:color w:val="4D4D4D"/>
          <w:kern w:val="0"/>
          <w:sz w:val="22"/>
          <w:szCs w:val="22"/>
          <w:lang w:eastAsia="en-GB"/>
        </w:rPr>
      </w:pPr>
    </w:p>
    <w:p w:rsidR="002A3AE8" w:rsidRPr="00812E4C" w:rsidP="00C162CD">
      <w:pPr>
        <w:pStyle w:val="ListParagraph"/>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p>
    <w:p w:rsidR="002A3AE8" w:rsidRPr="00812E4C" w:rsidP="00C162CD">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Are NHS services being delivered in the right physical locations? </w:t>
      </w:r>
      <w:r w:rsidRPr="00812E4C">
        <w:rPr>
          <w:rFonts w:ascii="Calibri" w:eastAsia="Times New Roman" w:hAnsi="Calibri" w:cs="Calibri"/>
          <w:color w:val="4D4D4D"/>
          <w:kern w:val="0"/>
          <w:sz w:val="22"/>
          <w:szCs w:val="22"/>
          <w:lang w:eastAsia="en-GB"/>
        </w:rPr>
        <w:t>Join up with school locations and primary care (consultation and rapid access are important).</w:t>
      </w:r>
    </w:p>
    <w:p w:rsidR="002A3AE8" w:rsidRPr="00812E4C" w:rsidP="00C162CD">
      <w:pPr>
        <w:pStyle w:val="ListParagraph"/>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What measures are needed to tackle increasing rates of children and young people deteriorating to the point of A&amp;E attendance or acute admission.  One issue is that ADHD wait lists are long and late diagnosis of ADHD and untreated ADHD are known to lead to increased A and E use, self-harm and suicide as well as substance misuse and mental health crises. A stepped care model can help match intensity of intervention to severity.</w:t>
      </w:r>
    </w:p>
    <w:p w:rsidR="002A3AE8" w:rsidRPr="00812E4C" w:rsidP="00C162CD">
      <w:pPr>
        <w:pStyle w:val="ListParagraph"/>
        <w:rPr>
          <w:rFonts w:ascii="Calibri" w:eastAsia="Times New Roman" w:hAnsi="Calibri" w:cs="Calibri"/>
          <w:color w:val="4D4D4D"/>
          <w:kern w:val="0"/>
          <w:sz w:val="22"/>
          <w:szCs w:val="22"/>
          <w:lang w:eastAsia="en-GB"/>
        </w:rPr>
      </w:pPr>
    </w:p>
    <w:p w:rsidR="002A3AE8" w:rsidRPr="00812E4C" w:rsidP="00C162CD">
      <w:pPr>
        <w:pStyle w:val="ListParagraph"/>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Primary care staff need to be trained around child and adolescent mental health as well as ADHD/ND and linked better to community support and specialist services. The ADHD taskforce recommended that for common conditions such as ADHD that is not complex, given how common it is (3-5%), primary care (supported by secondary care) needs to play a bigger role but will require training and remuneration for this. This includes the primary care team and pharmacists and working across Royal Colleges.</w:t>
      </w:r>
    </w:p>
    <w:p w:rsidR="002A3AE8" w:rsidRPr="00812E4C" w:rsidP="00C162CD">
      <w:pPr>
        <w:pStyle w:val="ListParagraph"/>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 xml:space="preserve"> </w:t>
      </w:r>
    </w:p>
    <w:p w:rsidR="002A3AE8" w:rsidRPr="00812E4C" w:rsidP="004D5B66">
      <w:pPr>
        <w:pStyle w:val="ListParagraph"/>
        <w:numPr>
          <w:ilvl w:val="0"/>
          <w:numId w:val="4"/>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What changes would most effectively strengthen referral pathways for children with SEND? We highlight that although diagnosis is needed for clinical decisions, educational needs and support should not require or based on a diagnosis or presumed diagnosis.</w:t>
      </w:r>
    </w:p>
    <w:p w:rsidR="002A3AE8" w:rsidRPr="00812E4C" w:rsidP="004D5B66">
      <w:pPr>
        <w:numPr>
          <w:ilvl w:val="0"/>
          <w:numId w:val="3"/>
        </w:numPr>
        <w:shd w:val="clear" w:color="auto" w:fill="F8F6FC"/>
        <w:spacing w:before="100" w:beforeAutospacing="1" w:after="100" w:afterAutospacing="1" w:line="240" w:lineRule="auto"/>
        <w:rPr>
          <w:rFonts w:ascii="Calibri" w:eastAsia="Times New Roman" w:hAnsi="Calibri" w:cs="Calibri"/>
          <w:color w:val="4D4D4D"/>
          <w:kern w:val="0"/>
          <w:sz w:val="22"/>
          <w:szCs w:val="22"/>
          <w:lang w:eastAsia="en-GB"/>
        </w:rPr>
      </w:pPr>
      <w:r w:rsidRPr="00812E4C">
        <w:rPr>
          <w:rFonts w:ascii="Calibri" w:eastAsia="Times New Roman" w:hAnsi="Calibri" w:cs="Calibri"/>
          <w:color w:val="4D4D4D"/>
          <w:kern w:val="0"/>
          <w:sz w:val="22"/>
          <w:szCs w:val="22"/>
          <w:lang w:eastAsia="en-GB"/>
        </w:rPr>
        <w:t>Is there sufficient alignment between the strategies and reviews of the Department of Health and social care and Department for Education?  The ADHD taskforce recommended that planning and budgets for ADHD /ND and mental health across the NHS, education and social care need to be shared across Departments from Government down to local level.</w:t>
      </w:r>
    </w:p>
    <w:p w:rsidR="002A3AE8" w:rsidRPr="00812E4C" w:rsidP="00A342C0">
      <w:pPr>
        <w:spacing w:after="0" w:line="240" w:lineRule="auto"/>
        <w:rPr>
          <w:rFonts w:ascii="Calibri" w:eastAsia="Times New Roman" w:hAnsi="Calibri" w:cs="Calibri"/>
          <w:kern w:val="0"/>
          <w:sz w:val="22"/>
          <w:szCs w:val="22"/>
          <w:lang w:eastAsia="en-GB"/>
        </w:rPr>
      </w:pPr>
    </w:p>
    <w:p w:rsidR="002A3AE8" w:rsidRPr="00812E4C">
      <w:pPr>
        <w:rPr>
          <w:rFonts w:ascii="Calibri" w:hAnsi="Calibri" w:cs="Calibri"/>
          <w:i/>
          <w:iCs/>
          <w:sz w:val="22"/>
          <w:szCs w:val="22"/>
        </w:rPr>
      </w:pPr>
      <w:r w:rsidRPr="00812E4C">
        <w:rPr>
          <w:rFonts w:ascii="Calibri" w:hAnsi="Calibri" w:cs="Calibri"/>
          <w:i/>
          <w:iCs/>
          <w:sz w:val="22"/>
          <w:szCs w:val="22"/>
        </w:rPr>
        <w:t>April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7326B6"/>
    <w:multiLevelType w:val="multilevel"/>
    <w:tmpl w:val="84262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C0C62"/>
    <w:multiLevelType w:val="multilevel"/>
    <w:tmpl w:val="84262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FA5F23"/>
    <w:multiLevelType w:val="multilevel"/>
    <w:tmpl w:val="198A03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0B1B31"/>
    <w:multiLevelType w:val="multilevel"/>
    <w:tmpl w:val="A5E85B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342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42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342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2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2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2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2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2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2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2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42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342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2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2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2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2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2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2C0"/>
    <w:rPr>
      <w:rFonts w:eastAsiaTheme="majorEastAsia" w:cstheme="majorBidi"/>
      <w:color w:val="272727" w:themeColor="text1" w:themeTint="D8"/>
    </w:rPr>
  </w:style>
  <w:style w:type="paragraph" w:styleId="Title">
    <w:name w:val="Title"/>
    <w:basedOn w:val="Normal"/>
    <w:next w:val="Normal"/>
    <w:link w:val="TitleChar"/>
    <w:uiPriority w:val="10"/>
    <w:qFormat/>
    <w:rsid w:val="00A342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2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2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2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2C0"/>
    <w:pPr>
      <w:spacing w:before="160"/>
      <w:jc w:val="center"/>
    </w:pPr>
    <w:rPr>
      <w:i/>
      <w:iCs/>
      <w:color w:val="404040" w:themeColor="text1" w:themeTint="BF"/>
    </w:rPr>
  </w:style>
  <w:style w:type="character" w:customStyle="1" w:styleId="QuoteChar">
    <w:name w:val="Quote Char"/>
    <w:basedOn w:val="DefaultParagraphFont"/>
    <w:link w:val="Quote"/>
    <w:uiPriority w:val="29"/>
    <w:rsid w:val="00A342C0"/>
    <w:rPr>
      <w:i/>
      <w:iCs/>
      <w:color w:val="404040" w:themeColor="text1" w:themeTint="BF"/>
    </w:rPr>
  </w:style>
  <w:style w:type="paragraph" w:styleId="ListParagraph">
    <w:name w:val="List Paragraph"/>
    <w:basedOn w:val="Normal"/>
    <w:uiPriority w:val="34"/>
    <w:qFormat/>
    <w:rsid w:val="00A342C0"/>
    <w:pPr>
      <w:ind w:left="720"/>
      <w:contextualSpacing/>
    </w:pPr>
  </w:style>
  <w:style w:type="character" w:styleId="IntenseEmphasis">
    <w:name w:val="Intense Emphasis"/>
    <w:basedOn w:val="DefaultParagraphFont"/>
    <w:uiPriority w:val="21"/>
    <w:qFormat/>
    <w:rsid w:val="00A342C0"/>
    <w:rPr>
      <w:i/>
      <w:iCs/>
      <w:color w:val="0F4761" w:themeColor="accent1" w:themeShade="BF"/>
    </w:rPr>
  </w:style>
  <w:style w:type="paragraph" w:styleId="IntenseQuote">
    <w:name w:val="Intense Quote"/>
    <w:basedOn w:val="Normal"/>
    <w:next w:val="Normal"/>
    <w:link w:val="IntenseQuoteChar"/>
    <w:uiPriority w:val="30"/>
    <w:qFormat/>
    <w:rsid w:val="00A342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2C0"/>
    <w:rPr>
      <w:i/>
      <w:iCs/>
      <w:color w:val="0F4761" w:themeColor="accent1" w:themeShade="BF"/>
    </w:rPr>
  </w:style>
  <w:style w:type="character" w:styleId="IntenseReference">
    <w:name w:val="Intense Reference"/>
    <w:basedOn w:val="DefaultParagraphFont"/>
    <w:uiPriority w:val="32"/>
    <w:qFormat/>
    <w:rsid w:val="00A342C0"/>
    <w:rPr>
      <w:b/>
      <w:bCs/>
      <w:smallCaps/>
      <w:color w:val="0F4761" w:themeColor="accent1" w:themeShade="BF"/>
      <w:spacing w:val="5"/>
    </w:rPr>
  </w:style>
  <w:style w:type="paragraph" w:styleId="NormalWeb">
    <w:name w:val="Normal (Web)"/>
    <w:basedOn w:val="Normal"/>
    <w:uiPriority w:val="99"/>
    <w:semiHidden/>
    <w:unhideWhenUsed/>
    <w:rsid w:val="00A342C0"/>
    <w:pPr>
      <w:spacing w:before="100" w:beforeAutospacing="1" w:after="100" w:afterAutospacing="1" w:line="240" w:lineRule="auto"/>
    </w:pPr>
    <w:rPr>
      <w:rFonts w:ascii="Times New Roman" w:eastAsia="Times New Roman" w:hAnsi="Times New Roman" w:cs="Times New Roman"/>
      <w:kern w:val="0"/>
      <w:lang w:eastAsia="en-GB"/>
    </w:rPr>
  </w:style>
  <w:style w:type="character" w:styleId="Strong">
    <w:name w:val="Strong"/>
    <w:basedOn w:val="DefaultParagraphFont"/>
    <w:uiPriority w:val="22"/>
    <w:qFormat/>
    <w:rsid w:val="00A342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CYM0049</dc:title>
  <cp:revision>0</cp:revision>
</cp:coreProperties>
</file>