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5CCB" w:rsidRPr="001B3A58" w:rsidP="001B3A58">
      <w:pPr>
        <w:jc w:val="center"/>
        <w:rPr>
          <w:b/>
          <w:bCs/>
        </w:rPr>
      </w:pPr>
      <w:r w:rsidRPr="001B3A58">
        <w:rPr>
          <w:b/>
          <w:bCs/>
        </w:rPr>
        <w:t xml:space="preserve">Written evidence submitted </w:t>
      </w:r>
      <w:r w:rsidR="00870DCD">
        <w:rPr>
          <w:b/>
          <w:bCs/>
        </w:rPr>
        <w:t>anonymously</w:t>
      </w:r>
    </w:p>
    <w:p w:rsidR="00D15CCB" w:rsidP="001B3A58">
      <w:r>
        <w:t>TO: The Select Committee on the Armed Forces Bill 2026</w:t>
      </w:r>
    </w:p>
    <w:p w:rsidR="00D15CCB" w:rsidP="001B3A58">
      <w:r>
        <w:t>SUBJECT: Written Evidence – Armed Forces Covenant Disadvantage (The SDLT/CGT Contradiction)</w:t>
      </w:r>
    </w:p>
    <w:p w:rsidR="00D15CCB" w:rsidP="001B3A58"/>
    <w:p w:rsidR="00D15CCB" w:rsidP="001B3A58">
      <w:r>
        <w:t>1. Introduction</w:t>
      </w:r>
    </w:p>
    <w:p w:rsidR="00D15CCB" w:rsidP="001B3A58">
      <w:r>
        <w:t>I am a spouse of a serving member of the Armed Forces. Our family of five currently resides in Service Family Accommodation (SFA). I am submitting this evidence to highlight a clear Service Disadvantage that directly contradicts the principles of the Armed Forces Covenant. As the 2026 Bill seeks to extend the Covenant’s Legal Duty to personal taxation, it is vital to address how conflicting rules within a single government department (HMRC) are penalizing families who follow service mobility orders.</w:t>
      </w:r>
    </w:p>
    <w:p w:rsidR="00D15CCB" w:rsidP="001B3A58"/>
    <w:p w:rsidR="00D15CCB" w:rsidP="001B3A58">
      <w:r>
        <w:t>2. Our example</w:t>
      </w:r>
    </w:p>
    <w:p w:rsidR="00D15CCB" w:rsidP="001B3A58">
      <w:r>
        <w:t>Our property history demonstrates how service mobility creates an unintended tax trap:</w:t>
      </w:r>
    </w:p>
    <w:p w:rsidR="00D15CCB" w:rsidP="001B3A58">
      <w:r>
        <w:t>The Original Home: My husband owned and lived in a small two-bedroom flat in Torquay (purchased for proximity to his work in Plymouth) while he was unmarried.</w:t>
      </w:r>
    </w:p>
    <w:p w:rsidR="00D15CCB" w:rsidP="001B3A58">
      <w:r>
        <w:t>The Relocation: Due to service requirements, he relocated to London; he moved out of the Torquay home, but maintained it as was always anticipated he would eventually return to work in the Plymouth base.</w:t>
      </w:r>
    </w:p>
    <w:p w:rsidR="00D15CCB" w:rsidP="001B3A58">
      <w:r>
        <w:t>The Transition to SFA: We subsequently married and started a family. Service requirements necessitated further relocation to Portsmouth, we moved into SFA.</w:t>
      </w:r>
    </w:p>
    <w:p w:rsidR="00D15CCB" w:rsidP="001B3A58">
      <w:r>
        <w:t>The Current Reality: We have now resided in SFA for 12 years plus.</w:t>
      </w:r>
    </w:p>
    <w:p w:rsidR="00D15CCB" w:rsidP="001B3A58">
      <w:r>
        <w:t>There are two insurmountable reasons why we have never lived in the Torquay flat together as a family:</w:t>
      </w:r>
    </w:p>
    <w:p w:rsidR="00D15CCB" w:rsidP="001B3A58">
      <w:r>
        <w:t>Inappropriate Location: Since the Navy moved my husband, the Torquay flat is in a different part of the country from his subsequent duty stations.</w:t>
      </w:r>
    </w:p>
    <w:p w:rsidR="00D15CCB" w:rsidP="001B3A58">
      <w:r>
        <w:t>Impractical Size: It is a small two-bedroom unit. It is now entirely impractical to accommodate a family of five.</w:t>
      </w:r>
    </w:p>
    <w:p w:rsidR="00D15CCB" w:rsidP="001B3A58"/>
    <w:p w:rsidR="00D15CCB" w:rsidP="001B3A58">
      <w:r>
        <w:t>3. The HMRC Contradiction: One Department, Two Sets of Rules</w:t>
      </w:r>
    </w:p>
    <w:p w:rsidR="00D15CCB" w:rsidP="001B3A58">
      <w:r>
        <w:t>The most significant disadvantage we face is the lack of internal consistency within HMRC regarding Service Personnel.</w:t>
      </w:r>
    </w:p>
    <w:p w:rsidR="00D15CCB" w:rsidP="001B3A58">
      <w:r>
        <w:t>Capital Gains Tax (CGT): HMRC quite rightly recognizes the Torquay flat as our "Main Residence" for CGT purposes due to specific "Job Related Accommodation" reliefs granted to Service Personnel in SFA.</w:t>
      </w:r>
    </w:p>
    <w:p w:rsidR="00D15CCB" w:rsidP="001B3A58">
      <w:r>
        <w:t>Stamp Duty Land Tax (SDLT): Conversely, the same department (HMRC) does not recognize the same property as a "Main Residence" for the purposes of the 5% SDLT Surcharge relief. Because we have been in SFA for longer than an arbitrary 3-year window, we are "timed out" of the relief.</w:t>
      </w:r>
    </w:p>
    <w:p w:rsidR="00D15CCB" w:rsidP="001B3A58">
      <w:r>
        <w:t>It is nonsensical that one arm of HMRC accepts the property is our home because our service prevents us from living there, while another arm of the same department penalizes us for that exact same service.</w:t>
      </w:r>
    </w:p>
    <w:p w:rsidR="00D15CCB" w:rsidP="001B3A58"/>
    <w:p w:rsidR="00D15CCB" w:rsidP="001B3A58">
      <w:r>
        <w:t>4. Breach of the Armed Forces Covenant</w:t>
      </w:r>
    </w:p>
    <w:p w:rsidR="00D15CCB" w:rsidP="001B3A58">
      <w:r>
        <w:t>The Armed Forces Covenant states the community should face no disadvantage. Currently, we are facing a massive financial penalty:</w:t>
      </w:r>
    </w:p>
    <w:p w:rsidR="00D15CCB" w:rsidP="001B3A58">
      <w:r>
        <w:t xml:space="preserve">We are not trying to avoid fair taxes. We have personally, quite legitimately and appropriately paid the higher-rate SDLT surcharge on a separate more recently purchased, small investment property close to my parents. </w:t>
      </w:r>
    </w:p>
    <w:p w:rsidR="00D15CCB" w:rsidP="001B3A58">
      <w:r>
        <w:t>We are ready to sell the Torquay flat to fund our new family home.</w:t>
      </w:r>
    </w:p>
    <w:p w:rsidR="00D15CCB" w:rsidP="001B3A58">
      <w:r>
        <w:t xml:space="preserve">However, under current HMRC rules we would be forced, if purchasing our own home, to pay a £42,500 surcharge. This is based on an £800,000 family home, which is a modest price for a property suitable for a family of five in our current area. Therefore we are not buying and remain in SFA which is neither advantageous to us or the tax payer. </w:t>
      </w:r>
    </w:p>
    <w:p w:rsidR="00D15CCB" w:rsidP="001B3A58"/>
    <w:p w:rsidR="00D15CCB" w:rsidP="001B3A58">
      <w:r>
        <w:t>5. Recommendation for the 2026 Bill</w:t>
      </w:r>
    </w:p>
    <w:p w:rsidR="00D15CCB" w:rsidP="001B3A58">
      <w:r>
        <w:t>I urge the Committee to ensure that the 2026 Bill aligns SDLT rules with existing CGT reliefs. Specifically:</w:t>
      </w:r>
    </w:p>
    <w:p w:rsidR="00D15CCB" w:rsidP="001B3A58">
      <w:r>
        <w:t>Ensure that time spent in SFA is legally defined as "deemed occupation" (maintaining the property's status as a primary residence) for all property-related taxes within HMRC.</w:t>
      </w:r>
    </w:p>
    <w:p w:rsidR="00D15CCB" w:rsidP="001B3A58">
      <w:r>
        <w:t>Remove the "3-year window" for service families in SFA, ensuring that mobility does not lead to the loss of "Main Residence" status for SDLT purposes.</w:t>
      </w:r>
    </w:p>
    <w:p w:rsidR="00D15CCB" w:rsidP="001B3A58"/>
    <w:p w:rsidR="00D15CCB" w:rsidP="001B3A58">
      <w:r>
        <w:t xml:space="preserve">I am happy to provide further detail. Our situation is shared with many forces families and is also laid out in the solicitors report at this link </w:t>
      </w:r>
      <w:r>
        <w:fldChar w:fldCharType="begin"/>
      </w:r>
      <w:r>
        <w:instrText xml:space="preserve"> HYPERLINK "https://www.blakemorgan.co.uk/stamp-duty-land-tax-3-surcharge-armed-forces-covenant/" </w:instrText>
      </w:r>
      <w:r>
        <w:fldChar w:fldCharType="separate"/>
      </w:r>
      <w:r w:rsidRPr="00357DA9">
        <w:rPr>
          <w:rStyle w:val="Hyperlink"/>
        </w:rPr>
        <w:t>https://www.blakemorgan.co.uk/stamp-duty-land-tax-3-surcharge-armed-forces-covenant/</w:t>
      </w:r>
      <w:r>
        <w:fldChar w:fldCharType="end"/>
      </w:r>
      <w:r>
        <w:t xml:space="preserve"> </w:t>
      </w:r>
    </w:p>
    <w:p w:rsidR="00D15CCB" w:rsidP="001B3A58"/>
    <w:p w:rsidR="00D15CCB" w:rsidP="001B3A58">
      <w:r>
        <w:t>I thank you for your time and due consideration.</w:t>
      </w:r>
    </w:p>
    <w:p w:rsidR="00D15CCB" w:rsidP="001B3A58">
      <w:pPr>
        <w:rPr>
          <w:b/>
          <w:bCs/>
          <w:i/>
          <w:iCs/>
        </w:rPr>
      </w:pPr>
    </w:p>
    <w:p w:rsidR="00D15CCB">
      <w:r w:rsidRPr="001B3A58">
        <w:rPr>
          <w:b/>
          <w:bCs/>
          <w:i/>
          <w:iCs/>
        </w:rPr>
        <w:t>12 March 2026</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5CCB">
    <w:pPr>
      <w:pStyle w:val="Header"/>
    </w:pPr>
    <w:r>
      <w:tab/>
    </w:r>
    <w:r>
      <w:tab/>
      <w:t>[AFB0044]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B3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A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A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A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A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A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A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A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A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A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A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A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A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A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A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A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A58"/>
    <w:rPr>
      <w:rFonts w:eastAsiaTheme="majorEastAsia" w:cstheme="majorBidi"/>
      <w:color w:val="272727" w:themeColor="text1" w:themeTint="D8"/>
    </w:rPr>
  </w:style>
  <w:style w:type="paragraph" w:styleId="Title">
    <w:name w:val="Title"/>
    <w:basedOn w:val="Normal"/>
    <w:next w:val="Normal"/>
    <w:link w:val="TitleChar"/>
    <w:uiPriority w:val="10"/>
    <w:qFormat/>
    <w:rsid w:val="001B3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A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A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A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A58"/>
    <w:pPr>
      <w:spacing w:before="160"/>
      <w:jc w:val="center"/>
    </w:pPr>
    <w:rPr>
      <w:i/>
      <w:iCs/>
      <w:color w:val="404040" w:themeColor="text1" w:themeTint="BF"/>
    </w:rPr>
  </w:style>
  <w:style w:type="character" w:customStyle="1" w:styleId="QuoteChar">
    <w:name w:val="Quote Char"/>
    <w:basedOn w:val="DefaultParagraphFont"/>
    <w:link w:val="Quote"/>
    <w:uiPriority w:val="29"/>
    <w:rsid w:val="001B3A58"/>
    <w:rPr>
      <w:i/>
      <w:iCs/>
      <w:color w:val="404040" w:themeColor="text1" w:themeTint="BF"/>
    </w:rPr>
  </w:style>
  <w:style w:type="paragraph" w:styleId="ListParagraph">
    <w:name w:val="List Paragraph"/>
    <w:basedOn w:val="Normal"/>
    <w:uiPriority w:val="34"/>
    <w:qFormat/>
    <w:rsid w:val="001B3A58"/>
    <w:pPr>
      <w:ind w:left="720"/>
      <w:contextualSpacing/>
    </w:pPr>
  </w:style>
  <w:style w:type="character" w:styleId="IntenseEmphasis">
    <w:name w:val="Intense Emphasis"/>
    <w:basedOn w:val="DefaultParagraphFont"/>
    <w:uiPriority w:val="21"/>
    <w:qFormat/>
    <w:rsid w:val="001B3A58"/>
    <w:rPr>
      <w:i/>
      <w:iCs/>
      <w:color w:val="0F4761" w:themeColor="accent1" w:themeShade="BF"/>
    </w:rPr>
  </w:style>
  <w:style w:type="paragraph" w:styleId="IntenseQuote">
    <w:name w:val="Intense Quote"/>
    <w:basedOn w:val="Normal"/>
    <w:next w:val="Normal"/>
    <w:link w:val="IntenseQuoteChar"/>
    <w:uiPriority w:val="30"/>
    <w:qFormat/>
    <w:rsid w:val="001B3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A58"/>
    <w:rPr>
      <w:i/>
      <w:iCs/>
      <w:color w:val="0F4761" w:themeColor="accent1" w:themeShade="BF"/>
    </w:rPr>
  </w:style>
  <w:style w:type="character" w:styleId="IntenseReference">
    <w:name w:val="Intense Reference"/>
    <w:basedOn w:val="DefaultParagraphFont"/>
    <w:uiPriority w:val="32"/>
    <w:qFormat/>
    <w:rsid w:val="001B3A58"/>
    <w:rPr>
      <w:b/>
      <w:bCs/>
      <w:smallCaps/>
      <w:color w:val="0F4761" w:themeColor="accent1" w:themeShade="BF"/>
      <w:spacing w:val="5"/>
    </w:rPr>
  </w:style>
  <w:style w:type="paragraph" w:styleId="Header">
    <w:name w:val="header"/>
    <w:basedOn w:val="Normal"/>
    <w:link w:val="HeaderChar"/>
    <w:uiPriority w:val="99"/>
    <w:unhideWhenUsed/>
    <w:rsid w:val="001B3A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A58"/>
  </w:style>
  <w:style w:type="paragraph" w:styleId="Footer">
    <w:name w:val="footer"/>
    <w:basedOn w:val="Normal"/>
    <w:link w:val="FooterChar"/>
    <w:uiPriority w:val="99"/>
    <w:unhideWhenUsed/>
    <w:rsid w:val="001B3A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A58"/>
  </w:style>
  <w:style w:type="character" w:styleId="Hyperlink">
    <w:name w:val="Hyperlink"/>
    <w:basedOn w:val="DefaultParagraphFont"/>
    <w:uiPriority w:val="99"/>
    <w:unhideWhenUsed/>
    <w:rsid w:val="0066206E"/>
    <w:rPr>
      <w:color w:val="467886" w:themeColor="hyperlink"/>
      <w:u w:val="single"/>
    </w:rPr>
  </w:style>
  <w:style w:type="character" w:customStyle="1" w:styleId="UnresolvedMention1">
    <w:name w:val="Unresolved Mention1"/>
    <w:basedOn w:val="DefaultParagraphFont"/>
    <w:uiPriority w:val="99"/>
    <w:semiHidden/>
    <w:unhideWhenUsed/>
    <w:rsid w:val="0066206E"/>
    <w:rPr>
      <w:color w:val="605E5C"/>
      <w:shd w:val="clear" w:color="auto" w:fill="E1DFDD"/>
    </w:rPr>
  </w:style>
  <w:style w:type="character" w:styleId="FollowedHyperlink">
    <w:name w:val="FollowedHyperlink"/>
    <w:basedOn w:val="DefaultParagraphFont"/>
    <w:uiPriority w:val="99"/>
    <w:semiHidden/>
    <w:unhideWhenUsed/>
    <w:rsid w:val="00870DC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AFB0044</dc:title>
  <cp:revision>0</cp:revision>
</cp:coreProperties>
</file>