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7B14" w:rsidP="008C6C00">
      <w:pPr>
        <w:pStyle w:val="Title"/>
        <w:spacing w:after="200"/>
        <w:jc w:val="center"/>
        <w:rPr>
          <w:rFonts w:eastAsia="Poppins" w:asciiTheme="majorHAnsi" w:hAnsiTheme="majorHAnsi" w:cstheme="majorHAnsi"/>
          <w:b/>
          <w:bCs/>
          <w:color w:val="2F1F46"/>
          <w:sz w:val="28"/>
          <w:szCs w:val="28"/>
        </w:rPr>
      </w:pPr>
      <w:r>
        <w:rPr>
          <w:rFonts w:eastAsia="Poppins" w:asciiTheme="majorHAnsi" w:hAnsiTheme="majorHAnsi" w:cstheme="majorHAnsi"/>
          <w:b/>
          <w:bCs/>
          <w:color w:val="2F1F46"/>
          <w:sz w:val="28"/>
          <w:szCs w:val="28"/>
        </w:rPr>
        <w:t>Written evidence submitted by the SUV Alliance (RSS0060)</w:t>
      </w:r>
    </w:p>
    <w:p w:rsidR="008C6C00" w:rsidRPr="008C6C00" w:rsidP="008C6C00">
      <w:pPr>
        <w:pStyle w:val="Normal1"/>
      </w:pPr>
    </w:p>
    <w:p w:rsidR="008C6C00" w:rsidRPr="008C6C00" w:rsidP="008C6C00">
      <w:pPr>
        <w:numPr>
          <w:ilvl w:val="0"/>
          <w:numId w:val="1"/>
        </w:numPr>
        <w:spacing w:after="200" w:line="240" w:lineRule="auto"/>
        <w:ind w:left="360"/>
        <w:rPr>
          <w:rFonts w:eastAsia="Poppins" w:asciiTheme="majorHAnsi" w:hAnsiTheme="majorHAnsi" w:cstheme="majorHAnsi"/>
          <w:sz w:val="28"/>
          <w:szCs w:val="28"/>
        </w:rPr>
      </w:pPr>
      <w:bookmarkStart w:id="0" w:name="_m9i178pynnns" w:colFirst="0" w:colLast="0"/>
      <w:bookmarkEnd w:id="0"/>
      <w:r w:rsidRPr="008C6C00">
        <w:rPr>
          <w:rFonts w:eastAsia="Poppins" w:asciiTheme="majorHAnsi" w:hAnsiTheme="majorHAnsi" w:cstheme="majorHAnsi"/>
          <w:sz w:val="28"/>
          <w:szCs w:val="28"/>
        </w:rPr>
        <w:t xml:space="preserve">The </w:t>
      </w:r>
      <w:r w:rsidRPr="008C6C00">
        <w:rPr>
          <w:rFonts w:eastAsia="Poppins" w:asciiTheme="majorHAnsi" w:hAnsiTheme="majorHAnsi" w:cstheme="majorHAnsi"/>
          <w:b/>
          <w:bCs/>
          <w:sz w:val="28"/>
          <w:szCs w:val="28"/>
        </w:rPr>
        <w:t>SUV Alliance</w:t>
      </w:r>
      <w:r w:rsidRPr="008C6C00">
        <w:rPr>
          <w:rFonts w:eastAsia="Poppins" w:asciiTheme="majorHAnsi" w:hAnsiTheme="majorHAnsi" w:cstheme="majorHAnsi"/>
          <w:sz w:val="28"/>
          <w:szCs w:val="28"/>
        </w:rPr>
        <w:t xml:space="preserve"> is a coalition of think tanks, campaign organisations and parent-led groups working to reverse the trend towards ever-bigger, ever-heavier cars and sports utility vehicles (SUVs).</w:t>
      </w:r>
      <w:r>
        <w:rPr>
          <w:rFonts w:eastAsia="Poppins" w:asciiTheme="majorHAnsi" w:hAnsiTheme="majorHAnsi" w:cstheme="majorHAnsi"/>
          <w:sz w:val="28"/>
          <w:szCs w:val="28"/>
          <w:vertAlign w:val="superscript"/>
        </w:rPr>
        <w:endnoteReference w:id="2"/>
      </w:r>
      <w:r w:rsidRPr="008C6C00">
        <w:rPr>
          <w:rFonts w:eastAsia="Poppins" w:asciiTheme="majorHAnsi" w:hAnsiTheme="majorHAnsi" w:cstheme="majorHAnsi"/>
          <w:sz w:val="28"/>
          <w:szCs w:val="28"/>
        </w:rPr>
        <w:t xml:space="preserve"> </w:t>
      </w:r>
    </w:p>
    <w:p w:rsidR="008C6C00" w:rsidRPr="008C6C00" w:rsidP="008C6C00">
      <w:pPr>
        <w:numPr>
          <w:ilvl w:val="0"/>
          <w:numId w:val="1"/>
        </w:numPr>
        <w:spacing w:line="240" w:lineRule="auto"/>
        <w:ind w:left="360"/>
        <w:rPr>
          <w:rFonts w:eastAsia="Poppins" w:asciiTheme="majorHAnsi" w:hAnsiTheme="majorHAnsi" w:cstheme="majorHAnsi"/>
          <w:sz w:val="28"/>
          <w:szCs w:val="28"/>
        </w:rPr>
      </w:pPr>
      <w:r w:rsidRPr="008C6C00">
        <w:rPr>
          <w:rFonts w:eastAsia="Poppins" w:asciiTheme="majorHAnsi" w:hAnsiTheme="majorHAnsi" w:cstheme="majorHAnsi"/>
          <w:sz w:val="28"/>
          <w:szCs w:val="28"/>
        </w:rPr>
        <w:t>We are grateful to the Committee for this call for evidence and are glad to provide our evidence below, particularly in response to part 2(l):</w:t>
      </w:r>
    </w:p>
    <w:p w:rsidR="008C6C00" w:rsidRPr="008C6C00" w:rsidP="008C6C00">
      <w:pPr>
        <w:numPr>
          <w:ilvl w:val="0"/>
          <w:numId w:val="4"/>
        </w:numPr>
        <w:spacing w:after="200" w:line="240" w:lineRule="auto"/>
        <w:ind w:left="1080"/>
        <w:rPr>
          <w:rFonts w:eastAsia="Poppins" w:asciiTheme="majorHAnsi" w:hAnsiTheme="majorHAnsi" w:cstheme="majorHAnsi"/>
          <w:i/>
          <w:iCs/>
          <w:sz w:val="28"/>
          <w:szCs w:val="28"/>
        </w:rPr>
      </w:pPr>
      <w:r w:rsidRPr="008C6C00">
        <w:rPr>
          <w:rFonts w:eastAsia="Poppins" w:asciiTheme="majorHAnsi" w:hAnsiTheme="majorHAnsi" w:cstheme="majorHAnsi"/>
          <w:b/>
          <w:bCs/>
          <w:i/>
          <w:iCs/>
          <w:sz w:val="28"/>
          <w:szCs w:val="28"/>
        </w:rPr>
        <w:t>“What is the right approach to strengthening vehicle safety standards? What measures should the Government prioritise in response to</w:t>
      </w:r>
      <w:r w:rsidRPr="008C6C00">
        <w:rPr>
          <w:rFonts w:eastAsia="Poppins" w:asciiTheme="majorHAnsi" w:hAnsiTheme="majorHAnsi" w:cstheme="majorHAnsi"/>
          <w:i/>
          <w:iCs/>
          <w:sz w:val="28"/>
          <w:szCs w:val="28"/>
        </w:rPr>
        <w:t xml:space="preserve"> issues such as headlamp glare,</w:t>
      </w:r>
      <w:r w:rsidRPr="008C6C00">
        <w:rPr>
          <w:rFonts w:eastAsia="Poppins" w:asciiTheme="majorHAnsi" w:hAnsiTheme="majorHAnsi" w:cstheme="majorHAnsi"/>
          <w:b/>
          <w:bCs/>
          <w:i/>
          <w:iCs/>
          <w:sz w:val="28"/>
          <w:szCs w:val="28"/>
        </w:rPr>
        <w:t xml:space="preserve"> increasing vehicle size</w:t>
      </w:r>
      <w:r w:rsidRPr="008C6C00">
        <w:rPr>
          <w:rFonts w:eastAsia="Poppins" w:asciiTheme="majorHAnsi" w:hAnsiTheme="majorHAnsi" w:cstheme="majorHAnsi"/>
          <w:i/>
          <w:iCs/>
          <w:sz w:val="28"/>
          <w:szCs w:val="28"/>
        </w:rPr>
        <w:t xml:space="preserve"> and any broader issues not currently being considered by the Government’s consultation?”</w:t>
      </w:r>
    </w:p>
    <w:tbl>
      <w:tblPr>
        <w:tblStyle w:val="Table1"/>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20"/>
      </w:tblPr>
      <w:tblGrid>
        <w:gridCol w:w="9360"/>
      </w:tblGrid>
      <w:tr w:rsidTr="008C6C00">
        <w:tblPrEx>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20"/>
        </w:tblPrEx>
        <w:tc>
          <w:tcPr>
            <w:tcW w:w="9360" w:type="dxa"/>
            <w:tcMar>
              <w:top w:w="100" w:type="dxa"/>
              <w:left w:w="100" w:type="dxa"/>
              <w:bottom w:w="100" w:type="dxa"/>
              <w:right w:w="100" w:type="dxa"/>
            </w:tcMar>
          </w:tcPr>
          <w:p w:rsidR="008C6C00" w:rsidRPr="008C6C00" w:rsidP="008C6C00">
            <w:pPr>
              <w:spacing w:after="200" w:line="240" w:lineRule="auto"/>
              <w:rPr>
                <w:rFonts w:eastAsia="Poppins" w:asciiTheme="majorHAnsi" w:hAnsiTheme="majorHAnsi" w:cstheme="majorHAnsi"/>
                <w:b/>
                <w:bCs/>
                <w:sz w:val="28"/>
                <w:szCs w:val="28"/>
              </w:rPr>
            </w:pPr>
            <w:r w:rsidRPr="008C6C00">
              <w:rPr>
                <w:rFonts w:eastAsia="Poppins" w:asciiTheme="majorHAnsi" w:hAnsiTheme="majorHAnsi" w:cstheme="majorHAnsi"/>
                <w:b/>
                <w:bCs/>
                <w:sz w:val="28"/>
                <w:szCs w:val="28"/>
              </w:rPr>
              <w:t>Summary of our response</w:t>
            </w:r>
          </w:p>
          <w:p w:rsidR="008C6C00" w:rsidRPr="008C6C00" w:rsidP="008C6C00">
            <w:pPr>
              <w:numPr>
                <w:ilvl w:val="0"/>
                <w:numId w:val="2"/>
              </w:num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Cars in the UK are growing heavier, wider and taller year-on-year, a phenomenon termed ‘</w:t>
            </w:r>
            <w:r w:rsidRPr="008C6C00">
              <w:rPr>
                <w:rFonts w:eastAsia="Poppins" w:asciiTheme="majorHAnsi" w:hAnsiTheme="majorHAnsi" w:cstheme="majorHAnsi"/>
                <w:sz w:val="28"/>
                <w:szCs w:val="28"/>
              </w:rPr>
              <w:t>carspreading</w:t>
            </w:r>
            <w:r w:rsidRPr="008C6C00">
              <w:rPr>
                <w:rFonts w:eastAsia="Poppins" w:asciiTheme="majorHAnsi" w:hAnsiTheme="majorHAnsi" w:cstheme="majorHAnsi"/>
                <w:sz w:val="28"/>
                <w:szCs w:val="28"/>
              </w:rPr>
              <w:t>’.</w:t>
            </w:r>
          </w:p>
          <w:p w:rsidR="008C6C00" w:rsidRPr="008C6C00" w:rsidP="008C6C00">
            <w:pPr>
              <w:numPr>
                <w:ilvl w:val="0"/>
                <w:numId w:val="2"/>
              </w:num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Carspreading</w:t>
            </w:r>
            <w:r w:rsidRPr="008C6C00">
              <w:rPr>
                <w:rFonts w:eastAsia="Poppins" w:asciiTheme="majorHAnsi" w:hAnsiTheme="majorHAnsi" w:cstheme="majorHAnsi"/>
                <w:sz w:val="28"/>
                <w:szCs w:val="28"/>
              </w:rPr>
              <w:t xml:space="preserve"> is exemplified by the growing sales of sports utility vehicles (SUVs), which made up 66% of new car sales in the UK in 2025. </w:t>
            </w:r>
          </w:p>
          <w:p w:rsidR="008C6C00" w:rsidRPr="008C6C00" w:rsidP="008C6C00">
            <w:pPr>
              <w:numPr>
                <w:ilvl w:val="0"/>
                <w:numId w:val="2"/>
              </w:num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The negative impacts of </w:t>
            </w:r>
            <w:r w:rsidRPr="008C6C00">
              <w:rPr>
                <w:rFonts w:eastAsia="Poppins" w:asciiTheme="majorHAnsi" w:hAnsiTheme="majorHAnsi" w:cstheme="majorHAnsi"/>
                <w:sz w:val="28"/>
                <w:szCs w:val="28"/>
              </w:rPr>
              <w:t>carspreading</w:t>
            </w:r>
            <w:r w:rsidRPr="008C6C00">
              <w:rPr>
                <w:rFonts w:eastAsia="Poppins" w:asciiTheme="majorHAnsi" w:hAnsiTheme="majorHAnsi" w:cstheme="majorHAnsi"/>
                <w:sz w:val="28"/>
                <w:szCs w:val="28"/>
              </w:rPr>
              <w:t xml:space="preserve"> on road safety, air quality and congestion are well documented and evidenced by a growing body of academic literature.</w:t>
            </w:r>
          </w:p>
          <w:p w:rsidR="008C6C00" w:rsidRPr="008C6C00" w:rsidP="008C6C00">
            <w:pPr>
              <w:numPr>
                <w:ilvl w:val="0"/>
                <w:numId w:val="2"/>
              </w:num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Successful and effective policy measures to tackle </w:t>
            </w:r>
            <w:r w:rsidRPr="008C6C00">
              <w:rPr>
                <w:rFonts w:eastAsia="Poppins" w:asciiTheme="majorHAnsi" w:hAnsiTheme="majorHAnsi" w:cstheme="majorHAnsi"/>
                <w:sz w:val="28"/>
                <w:szCs w:val="28"/>
              </w:rPr>
              <w:t>carspreading</w:t>
            </w:r>
            <w:r w:rsidRPr="008C6C00">
              <w:rPr>
                <w:rFonts w:eastAsia="Poppins" w:asciiTheme="majorHAnsi" w:hAnsiTheme="majorHAnsi" w:cstheme="majorHAnsi"/>
                <w:sz w:val="28"/>
                <w:szCs w:val="28"/>
              </w:rPr>
              <w:t xml:space="preserve"> are in place across Europe. These include weight-based taxation, weight-based parking surcharges, child-centred safety testing, and IVA reform.</w:t>
            </w:r>
          </w:p>
          <w:p w:rsidR="008C6C00" w:rsidRPr="008C6C00" w:rsidP="008C6C00">
            <w:pPr>
              <w:numPr>
                <w:ilvl w:val="0"/>
                <w:numId w:val="2"/>
              </w:numPr>
              <w:spacing w:after="200" w:line="240" w:lineRule="auto"/>
              <w:rPr>
                <w:rFonts w:eastAsia="Poppins" w:asciiTheme="majorHAnsi" w:hAnsiTheme="majorHAnsi" w:cstheme="majorHAnsi"/>
                <w:color w:val="F4F4F6"/>
                <w:sz w:val="28"/>
                <w:szCs w:val="28"/>
              </w:rPr>
            </w:pPr>
            <w:r w:rsidRPr="008C6C00">
              <w:rPr>
                <w:rFonts w:eastAsia="Poppins" w:asciiTheme="majorHAnsi" w:hAnsiTheme="majorHAnsi" w:cstheme="majorHAnsi"/>
                <w:sz w:val="28"/>
                <w:szCs w:val="28"/>
              </w:rPr>
              <w:t>Public support for such policies in the UK is high, with 59% of UK YouGov poll respondents agreeing that large cars are unnecessary in towns and cities.</w:t>
            </w:r>
          </w:p>
        </w:tc>
      </w:tr>
    </w:tbl>
    <w:p w:rsidR="008C6C00" w:rsidRPr="008C6C00" w:rsidP="008C6C00">
      <w:pPr>
        <w:pStyle w:val="Heading2"/>
        <w:spacing w:after="200"/>
        <w:rPr>
          <w:rFonts w:eastAsia="Poppins" w:asciiTheme="majorHAnsi" w:hAnsiTheme="majorHAnsi" w:cstheme="majorHAnsi"/>
          <w:b/>
          <w:bCs/>
          <w:color w:val="2F1F46"/>
          <w:sz w:val="28"/>
          <w:szCs w:val="28"/>
        </w:rPr>
      </w:pPr>
      <w:bookmarkStart w:id="1" w:name="_snfol7n8x77u" w:colFirst="0" w:colLast="0"/>
      <w:bookmarkEnd w:id="1"/>
      <w:r w:rsidRPr="008C6C00">
        <w:rPr>
          <w:rFonts w:eastAsia="Poppins" w:asciiTheme="majorHAnsi" w:hAnsiTheme="majorHAnsi" w:cstheme="majorHAnsi"/>
          <w:b/>
          <w:bCs/>
          <w:color w:val="2F1F46"/>
          <w:sz w:val="28"/>
          <w:szCs w:val="28"/>
        </w:rPr>
        <w:t xml:space="preserve">Context: </w:t>
      </w:r>
      <w:r w:rsidRPr="008C6C00">
        <w:rPr>
          <w:rFonts w:eastAsia="Poppins" w:asciiTheme="majorHAnsi" w:hAnsiTheme="majorHAnsi" w:cstheme="majorHAnsi"/>
          <w:b/>
          <w:bCs/>
          <w:color w:val="2F1F46"/>
          <w:sz w:val="28"/>
          <w:szCs w:val="28"/>
        </w:rPr>
        <w:t>carspreading</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(3) Page 32 of the Road Safety Strategy 2026 states that “The government will collaborate with stakeholders and vehicle manufacturers to further understand safety concerns regarding increasing vehicle size.”</w:t>
      </w:r>
      <w:r>
        <w:rPr>
          <w:rFonts w:eastAsia="Poppins" w:asciiTheme="majorHAnsi" w:hAnsiTheme="majorHAnsi" w:cstheme="majorHAnsi"/>
          <w:sz w:val="28"/>
          <w:szCs w:val="28"/>
          <w:vertAlign w:val="superscript"/>
        </w:rPr>
        <w:endnoteReference w:id="3"/>
      </w:r>
      <w:r w:rsidRPr="008C6C00">
        <w:rPr>
          <w:rFonts w:eastAsia="Poppins" w:asciiTheme="majorHAnsi" w:hAnsiTheme="majorHAnsi" w:cstheme="majorHAnsi"/>
          <w:sz w:val="28"/>
          <w:szCs w:val="28"/>
        </w:rPr>
        <w:t xml:space="preserve"> </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(4) Cars in the UK have on average become heavier</w:t>
      </w:r>
      <w:r>
        <w:rPr>
          <w:rFonts w:eastAsia="Poppins" w:asciiTheme="majorHAnsi" w:hAnsiTheme="majorHAnsi" w:cstheme="majorHAnsi"/>
          <w:sz w:val="28"/>
          <w:szCs w:val="28"/>
          <w:vertAlign w:val="superscript"/>
        </w:rPr>
        <w:endnoteReference w:id="4"/>
      </w:r>
      <w:r w:rsidRPr="008C6C00">
        <w:rPr>
          <w:rFonts w:eastAsia="Poppins" w:asciiTheme="majorHAnsi" w:hAnsiTheme="majorHAnsi" w:cstheme="majorHAnsi"/>
          <w:sz w:val="28"/>
          <w:szCs w:val="28"/>
        </w:rPr>
        <w:t xml:space="preserve"> and are growing wider</w:t>
      </w:r>
      <w:r>
        <w:rPr>
          <w:rFonts w:eastAsia="Poppins" w:asciiTheme="majorHAnsi" w:hAnsiTheme="majorHAnsi" w:cstheme="majorHAnsi"/>
          <w:sz w:val="28"/>
          <w:szCs w:val="28"/>
          <w:vertAlign w:val="superscript"/>
        </w:rPr>
        <w:endnoteReference w:id="5"/>
      </w:r>
      <w:r w:rsidRPr="008C6C00">
        <w:rPr>
          <w:rFonts w:eastAsia="Poppins" w:asciiTheme="majorHAnsi" w:hAnsiTheme="majorHAnsi" w:cstheme="majorHAnsi"/>
          <w:sz w:val="28"/>
          <w:szCs w:val="28"/>
        </w:rPr>
        <w:t xml:space="preserve"> year-on-year. Each year over 1 million cars are sold that are too wide for a typical roadside parking space.</w:t>
      </w:r>
      <w:r>
        <w:rPr>
          <w:rFonts w:eastAsia="Poppins" w:asciiTheme="majorHAnsi" w:hAnsiTheme="majorHAnsi" w:cstheme="majorHAnsi"/>
          <w:sz w:val="28"/>
          <w:szCs w:val="28"/>
          <w:vertAlign w:val="superscript"/>
        </w:rPr>
        <w:endnoteReference w:id="6"/>
      </w:r>
      <w:r w:rsidRPr="008C6C00">
        <w:rPr>
          <w:rFonts w:eastAsia="Poppins" w:asciiTheme="majorHAnsi" w:hAnsiTheme="majorHAnsi" w:cstheme="majorHAnsi"/>
          <w:sz w:val="28"/>
          <w:szCs w:val="28"/>
        </w:rPr>
        <w:t xml:space="preserve"> </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(5) The term “</w:t>
      </w:r>
      <w:r w:rsidRPr="008C6C00">
        <w:rPr>
          <w:rFonts w:eastAsia="Poppins" w:asciiTheme="majorHAnsi" w:hAnsiTheme="majorHAnsi" w:cstheme="majorHAnsi"/>
          <w:sz w:val="28"/>
          <w:szCs w:val="28"/>
        </w:rPr>
        <w:t>carspreading</w:t>
      </w:r>
      <w:r w:rsidRPr="008C6C00">
        <w:rPr>
          <w:rFonts w:eastAsia="Poppins" w:asciiTheme="majorHAnsi" w:hAnsiTheme="majorHAnsi" w:cstheme="majorHAnsi"/>
          <w:sz w:val="28"/>
          <w:szCs w:val="28"/>
        </w:rPr>
        <w:t xml:space="preserve">” has been coined to describe this trend towards ever-bigger, ever-heavier cars. Driving the </w:t>
      </w:r>
      <w:r w:rsidRPr="008C6C00">
        <w:rPr>
          <w:rFonts w:eastAsia="Poppins" w:asciiTheme="majorHAnsi" w:hAnsiTheme="majorHAnsi" w:cstheme="majorHAnsi"/>
          <w:sz w:val="28"/>
          <w:szCs w:val="28"/>
        </w:rPr>
        <w:t>carspreading</w:t>
      </w:r>
      <w:r w:rsidRPr="008C6C00">
        <w:rPr>
          <w:rFonts w:eastAsia="Poppins" w:asciiTheme="majorHAnsi" w:hAnsiTheme="majorHAnsi" w:cstheme="majorHAnsi"/>
          <w:sz w:val="28"/>
          <w:szCs w:val="28"/>
        </w:rPr>
        <w:t xml:space="preserve"> phenomenon is the surging popularity of sports utility vehicles (SUVs), and increasingly US-style pickup trucks.</w:t>
      </w:r>
      <w:r>
        <w:rPr>
          <w:rFonts w:eastAsia="Poppins" w:asciiTheme="majorHAnsi" w:hAnsiTheme="majorHAnsi" w:cstheme="majorHAnsi"/>
          <w:sz w:val="28"/>
          <w:szCs w:val="28"/>
          <w:vertAlign w:val="superscript"/>
        </w:rPr>
        <w:endnoteReference w:id="7"/>
      </w:r>
      <w:r w:rsidRPr="008C6C00">
        <w:rPr>
          <w:rFonts w:eastAsia="Poppins" w:asciiTheme="majorHAnsi" w:hAnsiTheme="majorHAnsi" w:cstheme="majorHAnsi"/>
          <w:sz w:val="28"/>
          <w:szCs w:val="28"/>
        </w:rPr>
        <w:t xml:space="preserve"> SUVs are typified by larger bodies, taller wheels and, often, higher bonnets than traditional smaller cars. All of which together serve to make them heavier than a regular car as well. From less than 5% of UK vehicle sales in 2000, SUVs made up 66% of new vehicle sales in 2025 and now constitute 32% of all cars on the road.</w:t>
      </w:r>
      <w:r>
        <w:rPr>
          <w:rFonts w:eastAsia="Poppins" w:asciiTheme="majorHAnsi" w:hAnsiTheme="majorHAnsi" w:cstheme="majorHAnsi"/>
          <w:sz w:val="28"/>
          <w:szCs w:val="28"/>
          <w:vertAlign w:val="superscript"/>
        </w:rPr>
        <w:endnoteReference w:id="8"/>
      </w:r>
      <w:r w:rsidRPr="008C6C00">
        <w:rPr>
          <w:rFonts w:eastAsia="Poppins" w:asciiTheme="majorHAnsi" w:hAnsiTheme="majorHAnsi" w:cstheme="majorHAnsi"/>
          <w:sz w:val="28"/>
          <w:szCs w:val="28"/>
        </w:rPr>
        <w:t xml:space="preserve"> </w:t>
      </w:r>
    </w:p>
    <w:tbl>
      <w:tblPr>
        <w:tblStyle w:val="Table2"/>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360"/>
      </w:tblGrid>
      <w:tr w:rsidTr="008C6C00">
        <w:tblPrEx>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Ex>
        <w:tc>
          <w:tcPr>
            <w:tcW w:w="9360" w:type="dxa"/>
            <w:tcMar>
              <w:top w:w="100" w:type="dxa"/>
              <w:left w:w="100" w:type="dxa"/>
              <w:bottom w:w="100" w:type="dxa"/>
              <w:right w:w="100" w:type="dxa"/>
            </w:tcMar>
          </w:tcPr>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Examples of common SUVs include the Ford Puma, Nissan Qashqai, Volvo EX90, BMW X-series, and Range Rover and Land Rover models. </w:t>
            </w:r>
          </w:p>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Examples of common pickup trucks include the Ford Ranger, Toyota Hilux and Dodge RAM.</w:t>
            </w:r>
          </w:p>
        </w:tc>
      </w:tr>
    </w:tbl>
    <w:p w:rsidR="008C6C00" w:rsidRPr="008C6C00" w:rsidP="008C6C00">
      <w:pPr>
        <w:spacing w:after="200" w:line="240" w:lineRule="auto"/>
        <w:rPr>
          <w:rFonts w:eastAsia="Poppins" w:asciiTheme="majorHAnsi" w:hAnsiTheme="majorHAnsi" w:cstheme="majorHAnsi"/>
          <w:sz w:val="28"/>
          <w:szCs w:val="28"/>
        </w:rPr>
      </w:pPr>
    </w:p>
    <w:tbl>
      <w:tblPr>
        <w:tblStyle w:val="Table3"/>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4680"/>
        <w:gridCol w:w="4680"/>
      </w:tblGrid>
      <w:tr>
        <w:tblPrEx>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Ex>
        <w:tc>
          <w:tcPr>
            <w:tcW w:w="468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noProof/>
                <w:sz w:val="28"/>
                <w:szCs w:val="28"/>
              </w:rPr>
              <w:drawing>
                <wp:inline distT="114300" distB="114300" distL="114300" distR="114300">
                  <wp:extent cx="2838450" cy="1752600"/>
                  <wp:effectExtent l="0" t="0" r="0" b="0"/>
                  <wp:docPr id="1"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xmlns:r="http://schemas.openxmlformats.org/officeDocument/2006/relationships" r:embed="rId6"/>
                          <a:srcRect/>
                          <a:stretch>
                            <a:fillRect/>
                          </a:stretch>
                        </pic:blipFill>
                        <pic:spPr>
                          <a:xfrm>
                            <a:off x="0" y="0"/>
                            <a:ext cx="2838450" cy="1752600"/>
                          </a:xfrm>
                          <a:prstGeom prst="rect">
                            <a:avLst/>
                          </a:prstGeom>
                          <a:ln/>
                        </pic:spPr>
                      </pic:pic>
                    </a:graphicData>
                  </a:graphic>
                </wp:inline>
              </w:drawing>
            </w:r>
          </w:p>
        </w:tc>
        <w:tc>
          <w:tcPr>
            <w:tcW w:w="468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noProof/>
                <w:sz w:val="28"/>
                <w:szCs w:val="28"/>
              </w:rPr>
              <w:drawing>
                <wp:inline distT="114300" distB="114300" distL="114300" distR="114300">
                  <wp:extent cx="2838450" cy="1752600"/>
                  <wp:effectExtent l="0" t="0" r="0" b="0"/>
                  <wp:docPr id="3"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xmlns:r="http://schemas.openxmlformats.org/officeDocument/2006/relationships" r:embed="rId7"/>
                          <a:srcRect/>
                          <a:stretch>
                            <a:fillRect/>
                          </a:stretch>
                        </pic:blipFill>
                        <pic:spPr>
                          <a:xfrm>
                            <a:off x="0" y="0"/>
                            <a:ext cx="2838450" cy="1752600"/>
                          </a:xfrm>
                          <a:prstGeom prst="rect">
                            <a:avLst/>
                          </a:prstGeom>
                          <a:ln/>
                        </pic:spPr>
                      </pic:pic>
                    </a:graphicData>
                  </a:graphic>
                </wp:inline>
              </w:drawing>
            </w:r>
          </w:p>
        </w:tc>
      </w:tr>
      <w:tr>
        <w:tblPrEx>
          <w:tblW w:w="9360" w:type="dxa"/>
          <w:tblInd w:w="0" w:type="dxa"/>
          <w:tblLayout w:type="fixed"/>
          <w:tblLook w:val="0600"/>
        </w:tblPrEx>
        <w:trPr>
          <w:trHeight w:val="420"/>
        </w:trPr>
        <w:tc>
          <w:tcPr>
            <w:tcW w:w="9360" w:type="dxa"/>
            <w:gridSpan w:val="2"/>
            <w:tcMar>
              <w:top w:w="100" w:type="dxa"/>
              <w:left w:w="100" w:type="dxa"/>
              <w:bottom w:w="100" w:type="dxa"/>
              <w:right w:w="100" w:type="dxa"/>
            </w:tcMar>
          </w:tcPr>
          <w:p w:rsidR="008C6C00" w:rsidRPr="008C6C00" w:rsidP="008C6C00">
            <w:pPr>
              <w:spacing w:after="200" w:line="240" w:lineRule="auto"/>
              <w:rPr>
                <w:rFonts w:eastAsia="Poppins" w:asciiTheme="majorHAnsi" w:hAnsiTheme="majorHAnsi" w:cstheme="majorHAnsi"/>
                <w:i/>
                <w:iCs/>
                <w:sz w:val="28"/>
                <w:szCs w:val="28"/>
              </w:rPr>
            </w:pPr>
            <w:r w:rsidRPr="008C6C00">
              <w:rPr>
                <w:rFonts w:eastAsia="Poppins" w:asciiTheme="majorHAnsi" w:hAnsiTheme="majorHAnsi" w:cstheme="majorHAnsi"/>
                <w:i/>
                <w:iCs/>
                <w:sz w:val="28"/>
                <w:szCs w:val="28"/>
              </w:rPr>
              <w:t xml:space="preserve">Fig 1: graphs show (left) increasing bonnet height, weight and width of cars in the UK, and (right) surging sales of SUVs and pickups. All yearly values indexed: 2014=100. </w:t>
            </w:r>
          </w:p>
        </w:tc>
      </w:tr>
    </w:tbl>
    <w:p w:rsidR="008C6C00" w:rsidRPr="008C6C00" w:rsidP="008C6C00">
      <w:pPr>
        <w:spacing w:after="200" w:line="240" w:lineRule="auto"/>
        <w:rPr>
          <w:rFonts w:eastAsia="Poppins" w:asciiTheme="majorHAnsi" w:hAnsiTheme="majorHAnsi" w:cstheme="majorHAnsi"/>
          <w:b/>
          <w:bCs/>
          <w:sz w:val="28"/>
          <w:szCs w:val="28"/>
        </w:rPr>
      </w:pPr>
      <w:r w:rsidRPr="008C6C00">
        <w:rPr>
          <w:rFonts w:eastAsia="Poppins" w:asciiTheme="majorHAnsi" w:hAnsiTheme="majorHAnsi" w:cstheme="majorHAnsi"/>
          <w:b/>
          <w:bCs/>
          <w:color w:val="2F1F46"/>
          <w:sz w:val="28"/>
          <w:szCs w:val="28"/>
        </w:rPr>
        <w:t>Issue: road danger</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(6) A growing body of research is emerging on the dangers associated with greater vehicle size. We summarise this literature in Table 1 below.</w:t>
      </w:r>
    </w:p>
    <w:tbl>
      <w:tblPr>
        <w:tblStyle w:val="Table4"/>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
      <w:tblGrid>
        <w:gridCol w:w="2670"/>
        <w:gridCol w:w="6690"/>
      </w:tblGrid>
      <w:tr w:rsidTr="008C6C00">
        <w:tblPrEx>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Ex>
        <w:tc>
          <w:tcPr>
            <w:tcW w:w="2670" w:type="dxa"/>
            <w:shd w:val="clear" w:color="auto" w:fill="FFFFFF" w:themeFill="background1"/>
            <w:tcMar>
              <w:top w:w="100" w:type="dxa"/>
              <w:left w:w="100" w:type="dxa"/>
              <w:bottom w:w="100" w:type="dxa"/>
              <w:right w:w="100" w:type="dxa"/>
            </w:tcMar>
          </w:tcPr>
          <w:p w:rsidR="008C6C00" w:rsidRPr="008C6C00" w:rsidP="008C6C00">
            <w:pPr>
              <w:spacing w:after="200" w:line="240" w:lineRule="auto"/>
              <w:jc w:val="center"/>
              <w:rPr>
                <w:rFonts w:eastAsia="Poppins" w:asciiTheme="majorHAnsi" w:hAnsiTheme="majorHAnsi" w:cstheme="majorHAnsi"/>
                <w:b/>
                <w:bCs/>
                <w:sz w:val="28"/>
                <w:szCs w:val="28"/>
              </w:rPr>
            </w:pPr>
            <w:r w:rsidRPr="008C6C00">
              <w:rPr>
                <w:rFonts w:eastAsia="Poppins" w:asciiTheme="majorHAnsi" w:hAnsiTheme="majorHAnsi" w:cstheme="majorHAnsi"/>
                <w:b/>
                <w:bCs/>
                <w:sz w:val="28"/>
                <w:szCs w:val="28"/>
              </w:rPr>
              <w:t>Citation</w:t>
            </w:r>
          </w:p>
        </w:tc>
        <w:tc>
          <w:tcPr>
            <w:tcW w:w="6690" w:type="dxa"/>
            <w:shd w:val="clear" w:color="auto" w:fill="FFFFFF" w:themeFill="background1"/>
            <w:tcMar>
              <w:top w:w="100" w:type="dxa"/>
              <w:left w:w="100" w:type="dxa"/>
              <w:bottom w:w="100" w:type="dxa"/>
              <w:right w:w="100" w:type="dxa"/>
            </w:tcMar>
          </w:tcPr>
          <w:p w:rsidR="008C6C00" w:rsidRPr="008C6C00" w:rsidP="008C6C00">
            <w:pPr>
              <w:widowControl w:val="0"/>
              <w:pBdr>
                <w:top w:val="nil"/>
                <w:left w:val="nil"/>
                <w:bottom w:val="nil"/>
                <w:right w:val="nil"/>
                <w:between w:val="nil"/>
              </w:pBdr>
              <w:spacing w:line="240" w:lineRule="auto"/>
              <w:jc w:val="center"/>
              <w:rPr>
                <w:rFonts w:eastAsia="Poppins" w:asciiTheme="majorHAnsi" w:hAnsiTheme="majorHAnsi" w:cstheme="majorHAnsi"/>
                <w:b/>
                <w:bCs/>
                <w:sz w:val="28"/>
                <w:szCs w:val="28"/>
              </w:rPr>
            </w:pPr>
            <w:r w:rsidRPr="008C6C00">
              <w:rPr>
                <w:rFonts w:eastAsia="Poppins" w:asciiTheme="majorHAnsi" w:hAnsiTheme="majorHAnsi" w:cstheme="majorHAnsi"/>
                <w:b/>
                <w:bCs/>
                <w:sz w:val="28"/>
                <w:szCs w:val="28"/>
              </w:rPr>
              <w:t>Key findings</w:t>
            </w:r>
          </w:p>
        </w:tc>
      </w:tr>
      <w:tr>
        <w:tblPrEx>
          <w:tblW w:w="9360" w:type="dxa"/>
          <w:tblInd w:w="0" w:type="dxa"/>
          <w:tblLayout w:type="fixed"/>
          <w:tblLook w:val="0600"/>
        </w:tblPrEx>
        <w:tc>
          <w:tcPr>
            <w:tcW w:w="267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Goodman, Edwards, and Laverty. 2025.</w:t>
            </w:r>
            <w:r>
              <w:rPr>
                <w:rFonts w:eastAsia="Poppins" w:asciiTheme="majorHAnsi" w:hAnsiTheme="majorHAnsi" w:cstheme="majorHAnsi"/>
                <w:sz w:val="28"/>
                <w:szCs w:val="28"/>
                <w:vertAlign w:val="superscript"/>
              </w:rPr>
              <w:endnoteReference w:id="9"/>
            </w:r>
          </w:p>
        </w:tc>
        <w:tc>
          <w:tcPr>
            <w:tcW w:w="669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Being hit by an SUV increased the odds of fatality by 77% for children aged 0-18 years, and by 209% for children aged 0-9 years. </w:t>
            </w:r>
          </w:p>
        </w:tc>
      </w:tr>
      <w:tr>
        <w:tblPrEx>
          <w:tblW w:w="9360" w:type="dxa"/>
          <w:tblInd w:w="0" w:type="dxa"/>
          <w:tblLayout w:type="fixed"/>
          <w:tblLook w:val="0600"/>
        </w:tblPrEx>
        <w:tc>
          <w:tcPr>
            <w:tcW w:w="2670" w:type="dxa"/>
            <w:tcMar>
              <w:top w:w="100" w:type="dxa"/>
              <w:left w:w="100" w:type="dxa"/>
              <w:bottom w:w="100" w:type="dxa"/>
              <w:right w:w="100" w:type="dxa"/>
            </w:tcMar>
          </w:tcPr>
          <w:p w:rsidR="008C6C00" w:rsidRPr="008C6C00" w:rsidP="008C6C00">
            <w:pPr>
              <w:widowControl w:val="0"/>
              <w:pBdr>
                <w:top w:val="nil"/>
                <w:left w:val="nil"/>
                <w:bottom w:val="nil"/>
                <w:right w:val="nil"/>
                <w:between w:val="nil"/>
              </w:pBd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Transport and Environment. 2025.</w:t>
            </w:r>
            <w:r>
              <w:rPr>
                <w:rFonts w:eastAsia="Poppins" w:asciiTheme="majorHAnsi" w:hAnsiTheme="majorHAnsi" w:cstheme="majorHAnsi"/>
                <w:sz w:val="28"/>
                <w:szCs w:val="28"/>
                <w:vertAlign w:val="superscript"/>
              </w:rPr>
              <w:endnoteReference w:id="10"/>
            </w:r>
            <w:r w:rsidRPr="008C6C00">
              <w:rPr>
                <w:rFonts w:eastAsia="Poppins" w:asciiTheme="majorHAnsi" w:hAnsiTheme="majorHAnsi" w:cstheme="majorHAnsi"/>
                <w:sz w:val="28"/>
                <w:szCs w:val="28"/>
              </w:rPr>
              <w:t xml:space="preserve"> </w:t>
            </w:r>
          </w:p>
        </w:tc>
        <w:tc>
          <w:tcPr>
            <w:tcW w:w="6690" w:type="dxa"/>
            <w:tcMar>
              <w:top w:w="100" w:type="dxa"/>
              <w:left w:w="100" w:type="dxa"/>
              <w:bottom w:w="100" w:type="dxa"/>
              <w:right w:w="100" w:type="dxa"/>
            </w:tcMar>
          </w:tcPr>
          <w:p w:rsidR="008C6C00" w:rsidRPr="008C6C00" w:rsidP="008C6C00">
            <w:pPr>
              <w:widowControl w:val="0"/>
              <w:pBdr>
                <w:top w:val="nil"/>
                <w:left w:val="nil"/>
                <w:bottom w:val="nil"/>
                <w:right w:val="nil"/>
                <w:between w:val="nil"/>
              </w:pBd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In the UK, average bonnet heights have increased from 76.9cm in 2010 to 83.8cm in 2024.</w:t>
            </w:r>
          </w:p>
        </w:tc>
      </w:tr>
      <w:tr>
        <w:tblPrEx>
          <w:tblW w:w="9360" w:type="dxa"/>
          <w:tblInd w:w="0" w:type="dxa"/>
          <w:tblLayout w:type="fixed"/>
          <w:tblLook w:val="0600"/>
        </w:tblPrEx>
        <w:tc>
          <w:tcPr>
            <w:tcW w:w="267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Carlson, Dadashzadeh, </w:t>
            </w:r>
            <w:r w:rsidRPr="008C6C00">
              <w:rPr>
                <w:rFonts w:eastAsia="Poppins" w:asciiTheme="majorHAnsi" w:hAnsiTheme="majorHAnsi" w:cstheme="majorHAnsi"/>
                <w:sz w:val="28"/>
                <w:szCs w:val="28"/>
              </w:rPr>
              <w:t>Ekmekci</w:t>
            </w:r>
            <w:r w:rsidRPr="008C6C00">
              <w:rPr>
                <w:rFonts w:eastAsia="Poppins" w:asciiTheme="majorHAnsi" w:hAnsiTheme="majorHAnsi" w:cstheme="majorHAnsi"/>
                <w:sz w:val="28"/>
                <w:szCs w:val="28"/>
              </w:rPr>
              <w:t>. 2025.</w:t>
            </w:r>
            <w:r>
              <w:rPr>
                <w:rFonts w:eastAsia="Poppins" w:asciiTheme="majorHAnsi" w:hAnsiTheme="majorHAnsi" w:cstheme="majorHAnsi"/>
                <w:sz w:val="28"/>
                <w:szCs w:val="28"/>
                <w:vertAlign w:val="superscript"/>
              </w:rPr>
              <w:endnoteReference w:id="11"/>
            </w:r>
          </w:p>
        </w:tc>
        <w:tc>
          <w:tcPr>
            <w:tcW w:w="6690" w:type="dxa"/>
            <w:tcMar>
              <w:top w:w="100" w:type="dxa"/>
              <w:left w:w="100" w:type="dxa"/>
              <w:bottom w:w="100" w:type="dxa"/>
              <w:right w:w="100" w:type="dxa"/>
            </w:tcMar>
          </w:tcPr>
          <w:p w:rsidR="008C6C00" w:rsidRPr="008C6C00" w:rsidP="008C6C00">
            <w:pPr>
              <w:widowControl w:val="0"/>
              <w:pBdr>
                <w:top w:val="nil"/>
                <w:left w:val="nil"/>
                <w:bottom w:val="nil"/>
                <w:right w:val="nil"/>
                <w:between w:val="nil"/>
              </w:pBd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As car weight increases, the number of fatal collisions per million cars rises, peaking at 26.2 for the heaviest cars (2001-2500kg).</w:t>
            </w:r>
          </w:p>
        </w:tc>
      </w:tr>
      <w:tr>
        <w:tblPrEx>
          <w:tblW w:w="9360" w:type="dxa"/>
          <w:tblInd w:w="0" w:type="dxa"/>
          <w:tblLayout w:type="fixed"/>
          <w:tblLook w:val="0600"/>
        </w:tblPrEx>
        <w:tc>
          <w:tcPr>
            <w:tcW w:w="267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Nuyttens</w:t>
            </w:r>
            <w:r w:rsidRPr="008C6C00">
              <w:rPr>
                <w:rFonts w:eastAsia="Poppins" w:asciiTheme="majorHAnsi" w:hAnsiTheme="majorHAnsi" w:cstheme="majorHAnsi"/>
                <w:sz w:val="28"/>
                <w:szCs w:val="28"/>
              </w:rPr>
              <w:t xml:space="preserve"> and Ben Messaoud. 2023.</w:t>
            </w:r>
            <w:r>
              <w:rPr>
                <w:rFonts w:eastAsia="Poppins" w:asciiTheme="majorHAnsi" w:hAnsiTheme="majorHAnsi" w:cstheme="majorHAnsi"/>
                <w:sz w:val="28"/>
                <w:szCs w:val="28"/>
                <w:vertAlign w:val="superscript"/>
              </w:rPr>
              <w:endnoteReference w:id="12"/>
            </w:r>
          </w:p>
        </w:tc>
        <w:tc>
          <w:tcPr>
            <w:tcW w:w="669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A 10cm increase in bonnet height is found to increase the risk of fatal injuries for vulnerable road users by 27%.</w:t>
            </w:r>
          </w:p>
        </w:tc>
      </w:tr>
    </w:tbl>
    <w:p w:rsidR="008C6C00" w:rsidRPr="008C6C00" w:rsidP="008C6C00">
      <w:pPr>
        <w:pStyle w:val="Heading2"/>
        <w:spacing w:before="0" w:after="200"/>
        <w:jc w:val="center"/>
        <w:rPr>
          <w:rFonts w:eastAsia="Poppins" w:asciiTheme="majorHAnsi" w:hAnsiTheme="majorHAnsi" w:cstheme="majorHAnsi"/>
          <w:i/>
          <w:iCs/>
          <w:color w:val="2F1F46"/>
          <w:sz w:val="28"/>
          <w:szCs w:val="28"/>
        </w:rPr>
      </w:pPr>
      <w:bookmarkStart w:id="2" w:name="_lssuu8jilhmg" w:colFirst="0" w:colLast="0"/>
      <w:bookmarkEnd w:id="2"/>
      <w:r w:rsidRPr="008C6C00">
        <w:rPr>
          <w:rFonts w:eastAsia="Poppins" w:asciiTheme="majorHAnsi" w:hAnsiTheme="majorHAnsi" w:cstheme="majorHAnsi"/>
          <w:i/>
          <w:iCs/>
          <w:color w:val="2F1F46"/>
          <w:sz w:val="28"/>
          <w:szCs w:val="28"/>
        </w:rPr>
        <w:t xml:space="preserve">Table 1. </w:t>
      </w:r>
    </w:p>
    <w:p w:rsidR="008C6C00" w:rsidRPr="008C6C00" w:rsidP="008C6C00">
      <w:pPr>
        <w:pStyle w:val="Heading2"/>
        <w:spacing w:after="200"/>
        <w:rPr>
          <w:rFonts w:eastAsia="Poppins" w:asciiTheme="majorHAnsi" w:hAnsiTheme="majorHAnsi" w:cstheme="majorHAnsi"/>
          <w:sz w:val="28"/>
          <w:szCs w:val="28"/>
        </w:rPr>
      </w:pPr>
      <w:bookmarkStart w:id="3" w:name="_sgt10h20zsx9" w:colFirst="0" w:colLast="0"/>
      <w:bookmarkEnd w:id="3"/>
      <w:r w:rsidRPr="008C6C00">
        <w:rPr>
          <w:rFonts w:eastAsia="Poppins" w:asciiTheme="majorHAnsi" w:hAnsiTheme="majorHAnsi" w:cstheme="majorHAnsi"/>
          <w:b/>
          <w:bCs/>
          <w:color w:val="2F1F46"/>
          <w:sz w:val="28"/>
          <w:szCs w:val="28"/>
        </w:rPr>
        <w:t>Policy measures to address growing vehicle size</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color w:val="2F1F46"/>
          <w:sz w:val="28"/>
          <w:szCs w:val="28"/>
        </w:rPr>
        <w:t xml:space="preserve">Policy </w:t>
      </w:r>
      <w:r w:rsidRPr="008C6C00">
        <w:rPr>
          <w:rFonts w:eastAsia="Poppins" w:asciiTheme="majorHAnsi" w:hAnsiTheme="majorHAnsi" w:cstheme="majorHAnsi"/>
          <w:color w:val="2F1F46"/>
          <w:sz w:val="28"/>
          <w:szCs w:val="28"/>
        </w:rPr>
        <w:t>framing:</w:t>
      </w:r>
      <w:r w:rsidRPr="008C6C00">
        <w:rPr>
          <w:rFonts w:eastAsia="Poppins" w:asciiTheme="majorHAnsi" w:hAnsiTheme="majorHAnsi" w:cstheme="majorHAnsi"/>
          <w:color w:val="2F1F46"/>
          <w:sz w:val="28"/>
          <w:szCs w:val="28"/>
        </w:rPr>
        <w:t xml:space="preserve"> passive vs active safety</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(7) ‘Active safety’ measures refer to technologies such as Automatic Emergency Braking and Lane Assist that keep drivers safer. The RSS currently prioritises active safety (Theme 2 of the strategy). Whilst this is welcome, it ignores the growing concerns we, and other stakeholders, have around declining passive safety due to the growth in average car size and weight. </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(8) For instance, speed limit assistance is an important active safety feature. Yet a 3-tonne SUV like the Land Rover Defender carries twice the kinetic energy as a 1.5-tonne Ford Fiesta travelling at equal speed. In this case it is the weight of the vehicle that matters more than the speed. </w:t>
      </w:r>
    </w:p>
    <w:p w:rsidR="008C6C00" w:rsidRPr="008C6C00" w:rsidP="008C6C00">
      <w:pPr>
        <w:spacing w:after="200" w:line="240" w:lineRule="auto"/>
        <w:rPr>
          <w:rFonts w:eastAsia="Poppins" w:asciiTheme="majorHAnsi" w:hAnsiTheme="majorHAnsi" w:cstheme="majorHAnsi"/>
          <w:b/>
          <w:bCs/>
          <w:sz w:val="28"/>
          <w:szCs w:val="28"/>
        </w:rPr>
      </w:pPr>
      <w:r w:rsidRPr="008C6C00">
        <w:rPr>
          <w:rFonts w:eastAsia="Poppins" w:asciiTheme="majorHAnsi" w:hAnsiTheme="majorHAnsi" w:cstheme="majorHAnsi"/>
          <w:sz w:val="28"/>
          <w:szCs w:val="28"/>
        </w:rPr>
        <w:t xml:space="preserve">(9) Consequently, we urge the government to ensure passive safety is given equal weighting to active safety when exploring vehicle safety standards, and would welcome opportunities to collaborate with DfT and other stakeholders to discuss this further and to elaborate concrete policy proposals. We note, respectfully, that our efforts to </w:t>
      </w:r>
      <w:r w:rsidRPr="008C6C00">
        <w:rPr>
          <w:rFonts w:eastAsia="Poppins" w:asciiTheme="majorHAnsi" w:hAnsiTheme="majorHAnsi" w:cstheme="majorHAnsi"/>
          <w:sz w:val="28"/>
          <w:szCs w:val="28"/>
        </w:rPr>
        <w:t>make contact with</w:t>
      </w:r>
      <w:r w:rsidRPr="008C6C00">
        <w:rPr>
          <w:rFonts w:eastAsia="Poppins" w:asciiTheme="majorHAnsi" w:hAnsiTheme="majorHAnsi" w:cstheme="majorHAnsi"/>
          <w:sz w:val="28"/>
          <w:szCs w:val="28"/>
        </w:rPr>
        <w:t xml:space="preserve"> DfT have, to date, not been reciprocated. </w:t>
      </w:r>
    </w:p>
    <w:p w:rsidR="008C6C00" w:rsidRPr="008C6C00" w:rsidP="008C6C00">
      <w:pPr>
        <w:spacing w:after="200" w:line="240" w:lineRule="auto"/>
        <w:rPr>
          <w:rFonts w:eastAsia="Poppins" w:asciiTheme="majorHAnsi" w:hAnsiTheme="majorHAnsi" w:cstheme="majorHAnsi"/>
          <w:color w:val="2F1F46"/>
          <w:sz w:val="28"/>
          <w:szCs w:val="28"/>
        </w:rPr>
      </w:pP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color w:val="2F1F46"/>
          <w:sz w:val="28"/>
          <w:szCs w:val="28"/>
        </w:rPr>
        <w:t>Large Vehicle Levy</w:t>
      </w:r>
    </w:p>
    <w:tbl>
      <w:tblPr>
        <w:tblStyle w:val="Table5"/>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
      <w:tblGrid>
        <w:gridCol w:w="9360"/>
      </w:tblGrid>
      <w:tr w:rsidTr="008C6C00">
        <w:tblPrEx>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Ex>
        <w:tc>
          <w:tcPr>
            <w:tcW w:w="9360" w:type="dxa"/>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color w:val="F4F4F6"/>
                <w:sz w:val="28"/>
                <w:szCs w:val="28"/>
              </w:rPr>
            </w:pPr>
            <w:r w:rsidRPr="008C6C00">
              <w:rPr>
                <w:rFonts w:eastAsia="Poppins" w:asciiTheme="majorHAnsi" w:hAnsiTheme="majorHAnsi" w:cstheme="majorHAnsi"/>
                <w:sz w:val="28"/>
                <w:szCs w:val="28"/>
              </w:rPr>
              <w:t>(10)</w:t>
            </w:r>
            <w:r w:rsidRPr="008C6C00">
              <w:rPr>
                <w:rFonts w:eastAsia="Poppins" w:asciiTheme="majorHAnsi" w:hAnsiTheme="majorHAnsi" w:cstheme="majorHAnsi"/>
                <w:b/>
                <w:bCs/>
                <w:sz w:val="28"/>
                <w:szCs w:val="28"/>
              </w:rPr>
              <w:t xml:space="preserve"> The government is advised to </w:t>
            </w:r>
            <w:r w:rsidRPr="008C6C00">
              <w:rPr>
                <w:rFonts w:eastAsia="Poppins" w:asciiTheme="majorHAnsi" w:hAnsiTheme="majorHAnsi" w:cstheme="majorHAnsi"/>
                <w:sz w:val="28"/>
                <w:szCs w:val="28"/>
              </w:rPr>
              <w:t xml:space="preserve">introduce a Large Vehicle Levy under which new cars are taxed - as part of first-year Vehicle Excise Duty (VED) - an additional £10 per kg over a minimum threshold of 1600kg kerb weight. This would ensure that common small cars like the Ford Fiesta are unaffected by the levy, whilst heavier cars like the Land Rover Defender pay their fair share. </w:t>
            </w:r>
          </w:p>
        </w:tc>
      </w:tr>
    </w:tbl>
    <w:p w:rsidR="008C6C00" w:rsidRPr="008C6C00" w:rsidP="008C6C00">
      <w:pPr>
        <w:spacing w:before="200"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(11) UK car owners pay up to 20 times less tax on the heaviest cars compared to those in European nations. </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(12) It is estimated that a Large Vehicle Levy could raise £1.72 billion annually for HM Treasury.</w:t>
      </w:r>
      <w:r>
        <w:rPr>
          <w:rFonts w:eastAsia="Poppins" w:asciiTheme="majorHAnsi" w:hAnsiTheme="majorHAnsi" w:cstheme="majorHAnsi"/>
          <w:sz w:val="28"/>
          <w:szCs w:val="28"/>
          <w:vertAlign w:val="superscript"/>
        </w:rPr>
        <w:endnoteReference w:id="13"/>
      </w:r>
      <w:r w:rsidRPr="008C6C00">
        <w:rPr>
          <w:rFonts w:eastAsia="Poppins" w:asciiTheme="majorHAnsi" w:hAnsiTheme="majorHAnsi" w:cstheme="majorHAnsi"/>
          <w:sz w:val="28"/>
          <w:szCs w:val="28"/>
        </w:rPr>
        <w:t xml:space="preserve"> This money could be used to support social licensing of electric vehicles for key workers and families on low incomes.</w:t>
      </w:r>
      <w:r>
        <w:rPr>
          <w:rFonts w:eastAsia="Poppins" w:asciiTheme="majorHAnsi" w:hAnsiTheme="majorHAnsi" w:cstheme="majorHAnsi"/>
          <w:sz w:val="28"/>
          <w:szCs w:val="28"/>
          <w:vertAlign w:val="superscript"/>
        </w:rPr>
        <w:endnoteReference w:id="14"/>
      </w:r>
      <w:r w:rsidRPr="008C6C00">
        <w:rPr>
          <w:rFonts w:eastAsia="Poppins" w:asciiTheme="majorHAnsi" w:hAnsiTheme="majorHAnsi" w:cstheme="majorHAnsi"/>
          <w:sz w:val="28"/>
          <w:szCs w:val="28"/>
        </w:rPr>
        <w:t xml:space="preserve"> </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color w:val="2F1F46"/>
          <w:sz w:val="28"/>
          <w:szCs w:val="28"/>
        </w:rPr>
        <w:t>Child-centred vehicle safety testing</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(13) Raised bonnets common to many SUVs and pickups create blind spots for the vehicle driver. See Fig. 2 below. Despite this, high-bonneted cars are frequently awarded top safety ratings by the European New Car Assessment Programme (NCAP).</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(14) Over the last 5 years of Euro NCAP ratings, new cars over 2000kg (which includes all large SUVs and pickup trucks) have, on average, received higher scores for pedestrian safety than less heavy cars. The Land Rover Defender, for instance, enjoys a 5-star safety rating from NCAP. This does not align with the most recent research on vehicle safety and risks misleading consumers who choose a vehicle based on its safety rating.</w:t>
      </w:r>
      <w:r>
        <w:rPr>
          <w:rFonts w:eastAsia="Poppins" w:asciiTheme="majorHAnsi" w:hAnsiTheme="majorHAnsi" w:cstheme="majorHAnsi"/>
          <w:sz w:val="28"/>
          <w:szCs w:val="28"/>
          <w:vertAlign w:val="superscript"/>
        </w:rPr>
        <w:endnoteReference w:id="15"/>
      </w:r>
      <w:r w:rsidRPr="008C6C00">
        <w:rPr>
          <w:rFonts w:eastAsia="Poppins" w:asciiTheme="majorHAnsi" w:hAnsiTheme="majorHAnsi" w:cstheme="majorHAnsi"/>
          <w:sz w:val="28"/>
          <w:szCs w:val="28"/>
        </w:rPr>
        <w:t xml:space="preserve"> </w:t>
      </w:r>
    </w:p>
    <w:tbl>
      <w:tblPr>
        <w:tblStyle w:val="Table6"/>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9360"/>
      </w:tblGrid>
      <w:tr>
        <w:tblPrEx>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Ex>
        <w:tc>
          <w:tcPr>
            <w:tcW w:w="9360" w:type="dxa"/>
            <w:tcMar>
              <w:top w:w="100" w:type="dxa"/>
              <w:left w:w="100" w:type="dxa"/>
              <w:bottom w:w="100" w:type="dxa"/>
              <w:right w:w="100" w:type="dxa"/>
            </w:tcMar>
          </w:tcPr>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noProof/>
                <w:sz w:val="28"/>
                <w:szCs w:val="28"/>
              </w:rPr>
              <w:drawing>
                <wp:inline distT="114300" distB="114300" distL="114300" distR="114300">
                  <wp:extent cx="3719513" cy="3197039"/>
                  <wp:effectExtent l="0" t="0" r="0" b="0"/>
                  <wp:docPr id="2" name="image1.png" descr="Chart demonstrating the higher the bonnet, the bigger the blind spot."/>
                  <wp:cNvGraphicFramePr/>
                  <a:graphic xmlns:a="http://schemas.openxmlformats.org/drawingml/2006/main">
                    <a:graphicData uri="http://schemas.openxmlformats.org/drawingml/2006/picture">
                      <pic:pic xmlns:pic="http://schemas.openxmlformats.org/drawingml/2006/picture">
                        <pic:nvPicPr>
                          <pic:cNvPr id="2" name="image1.png" descr="Chart demonstrating the higher the bonnet, the bigger the blind spot."/>
                          <pic:cNvPicPr preferRelativeResize="0"/>
                        </pic:nvPicPr>
                        <pic:blipFill>
                          <a:blip xmlns:r="http://schemas.openxmlformats.org/officeDocument/2006/relationships" r:embed="rId8"/>
                          <a:srcRect/>
                          <a:stretch>
                            <a:fillRect/>
                          </a:stretch>
                        </pic:blipFill>
                        <pic:spPr>
                          <a:xfrm>
                            <a:off x="0" y="0"/>
                            <a:ext cx="3719513" cy="3197039"/>
                          </a:xfrm>
                          <a:prstGeom prst="rect">
                            <a:avLst/>
                          </a:prstGeom>
                          <a:ln/>
                        </pic:spPr>
                      </pic:pic>
                    </a:graphicData>
                  </a:graphic>
                </wp:inline>
              </w:drawing>
            </w:r>
          </w:p>
        </w:tc>
      </w:tr>
      <w:tr>
        <w:tblPrEx>
          <w:tblW w:w="9360" w:type="dxa"/>
          <w:tblInd w:w="0" w:type="dxa"/>
          <w:tblLayout w:type="fixed"/>
          <w:tblLook w:val="0600"/>
        </w:tblPrEx>
        <w:tc>
          <w:tcPr>
            <w:tcW w:w="9360" w:type="dxa"/>
            <w:tcMar>
              <w:top w:w="100" w:type="dxa"/>
              <w:left w:w="100" w:type="dxa"/>
              <w:bottom w:w="100" w:type="dxa"/>
              <w:right w:w="100" w:type="dxa"/>
            </w:tcMar>
          </w:tcPr>
          <w:p w:rsidR="008C6C00" w:rsidRPr="008C6C00" w:rsidP="008C6C00">
            <w:pPr>
              <w:widowControl w:val="0"/>
              <w:pBdr>
                <w:top w:val="nil"/>
                <w:left w:val="nil"/>
                <w:bottom w:val="nil"/>
                <w:right w:val="nil"/>
                <w:between w:val="nil"/>
              </w:pBdr>
              <w:spacing w:line="240" w:lineRule="auto"/>
              <w:rPr>
                <w:rFonts w:eastAsia="Poppins" w:asciiTheme="majorHAnsi" w:hAnsiTheme="majorHAnsi" w:cstheme="majorHAnsi"/>
                <w:i/>
                <w:iCs/>
                <w:sz w:val="28"/>
                <w:szCs w:val="28"/>
              </w:rPr>
            </w:pPr>
            <w:r w:rsidRPr="008C6C00">
              <w:rPr>
                <w:rFonts w:eastAsia="Poppins" w:asciiTheme="majorHAnsi" w:hAnsiTheme="majorHAnsi" w:cstheme="majorHAnsi"/>
                <w:i/>
                <w:iCs/>
                <w:sz w:val="28"/>
                <w:szCs w:val="28"/>
              </w:rPr>
              <w:t>Fig. 2: higher bonnets reduce driver visibility of small children.</w:t>
            </w:r>
          </w:p>
        </w:tc>
      </w:tr>
    </w:tbl>
    <w:p w:rsidR="008C6C00" w:rsidRPr="008C6C00" w:rsidP="008C6C00">
      <w:pPr>
        <w:spacing w:line="240" w:lineRule="auto"/>
        <w:rPr>
          <w:rFonts w:eastAsia="Poppins" w:asciiTheme="majorHAnsi" w:hAnsiTheme="majorHAnsi" w:cstheme="majorHAnsi"/>
          <w:sz w:val="28"/>
          <w:szCs w:val="28"/>
        </w:rPr>
      </w:pPr>
    </w:p>
    <w:tbl>
      <w:tblPr>
        <w:tblStyle w:val="Table7"/>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
      <w:tblGrid>
        <w:gridCol w:w="9360"/>
      </w:tblGrid>
      <w:tr w:rsidTr="008C6C00">
        <w:tblPrEx>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Ex>
        <w:tc>
          <w:tcPr>
            <w:tcW w:w="9360" w:type="dxa"/>
            <w:tcMar>
              <w:top w:w="100" w:type="dxa"/>
              <w:left w:w="100" w:type="dxa"/>
              <w:bottom w:w="100" w:type="dxa"/>
              <w:right w:w="100" w:type="dxa"/>
            </w:tcMar>
          </w:tcPr>
          <w:p w:rsidR="008C6C00" w:rsidRPr="008C6C00" w:rsidP="008C6C00">
            <w:pPr>
              <w:spacing w:after="200" w:line="240" w:lineRule="auto"/>
              <w:rPr>
                <w:rFonts w:eastAsia="Poppins" w:asciiTheme="majorHAnsi" w:hAnsiTheme="majorHAnsi" w:cstheme="majorHAnsi"/>
                <w:b/>
                <w:bCs/>
                <w:sz w:val="28"/>
                <w:szCs w:val="28"/>
              </w:rPr>
            </w:pPr>
            <w:r w:rsidRPr="008C6C00">
              <w:rPr>
                <w:rFonts w:eastAsia="Poppins" w:asciiTheme="majorHAnsi" w:hAnsiTheme="majorHAnsi" w:cstheme="majorHAnsi"/>
                <w:sz w:val="28"/>
                <w:szCs w:val="28"/>
              </w:rPr>
              <w:t>(15)</w:t>
            </w:r>
            <w:r w:rsidRPr="008C6C00">
              <w:rPr>
                <w:rFonts w:eastAsia="Poppins" w:asciiTheme="majorHAnsi" w:hAnsiTheme="majorHAnsi" w:cstheme="majorHAnsi"/>
                <w:b/>
                <w:bCs/>
                <w:sz w:val="28"/>
                <w:szCs w:val="28"/>
              </w:rPr>
              <w:t xml:space="preserve"> The government is advised to</w:t>
            </w:r>
          </w:p>
          <w:p w:rsidR="008C6C00" w:rsidRPr="008C6C00" w:rsidP="008C6C00">
            <w:pPr>
              <w:numPr>
                <w:ilvl w:val="0"/>
                <w:numId w:val="3"/>
              </w:numPr>
              <w:spacing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Work with Euro NCAP to incorporate a “child visibility test” into their testing regime whereby the visibility to the car’s driver (assuming an average height female driver) of a child standing in front of the car’s bonnet is measured and under which cars performing poorly by this metric cannot be awarded top safety ratings.</w:t>
            </w:r>
          </w:p>
          <w:p w:rsidR="008C6C00" w:rsidRPr="008C6C00" w:rsidP="008C6C00">
            <w:pPr>
              <w:numPr>
                <w:ilvl w:val="0"/>
                <w:numId w:val="3"/>
              </w:numPr>
              <w:spacing w:line="240" w:lineRule="auto"/>
              <w:rPr>
                <w:rFonts w:eastAsia="Poppins" w:asciiTheme="majorHAnsi" w:hAnsiTheme="majorHAnsi" w:cstheme="majorHAnsi"/>
                <w:color w:val="F4F4F6"/>
                <w:sz w:val="28"/>
                <w:szCs w:val="28"/>
              </w:rPr>
            </w:pPr>
            <w:r w:rsidRPr="008C6C00">
              <w:rPr>
                <w:rFonts w:eastAsia="Poppins" w:asciiTheme="majorHAnsi" w:hAnsiTheme="majorHAnsi" w:cstheme="majorHAnsi"/>
                <w:sz w:val="28"/>
                <w:szCs w:val="28"/>
              </w:rPr>
              <w:t>Tighten the Individual Vehicle Approval (IVA) scheme. The EU is currently acting, and after it has tightened its IVA regime, the UK risks being exposed to mass market imports that do not comply with European standards.</w:t>
            </w:r>
          </w:p>
        </w:tc>
      </w:tr>
    </w:tbl>
    <w:p w:rsidR="008C6C00" w:rsidRPr="008C6C00" w:rsidP="008C6C00">
      <w:pPr>
        <w:spacing w:before="200" w:after="200" w:line="240" w:lineRule="auto"/>
        <w:rPr>
          <w:rFonts w:eastAsia="Poppins" w:asciiTheme="majorHAnsi" w:hAnsiTheme="majorHAnsi" w:cstheme="majorHAnsi"/>
          <w:color w:val="2F1F46"/>
          <w:sz w:val="28"/>
          <w:szCs w:val="28"/>
        </w:rPr>
      </w:pPr>
      <w:r w:rsidRPr="008C6C00">
        <w:rPr>
          <w:rFonts w:eastAsia="Poppins" w:asciiTheme="majorHAnsi" w:hAnsiTheme="majorHAnsi" w:cstheme="majorHAnsi"/>
          <w:color w:val="2F1F46"/>
          <w:sz w:val="28"/>
          <w:szCs w:val="28"/>
        </w:rPr>
        <w:t>Ending the importation of vehicles with substandard safety protections</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(16) Under Individual Vehicle Approval (IVA) vehicles in classes N1 and M1 (including large SUVs and pickups) </w:t>
      </w:r>
      <w:r w:rsidRPr="008C6C00">
        <w:rPr>
          <w:rFonts w:eastAsia="Poppins" w:asciiTheme="majorHAnsi" w:hAnsiTheme="majorHAnsi" w:cstheme="majorHAnsi"/>
          <w:sz w:val="28"/>
          <w:szCs w:val="28"/>
        </w:rPr>
        <w:t>are able to</w:t>
      </w:r>
      <w:r w:rsidRPr="008C6C00">
        <w:rPr>
          <w:rFonts w:eastAsia="Poppins" w:asciiTheme="majorHAnsi" w:hAnsiTheme="majorHAnsi" w:cstheme="majorHAnsi"/>
          <w:sz w:val="28"/>
          <w:szCs w:val="28"/>
        </w:rPr>
        <w:t xml:space="preserve"> be imported from the US which do not meet UK or EU pedestrian protection standards (UN-R127). Such importation manifestly undermines the UK’s world-leading safety regulations for vehicles. </w:t>
      </w:r>
    </w:p>
    <w:tbl>
      <w:tblPr>
        <w:tblStyle w:val="Table8"/>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
      <w:tblGrid>
        <w:gridCol w:w="9360"/>
      </w:tblGrid>
      <w:tr w:rsidTr="008C6C00">
        <w:tblPrEx>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Ex>
        <w:tc>
          <w:tcPr>
            <w:tcW w:w="9360" w:type="dxa"/>
            <w:shd w:val="clear" w:color="auto" w:fill="FFFFFF" w:themeFill="background1"/>
            <w:tcMar>
              <w:top w:w="100" w:type="dxa"/>
              <w:left w:w="100" w:type="dxa"/>
              <w:bottom w:w="100" w:type="dxa"/>
              <w:right w:w="100" w:type="dxa"/>
            </w:tcMar>
          </w:tcPr>
          <w:p w:rsidR="008C6C00" w:rsidRPr="008C6C00" w:rsidP="008C6C00">
            <w:pPr>
              <w:spacing w:line="240" w:lineRule="auto"/>
              <w:rPr>
                <w:rFonts w:eastAsia="Poppins" w:asciiTheme="majorHAnsi" w:hAnsiTheme="majorHAnsi" w:cstheme="majorHAnsi"/>
                <w:color w:val="F4F4F6"/>
                <w:sz w:val="28"/>
                <w:szCs w:val="28"/>
              </w:rPr>
            </w:pPr>
            <w:r w:rsidRPr="008C6C00">
              <w:rPr>
                <w:rFonts w:eastAsia="Poppins" w:asciiTheme="majorHAnsi" w:hAnsiTheme="majorHAnsi" w:cstheme="majorHAnsi"/>
                <w:sz w:val="28"/>
                <w:szCs w:val="28"/>
              </w:rPr>
              <w:t>(17)</w:t>
            </w:r>
            <w:r w:rsidRPr="008C6C00">
              <w:rPr>
                <w:rFonts w:eastAsia="Poppins" w:asciiTheme="majorHAnsi" w:hAnsiTheme="majorHAnsi" w:cstheme="majorHAnsi"/>
                <w:b/>
                <w:bCs/>
                <w:sz w:val="28"/>
                <w:szCs w:val="28"/>
              </w:rPr>
              <w:t xml:space="preserve"> The government is advised to</w:t>
            </w:r>
            <w:r w:rsidRPr="008C6C00">
              <w:rPr>
                <w:rFonts w:eastAsia="Poppins" w:asciiTheme="majorHAnsi" w:hAnsiTheme="majorHAnsi" w:cstheme="majorHAnsi"/>
                <w:sz w:val="28"/>
                <w:szCs w:val="28"/>
              </w:rPr>
              <w:t xml:space="preserve"> urgently review the IVA scheme to ensure that any imported vehicles meet the highest standards of pedestrian protection, in line with vehicles manufactured within the UK and EU.</w:t>
            </w:r>
          </w:p>
        </w:tc>
      </w:tr>
    </w:tbl>
    <w:p w:rsidR="008C6C00" w:rsidRPr="008C6C00" w:rsidP="008C6C00">
      <w:pPr>
        <w:spacing w:after="200" w:line="240" w:lineRule="auto"/>
        <w:rPr>
          <w:rFonts w:eastAsia="Poppins" w:asciiTheme="majorHAnsi" w:hAnsiTheme="majorHAnsi" w:cstheme="majorHAnsi"/>
          <w:sz w:val="28"/>
          <w:szCs w:val="28"/>
        </w:rPr>
      </w:pPr>
    </w:p>
    <w:p w:rsidR="008C6C00" w:rsidRPr="008C6C00" w:rsidP="008C6C00">
      <w:pPr>
        <w:spacing w:after="200" w:line="240" w:lineRule="auto"/>
        <w:rPr>
          <w:rFonts w:eastAsia="Poppins" w:asciiTheme="majorHAnsi" w:hAnsiTheme="majorHAnsi" w:cstheme="majorHAnsi"/>
          <w:b/>
          <w:bCs/>
          <w:sz w:val="28"/>
          <w:szCs w:val="28"/>
        </w:rPr>
      </w:pPr>
      <w:r w:rsidRPr="008C6C00">
        <w:rPr>
          <w:rFonts w:eastAsia="Poppins" w:asciiTheme="majorHAnsi" w:hAnsiTheme="majorHAnsi" w:cstheme="majorHAnsi"/>
          <w:color w:val="2F1F46"/>
          <w:sz w:val="28"/>
          <w:szCs w:val="28"/>
        </w:rPr>
        <w:t>Weight-based parking surcharging</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(18) In October 2025, Cardiff City Council became the first UK local authority to approve a weight-based parking policy on resident parking permits. </w:t>
      </w:r>
    </w:p>
    <w:p w:rsidR="008C6C00"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 xml:space="preserve">(19) The Cardiff City Parking Plan includes: </w:t>
      </w:r>
      <w:r w:rsidRPr="008C6C00">
        <w:rPr>
          <w:rFonts w:eastAsia="Poppins" w:asciiTheme="majorHAnsi" w:hAnsiTheme="majorHAnsi" w:cstheme="majorHAnsi"/>
          <w:i/>
          <w:iCs/>
          <w:sz w:val="28"/>
          <w:szCs w:val="28"/>
        </w:rPr>
        <w:t>"A surcharge for vehicles over 2,400kg Revenue Weight will be introduced to encourage drivers to switch to smaller vehicles. In time, this will be reduced to 2,000kg (for non-electric vehicles). Very large vehicles (vehicles over 3,500kg Revenue Weight) will not be entitled to permits."</w:t>
      </w:r>
      <w:r>
        <w:rPr>
          <w:rFonts w:eastAsia="Poppins" w:asciiTheme="majorHAnsi" w:hAnsiTheme="majorHAnsi" w:cstheme="majorHAnsi"/>
          <w:sz w:val="28"/>
          <w:szCs w:val="28"/>
          <w:vertAlign w:val="superscript"/>
        </w:rPr>
        <w:endnoteReference w:id="16"/>
      </w:r>
      <w:r w:rsidRPr="008C6C00">
        <w:rPr>
          <w:rFonts w:eastAsia="Poppins" w:asciiTheme="majorHAnsi" w:hAnsiTheme="majorHAnsi" w:cstheme="majorHAnsi"/>
          <w:sz w:val="28"/>
          <w:szCs w:val="28"/>
        </w:rPr>
        <w:t xml:space="preserve"> </w:t>
      </w:r>
    </w:p>
    <w:p w:rsidR="008F7B14" w:rsidRPr="008C6C00" w:rsidP="008C6C00">
      <w:pPr>
        <w:spacing w:after="200" w:line="240" w:lineRule="auto"/>
        <w:rPr>
          <w:rFonts w:eastAsia="Poppins" w:asciiTheme="majorHAnsi" w:hAnsiTheme="majorHAnsi" w:cstheme="majorHAnsi"/>
          <w:sz w:val="28"/>
          <w:szCs w:val="28"/>
        </w:rPr>
      </w:pPr>
      <w:r w:rsidRPr="008C6C00">
        <w:rPr>
          <w:rFonts w:eastAsia="Poppins" w:asciiTheme="majorHAnsi" w:hAnsiTheme="majorHAnsi" w:cstheme="majorHAnsi"/>
          <w:sz w:val="28"/>
          <w:szCs w:val="28"/>
        </w:rPr>
        <w:t>(20) In doing so, Cardiff follows the examples of numerous European cities, most notably Paris.</w:t>
      </w:r>
      <w:r>
        <w:rPr>
          <w:rFonts w:eastAsia="Poppins" w:asciiTheme="majorHAnsi" w:hAnsiTheme="majorHAnsi" w:cstheme="majorHAnsi"/>
          <w:sz w:val="28"/>
          <w:szCs w:val="28"/>
          <w:vertAlign w:val="superscript"/>
        </w:rPr>
        <w:endnoteReference w:id="17"/>
      </w:r>
      <w:r w:rsidRPr="008C6C00">
        <w:rPr>
          <w:rFonts w:eastAsia="Poppins" w:asciiTheme="majorHAnsi" w:hAnsiTheme="majorHAnsi" w:cstheme="majorHAnsi"/>
          <w:sz w:val="28"/>
          <w:szCs w:val="28"/>
        </w:rPr>
        <w:t xml:space="preserve"> </w:t>
      </w:r>
      <w:r w:rsidRPr="008C6C00" w:rsidR="00416B49">
        <w:rPr>
          <w:rFonts w:eastAsia="Poppins" w:asciiTheme="majorHAnsi" w:hAnsiTheme="majorHAnsi" w:cstheme="majorHAnsi"/>
          <w:sz w:val="28"/>
          <w:szCs w:val="28"/>
        </w:rPr>
        <w:t xml:space="preserve">Other UK local authorities are known to be considering weight-based parking surcharges. The national government can support and encourage this. </w:t>
      </w:r>
    </w:p>
    <w:tbl>
      <w:tblPr>
        <w:tblStyle w:val="Table9"/>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
      <w:tblGrid>
        <w:gridCol w:w="9360"/>
      </w:tblGrid>
      <w:tr w:rsidTr="008C6C00">
        <w:tblPrEx>
          <w:tblW w:w="9360" w:type="dxa"/>
          <w:tblInd w:w="0" w:type="dxa"/>
          <w:tblBorders>
            <w:top w:val="single" w:sz="8" w:space="0" w:color="4A418D"/>
            <w:left w:val="single" w:sz="8" w:space="0" w:color="4A418D"/>
            <w:bottom w:val="single" w:sz="8" w:space="0" w:color="4A418D"/>
            <w:right w:val="single" w:sz="8" w:space="0" w:color="4A418D"/>
            <w:insideH w:val="single" w:sz="8" w:space="0" w:color="4A418D"/>
            <w:insideV w:val="single" w:sz="8" w:space="0" w:color="4A418D"/>
          </w:tblBorders>
          <w:tblLayout w:type="fixed"/>
          <w:tblLook w:val="0600"/>
        </w:tblPrEx>
        <w:tc>
          <w:tcPr>
            <w:tcW w:w="9360" w:type="dxa"/>
            <w:tcMar>
              <w:top w:w="100" w:type="dxa"/>
              <w:left w:w="100" w:type="dxa"/>
              <w:bottom w:w="100" w:type="dxa"/>
              <w:right w:w="100" w:type="dxa"/>
            </w:tcMar>
          </w:tcPr>
          <w:p w:rsidR="008F7B14" w:rsidRPr="008C6C00" w:rsidP="008C6C00">
            <w:pPr>
              <w:spacing w:line="240" w:lineRule="auto"/>
              <w:rPr>
                <w:rFonts w:eastAsia="Poppins" w:asciiTheme="majorHAnsi" w:hAnsiTheme="majorHAnsi" w:cstheme="majorHAnsi"/>
                <w:color w:val="F4F4F6"/>
                <w:sz w:val="28"/>
                <w:szCs w:val="28"/>
              </w:rPr>
            </w:pPr>
            <w:r w:rsidRPr="008C6C00">
              <w:rPr>
                <w:rFonts w:eastAsia="Poppins" w:asciiTheme="majorHAnsi" w:hAnsiTheme="majorHAnsi" w:cstheme="majorHAnsi"/>
                <w:sz w:val="28"/>
                <w:szCs w:val="28"/>
              </w:rPr>
              <w:t>(21)</w:t>
            </w:r>
            <w:r w:rsidRPr="008C6C00">
              <w:rPr>
                <w:rFonts w:eastAsia="Poppins" w:asciiTheme="majorHAnsi" w:hAnsiTheme="majorHAnsi" w:cstheme="majorHAnsi"/>
                <w:b/>
                <w:bCs/>
                <w:sz w:val="28"/>
                <w:szCs w:val="28"/>
              </w:rPr>
              <w:t xml:space="preserve"> The government is advised to</w:t>
            </w:r>
            <w:r w:rsidRPr="008C6C00">
              <w:rPr>
                <w:rFonts w:eastAsia="Poppins" w:asciiTheme="majorHAnsi" w:hAnsiTheme="majorHAnsi" w:cstheme="majorHAnsi"/>
                <w:sz w:val="28"/>
                <w:szCs w:val="28"/>
              </w:rPr>
              <w:t xml:space="preserve"> work with the Department for Transport to ensure local authorities have access to reliable data linking vehicle registration to weight and other critical dimensions such as width and bonnet height as currently exists for CO2 emissions (via which policies such as emissions-based parking charges and low emissions zones are enforced). </w:t>
            </w:r>
          </w:p>
        </w:tc>
      </w:tr>
    </w:tbl>
    <w:p w:rsidR="008F7B14" w:rsidP="008C6C00">
      <w:pPr>
        <w:pBdr>
          <w:top w:val="nil"/>
          <w:left w:val="nil"/>
          <w:bottom w:val="nil"/>
          <w:right w:val="nil"/>
          <w:between w:val="nil"/>
        </w:pBdr>
        <w:spacing w:after="200" w:line="240" w:lineRule="auto"/>
        <w:rPr>
          <w:rFonts w:eastAsia="Poppins" w:asciiTheme="majorHAnsi" w:hAnsiTheme="majorHAnsi" w:cstheme="majorHAnsi"/>
          <w:sz w:val="28"/>
          <w:szCs w:val="28"/>
        </w:rPr>
      </w:pPr>
    </w:p>
    <w:p w:rsidR="008C6C00" w:rsidP="008C6C00">
      <w:pPr>
        <w:pBdr>
          <w:top w:val="nil"/>
          <w:left w:val="nil"/>
          <w:bottom w:val="nil"/>
          <w:right w:val="nil"/>
          <w:between w:val="nil"/>
        </w:pBdr>
        <w:spacing w:after="200" w:line="240" w:lineRule="auto"/>
        <w:rPr>
          <w:rFonts w:eastAsia="Poppins" w:asciiTheme="majorHAnsi" w:hAnsiTheme="majorHAnsi" w:cstheme="majorHAnsi"/>
          <w:sz w:val="28"/>
          <w:szCs w:val="28"/>
        </w:rPr>
      </w:pPr>
      <w:r>
        <w:rPr>
          <w:rFonts w:eastAsia="Poppins" w:asciiTheme="majorHAnsi" w:hAnsiTheme="majorHAnsi" w:cstheme="majorHAnsi"/>
          <w:sz w:val="28"/>
          <w:szCs w:val="28"/>
        </w:rPr>
        <w:t>March 2026</w:t>
      </w:r>
    </w:p>
    <w:p w:rsidR="008C6C00" w:rsidRPr="008C6C00" w:rsidP="008C6C00">
      <w:pPr>
        <w:pBdr>
          <w:top w:val="nil"/>
          <w:left w:val="nil"/>
          <w:bottom w:val="nil"/>
          <w:right w:val="nil"/>
          <w:between w:val="nil"/>
        </w:pBdr>
        <w:spacing w:after="200" w:line="240" w:lineRule="auto"/>
        <w:rPr>
          <w:rFonts w:eastAsia="Poppins" w:asciiTheme="majorHAnsi" w:hAnsiTheme="majorHAnsi" w:cstheme="majorHAnsi"/>
          <w:b/>
          <w:bCs/>
          <w:sz w:val="28"/>
          <w:szCs w:val="28"/>
        </w:rPr>
      </w:pPr>
      <w:r>
        <w:rPr>
          <w:rFonts w:eastAsia="Poppins" w:asciiTheme="majorHAnsi" w:hAnsiTheme="majorHAnsi" w:cstheme="majorHAnsi"/>
          <w:b/>
          <w:bCs/>
          <w:sz w:val="28"/>
          <w:szCs w:val="28"/>
        </w:rPr>
        <w:t>Endnotes</w:t>
      </w:r>
    </w:p>
    <w:sectPr>
      <w:footerReference w:type="default" r:id="rId9"/>
      <w:headerReference w:type="first" r:id="rId10"/>
      <w:footerReference w:type="first" r:id="rId11"/>
      <w:endnotePr>
        <w:numFmt w:val="decimal"/>
      </w:end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416B49">
      <w:pPr>
        <w:spacing w:line="240" w:lineRule="auto"/>
      </w:pPr>
      <w:r>
        <w:separator/>
      </w:r>
    </w:p>
  </w:endnote>
  <w:endnote w:type="continuationSeparator" w:id="1">
    <w:p w:rsidR="00416B49">
      <w:pPr>
        <w:spacing w:line="240" w:lineRule="auto"/>
      </w:pPr>
      <w:r>
        <w:continuationSeparator/>
      </w:r>
    </w:p>
  </w:endnote>
  <w:endnote w:id="2">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"https://www.suv-alliance.org.uk" </w:instrText>
      </w:r>
      <w:r>
        <w:fldChar w:fldCharType="separate"/>
      </w:r>
      <w:r w:rsidRPr="008C6C00">
        <w:rPr>
          <w:rFonts w:eastAsia="Poppins" w:asciiTheme="majorHAnsi" w:hAnsiTheme="majorHAnsi" w:cstheme="majorHAnsi"/>
          <w:color w:val="1155CC"/>
          <w:u w:val="single"/>
        </w:rPr>
        <w:t>https://www.suv-alliance.org.uk</w:t>
      </w:r>
      <w:r>
        <w:fldChar w:fldCharType="end"/>
      </w:r>
      <w:r w:rsidRPr="008C6C00">
        <w:rPr>
          <w:rFonts w:eastAsia="Poppins" w:asciiTheme="majorHAnsi" w:hAnsiTheme="majorHAnsi" w:cstheme="majorHAnsi"/>
        </w:rPr>
        <w:t xml:space="preserve"> </w:t>
      </w:r>
    </w:p>
  </w:endnote>
  <w:endnote w:id="3">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"https://assets.publishing.service.gov.uk/media/695e2cff8832ab3a48513809/road-safety-strategy.pdf" </w:instrText>
      </w:r>
      <w:r>
        <w:fldChar w:fldCharType="separate"/>
      </w:r>
      <w:r w:rsidRPr="008C6C00">
        <w:rPr>
          <w:rFonts w:eastAsia="Poppins" w:asciiTheme="majorHAnsi" w:hAnsiTheme="majorHAnsi" w:cstheme="majorHAnsi"/>
          <w:color w:val="1155CC"/>
          <w:u w:val="single"/>
        </w:rPr>
        <w:t>https://assets.publishing.service.gov.uk/media/695e2cff8832ab3a48513809/road-safety-strategy.pdf</w:t>
      </w:r>
      <w:r>
        <w:fldChar w:fldCharType="end"/>
      </w:r>
      <w:r w:rsidRPr="008C6C00">
        <w:rPr>
          <w:rFonts w:eastAsia="Poppins" w:asciiTheme="majorHAnsi" w:hAnsiTheme="majorHAnsi" w:cstheme="majorHAnsi"/>
        </w:rPr>
        <w:t xml:space="preserve"> </w:t>
      </w:r>
    </w:p>
  </w:endnote>
  <w:endnote w:id="4">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"https://www.autocar.co.uk/car-news/new-cars/average-weight-new-cars-rises-nearly-400kg-seven-years" </w:instrText>
      </w:r>
      <w:r>
        <w:fldChar w:fldCharType="separate"/>
      </w:r>
      <w:r w:rsidRPr="008C6C00">
        <w:rPr>
          <w:rFonts w:eastAsia="Poppins" w:asciiTheme="majorHAnsi" w:hAnsiTheme="majorHAnsi" w:cstheme="majorHAnsi"/>
          <w:color w:val="1155CC"/>
          <w:u w:val="single"/>
        </w:rPr>
        <w:t>https://www.autocar.co.uk/car-news/new-cars/average-weight-new-cars-rises-nearly-400kg-seven-years</w:t>
      </w:r>
      <w:r>
        <w:fldChar w:fldCharType="end"/>
      </w:r>
      <w:r w:rsidRPr="008C6C00">
        <w:rPr>
          <w:rFonts w:eastAsia="Poppins" w:asciiTheme="majorHAnsi" w:hAnsiTheme="majorHAnsi" w:cstheme="majorHAnsi"/>
        </w:rPr>
        <w:t xml:space="preserve"> </w:t>
      </w:r>
    </w:p>
  </w:endnote>
  <w:endnote w:id="5">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"https://www.transportenvironment.org/articles/ever-wider-why-large-suvs-dont-fit-and-what-to-do-about-it" </w:instrText>
      </w:r>
      <w:r>
        <w:fldChar w:fldCharType="separate"/>
      </w:r>
      <w:r w:rsidRPr="008C6C00">
        <w:rPr>
          <w:rFonts w:eastAsia="Poppins" w:asciiTheme="majorHAnsi" w:hAnsiTheme="majorHAnsi" w:cstheme="majorHAnsi"/>
          <w:color w:val="1155CC"/>
          <w:u w:val="single"/>
        </w:rPr>
        <w:t>https://www.transportenvironment.org/articles/ever-wider-why-large-suvs-dont-fit-and-what-to-do-about-it</w:t>
      </w:r>
      <w:r>
        <w:fldChar w:fldCharType="end"/>
      </w:r>
      <w:r w:rsidRPr="008C6C00">
        <w:rPr>
          <w:rFonts w:eastAsia="Poppins" w:asciiTheme="majorHAnsi" w:hAnsiTheme="majorHAnsi" w:cstheme="majorHAnsi"/>
        </w:rPr>
        <w:t xml:space="preserve"> </w:t>
      </w:r>
    </w:p>
  </w:endnote>
  <w:endnote w:id="6">
    <w:p w:rsidR="008C6C00" w:rsidRPr="008C6C00">
      <w:pPr>
        <w:spacing w:line="240" w:lineRule="auto"/>
        <w:ind w:right="-1830"/>
        <w:rPr>
          <w:rFonts w:eastAsia="Poppins" w:asciiTheme="majorHAnsi" w:hAnsiTheme="majorHAnsi" w:cstheme="majorHAnsi"/>
        </w:rPr>
      </w:pPr>
      <w:r w:rsidRPr="008C6C00">
        <w:rPr>
          <w:rFonts w:asciiTheme="majorHAnsi" w:hAnsiTheme="majorHAnsi" w:cstheme="majorHAnsi"/>
          <w:vertAlign w:val="superscript"/>
        </w:rPr>
        <w:endnoteRef/>
      </w:r>
      <w:r>
        <w:fldChar w:fldCharType="begin"/>
      </w:r>
      <w:r>
        <w:instrText xml:space="preserve"> HYPERLINK "https://cleancitiescampaign.org/1-million-cars-sold-every-year-too-big-to-park/" </w:instrText>
      </w:r>
      <w:r>
        <w:fldChar w:fldCharType="separate"/>
      </w:r>
      <w:r w:rsidRPr="008C6C00">
        <w:rPr>
          <w:rFonts w:eastAsia="Poppins" w:asciiTheme="majorHAnsi" w:hAnsiTheme="majorHAnsi" w:cstheme="majorHAnsi"/>
          <w:color w:val="1155CC"/>
          <w:u w:val="single"/>
        </w:rPr>
        <w:t>https://cleancitiescampaign.org/1-million-cars-sold-every-year-too-big-to-park/</w:t>
      </w:r>
      <w:r>
        <w:fldChar w:fldCharType="end"/>
      </w:r>
      <w:r w:rsidRPr="008C6C00">
        <w:rPr>
          <w:rFonts w:eastAsia="Poppins" w:asciiTheme="majorHAnsi" w:hAnsiTheme="majorHAnsi" w:cstheme="majorHAnsi"/>
        </w:rPr>
        <w:t xml:space="preserve"> </w:t>
      </w:r>
    </w:p>
  </w:endnote>
  <w:endnote w:id="7">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"https://www.theguardian.com/world/2026/jan/27/us-style-pickup-trucks-uk-roads-up-data-shows" </w:instrText>
      </w:r>
      <w:r>
        <w:fldChar w:fldCharType="separate"/>
      </w:r>
      <w:r w:rsidRPr="008C6C00">
        <w:rPr>
          <w:rFonts w:eastAsia="Poppins" w:asciiTheme="majorHAnsi" w:hAnsiTheme="majorHAnsi" w:cstheme="majorHAnsi"/>
          <w:color w:val="1155CC"/>
          <w:u w:val="single"/>
        </w:rPr>
        <w:t>https://www.theguardian.com/world/2026/jan/27/us-style-pickup-trucks-uk-roads-up-data-shows</w:t>
      </w:r>
      <w:r>
        <w:fldChar w:fldCharType="end"/>
      </w:r>
      <w:r w:rsidRPr="008C6C00">
        <w:rPr>
          <w:rFonts w:eastAsia="Poppins" w:asciiTheme="majorHAnsi" w:hAnsiTheme="majorHAnsi" w:cstheme="majorHAnsi"/>
        </w:rPr>
        <w:t xml:space="preserve"> </w:t>
      </w:r>
    </w:p>
  </w:endnote>
  <w:endnote w:id="8">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fldChar w:fldCharType="begin"/>
      </w:r>
      <w:r>
        <w:instrText xml:space="preserve"> HYPERLINK "https://cleancitiescampaign.org/wp-content/uploads/2025/03/Carspreading-Key-Facts.pdf" </w:instrText>
      </w:r>
      <w:r>
        <w:fldChar w:fldCharType="separate"/>
      </w:r>
      <w:r w:rsidRPr="008C6C00">
        <w:rPr>
          <w:rFonts w:eastAsia="Poppins" w:asciiTheme="majorHAnsi" w:hAnsiTheme="majorHAnsi" w:cstheme="majorHAnsi"/>
          <w:color w:val="1155CC"/>
          <w:u w:val="single"/>
        </w:rPr>
        <w:t>https://cleancitiescampaign.org/wp-content/uploads/2025/03/Carspreading-Key-Facts.pdf</w:t>
      </w:r>
      <w:r>
        <w:fldChar w:fldCharType="end"/>
      </w:r>
      <w:r w:rsidRPr="008C6C00">
        <w:rPr>
          <w:rFonts w:eastAsia="Poppins" w:asciiTheme="majorHAnsi" w:hAnsiTheme="majorHAnsi" w:cstheme="majorHAnsi"/>
        </w:rPr>
        <w:t xml:space="preserve"> </w:t>
      </w:r>
    </w:p>
  </w:endnote>
  <w:endnote w:id="9">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Available at </w:t>
      </w:r>
      <w:r>
        <w:fldChar w:fldCharType="begin"/>
      </w:r>
      <w:r>
        <w:instrText xml:space="preserve"> HYPERLINK "http://doi.org/%E2%80%8B10.32866/%E2%80%8B001c.141647" </w:instrText>
      </w:r>
      <w:r>
        <w:fldChar w:fldCharType="separate"/>
      </w:r>
      <w:r w:rsidRPr="008C6C00">
        <w:rPr>
          <w:rFonts w:eastAsia="Poppins" w:asciiTheme="majorHAnsi" w:hAnsiTheme="majorHAnsi" w:cstheme="majorHAnsi"/>
          <w:color w:val="1155CC"/>
          <w:u w:val="single"/>
        </w:rPr>
        <w:t>doi.org/​10.32866/​001c.141647</w:t>
      </w:r>
      <w:r>
        <w:fldChar w:fldCharType="end"/>
      </w:r>
      <w:r w:rsidRPr="008C6C00">
        <w:rPr>
          <w:rFonts w:eastAsia="Poppins" w:asciiTheme="majorHAnsi" w:hAnsiTheme="majorHAnsi" w:cstheme="majorHAnsi"/>
        </w:rPr>
        <w:t xml:space="preserve"> </w:t>
      </w:r>
    </w:p>
  </w:endnote>
  <w:endnote w:id="10">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Available at </w:t>
      </w:r>
      <w:r>
        <w:fldChar w:fldCharType="begin"/>
      </w:r>
      <w:r>
        <w:instrText xml:space="preserve"> HYPERLINK "https://www.transportenvironment.org/articles/ever-higher-the-rise-of-bonnet-height-and-the-case-to-cap-it" </w:instrText>
      </w:r>
      <w:r>
        <w:fldChar w:fldCharType="separate"/>
      </w:r>
      <w:r w:rsidRPr="008C6C00">
        <w:rPr>
          <w:rFonts w:eastAsia="Poppins" w:asciiTheme="majorHAnsi" w:hAnsiTheme="majorHAnsi" w:cstheme="majorHAnsi"/>
          <w:color w:val="1155CC"/>
          <w:u w:val="single"/>
        </w:rPr>
        <w:t>https://www.transportenvironment.org/articles/ever-higher-the-rise-of-bonnet-height-and-the-case-to-cap-it</w:t>
      </w:r>
      <w:r>
        <w:fldChar w:fldCharType="end"/>
      </w:r>
      <w:r w:rsidRPr="008C6C00">
        <w:rPr>
          <w:rFonts w:eastAsia="Poppins" w:asciiTheme="majorHAnsi" w:hAnsiTheme="majorHAnsi" w:cstheme="majorHAnsi"/>
        </w:rPr>
        <w:t xml:space="preserve"> </w:t>
      </w:r>
    </w:p>
  </w:endnote>
  <w:endnote w:id="11">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asciiTheme="majorHAnsi" w:hAnsiTheme="majorHAnsi" w:cstheme="majorHAnsi"/>
        </w:rPr>
        <w:t xml:space="preserve"> </w:t>
      </w:r>
      <w:r w:rsidRPr="008C6C00">
        <w:rPr>
          <w:rFonts w:eastAsia="Poppins" w:asciiTheme="majorHAnsi" w:hAnsiTheme="majorHAnsi" w:cstheme="majorHAnsi"/>
        </w:rPr>
        <w:t xml:space="preserve">Available at </w:t>
      </w:r>
      <w:r>
        <w:fldChar w:fldCharType="begin"/>
      </w:r>
      <w:r>
        <w:instrText xml:space="preserve"> HYPERLINK "http://static1.squarespace.com/static/67177e7d1cb5f2188265827f/t/683d6d70ffbad01446e555c5/1748856176648/UK+Car+Weight+Prelim+Findings+-+2+Pager.pdf" </w:instrText>
      </w:r>
      <w:r>
        <w:fldChar w:fldCharType="separate"/>
      </w:r>
      <w:r w:rsidRPr="008C6C00">
        <w:rPr>
          <w:rFonts w:eastAsia="Poppins" w:asciiTheme="majorHAnsi" w:hAnsiTheme="majorHAnsi" w:cstheme="majorHAnsi"/>
          <w:color w:val="1155CC"/>
          <w:u w:val="single"/>
        </w:rPr>
        <w:t xml:space="preserve">https://static1.squarespace.com/static/67177e7d1cb5f2188265827f/t/683d6d70ffbad01446e555c5/1748856176648/UK+Car+Weight+Prelim+Findings+-+2+Pager.pdf </w:t>
      </w:r>
      <w:r>
        <w:fldChar w:fldCharType="end"/>
      </w:r>
    </w:p>
  </w:endnote>
  <w:endnote w:id="12">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Available at </w:t>
      </w:r>
      <w:r>
        <w:fldChar w:fldCharType="begin"/>
      </w:r>
      <w:r>
        <w:instrText xml:space="preserve"> HYPERLINK "https://www.vias.be/publications/Impact%20voertuigkenmerken/Impact_des_caract%C3%A9ristiques_des_v%C3%A9hicules.pdf" </w:instrText>
      </w:r>
      <w:r>
        <w:fldChar w:fldCharType="separate"/>
      </w:r>
      <w:r w:rsidRPr="008C6C00">
        <w:rPr>
          <w:rFonts w:eastAsia="Poppins" w:asciiTheme="majorHAnsi" w:hAnsiTheme="majorHAnsi" w:cstheme="majorHAnsi"/>
          <w:color w:val="1155CC"/>
          <w:u w:val="single"/>
        </w:rPr>
        <w:t>https://www.vias.be/publications/Impact%20voertuigkenmerken/Impact_des_caract%C3%A9ristiques_des_v%C3%A9hicules.pdf</w:t>
      </w:r>
      <w:r>
        <w:fldChar w:fldCharType="end"/>
      </w:r>
      <w:r w:rsidRPr="008C6C00">
        <w:rPr>
          <w:rFonts w:eastAsia="Poppins" w:asciiTheme="majorHAnsi" w:hAnsiTheme="majorHAnsi" w:cstheme="majorHAnsi"/>
        </w:rPr>
        <w:t xml:space="preserve"> </w:t>
      </w:r>
    </w:p>
  </w:endnote>
  <w:endnote w:id="13">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"https://www.transportenvironment.org/te-united-kingdom/articles/t-e-uks-large-vehicle-levy-explained" </w:instrText>
      </w:r>
      <w:r>
        <w:fldChar w:fldCharType="separate"/>
      </w:r>
      <w:r w:rsidRPr="008C6C00">
        <w:rPr>
          <w:rFonts w:eastAsia="Poppins" w:asciiTheme="majorHAnsi" w:hAnsiTheme="majorHAnsi" w:cstheme="majorHAnsi"/>
          <w:color w:val="1155CC"/>
          <w:u w:val="single"/>
        </w:rPr>
        <w:t>https://www.transportenvironment.org/te-united-kingdom/articles/t-e-uks-large-vehicle-levy-explained</w:t>
      </w:r>
      <w:r>
        <w:fldChar w:fldCharType="end"/>
      </w:r>
      <w:r w:rsidRPr="008C6C00">
        <w:rPr>
          <w:rFonts w:eastAsia="Poppins" w:asciiTheme="majorHAnsi" w:hAnsiTheme="majorHAnsi" w:cstheme="majorHAnsi"/>
        </w:rPr>
        <w:t xml:space="preserve"> </w:t>
      </w:r>
    </w:p>
  </w:endnote>
  <w:endnote w:id="14">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w:t>
      </w:r>
      <w:r>
        <w:fldChar w:fldCharType="begin"/>
      </w:r>
      <w:r>
        <w:instrText xml:space="preserve"> HYPERLINK "https://uploads.transportenvironment.org/production/files/No-one-left-behind_Final_TE-UK_March26.pdf?dm=1773156671" </w:instrText>
      </w:r>
      <w:r>
        <w:fldChar w:fldCharType="separate"/>
      </w:r>
      <w:r w:rsidRPr="008C6C00">
        <w:rPr>
          <w:rFonts w:eastAsia="Poppins" w:asciiTheme="majorHAnsi" w:hAnsiTheme="majorHAnsi" w:cstheme="majorHAnsi"/>
          <w:color w:val="1155CC"/>
          <w:u w:val="single"/>
        </w:rPr>
        <w:t>https://uploads.transportenvironment.org/production/files/No-one-left-behind_Final_TE-UK_March26.pdf?dm=1773156671</w:t>
      </w:r>
      <w:r>
        <w:fldChar w:fldCharType="end"/>
      </w:r>
      <w:r w:rsidRPr="008C6C00">
        <w:rPr>
          <w:rFonts w:eastAsia="Poppins" w:asciiTheme="majorHAnsi" w:hAnsiTheme="majorHAnsi" w:cstheme="majorHAnsi"/>
        </w:rPr>
        <w:t xml:space="preserve"> </w:t>
      </w:r>
    </w:p>
  </w:endnote>
  <w:endnote w:id="15">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rsidRPr="008C6C00">
        <w:rPr>
          <w:rFonts w:eastAsia="Poppins" w:asciiTheme="majorHAnsi" w:hAnsiTheme="majorHAnsi" w:cstheme="majorHAnsi"/>
        </w:rPr>
        <w:t xml:space="preserve"> See page 75: </w:t>
      </w:r>
      <w:r>
        <w:fldChar w:fldCharType="begin"/>
      </w:r>
      <w:r>
        <w:instrText xml:space="preserve"> HYPERLINK "https://www.iamroadsmart.com/road-safety-content/articles/iam-roadsmart-road-safety-report-2025-the-motoring-public-has-its-say/" </w:instrText>
      </w:r>
      <w:r>
        <w:fldChar w:fldCharType="separate"/>
      </w:r>
      <w:r w:rsidRPr="008C6C00">
        <w:rPr>
          <w:rFonts w:eastAsia="Poppins" w:asciiTheme="majorHAnsi" w:hAnsiTheme="majorHAnsi" w:cstheme="majorHAnsi"/>
          <w:color w:val="1155CC"/>
          <w:u w:val="single"/>
        </w:rPr>
        <w:t>https://www.iamroadsmart.com/road-safety-content/articles/iam-roadsmart-road-safety-report-2025-the-motoring-public-has-its-say/</w:t>
      </w:r>
      <w:r>
        <w:fldChar w:fldCharType="end"/>
      </w:r>
      <w:r w:rsidRPr="008C6C00">
        <w:rPr>
          <w:rFonts w:eastAsia="Poppins" w:asciiTheme="majorHAnsi" w:hAnsiTheme="majorHAnsi" w:cstheme="majorHAnsi"/>
        </w:rPr>
        <w:t xml:space="preserve"> </w:t>
      </w:r>
    </w:p>
  </w:endnote>
  <w:endnote w:id="16">
    <w:p w:rsidR="008C6C00" w:rsidRPr="008C6C00">
      <w:pPr>
        <w:spacing w:line="240" w:lineRule="auto"/>
        <w:jc w:val="both"/>
        <w:rPr>
          <w:rFonts w:eastAsia="Poppins" w:asciiTheme="majorHAnsi" w:hAnsiTheme="majorHAnsi" w:cstheme="majorHAnsi"/>
          <w:color w:val="434343"/>
        </w:rPr>
      </w:pPr>
      <w:r w:rsidRPr="008C6C00">
        <w:rPr>
          <w:rFonts w:asciiTheme="majorHAnsi" w:hAnsiTheme="majorHAnsi" w:cstheme="majorHAnsi"/>
          <w:vertAlign w:val="superscript"/>
        </w:rPr>
        <w:endnoteRef/>
      </w:r>
      <w:r w:rsidRPr="008C6C00">
        <w:rPr>
          <w:rFonts w:eastAsia="Poppins" w:asciiTheme="majorHAnsi" w:hAnsiTheme="majorHAnsi" w:cstheme="majorHAnsi"/>
          <w:color w:val="434343"/>
        </w:rPr>
        <w:t xml:space="preserve"> </w:t>
      </w:r>
      <w:r>
        <w:fldChar w:fldCharType="begin"/>
      </w:r>
      <w:r>
        <w:instrText xml:space="preserve"> HYPERLINK "https://cardiff.moderngov.co.uk/documents/s89475/2025-10-16%20City%20Parking%20Plan%20Appendix%203%20-%20The%20City%20Parking%20Plan.pdf" </w:instrText>
      </w:r>
      <w:r>
        <w:fldChar w:fldCharType="separate"/>
      </w:r>
      <w:r w:rsidRPr="008C6C00">
        <w:rPr>
          <w:rFonts w:eastAsia="Poppins" w:asciiTheme="majorHAnsi" w:hAnsiTheme="majorHAnsi" w:cstheme="majorHAnsi"/>
          <w:color w:val="1155CC"/>
          <w:u w:val="single"/>
        </w:rPr>
        <w:t>https://cardiff.moderngov.co.uk/documents/s89475/2025-10-16%20City%20Parking%20Plan%20Appendix%203%20-%20The%20City%20Parking%20Plan.pdf</w:t>
      </w:r>
      <w:r>
        <w:fldChar w:fldCharType="end"/>
      </w:r>
      <w:r w:rsidRPr="008C6C00">
        <w:rPr>
          <w:rFonts w:eastAsia="Poppins" w:asciiTheme="majorHAnsi" w:hAnsiTheme="majorHAnsi" w:cstheme="majorHAnsi"/>
          <w:color w:val="434343"/>
        </w:rPr>
        <w:t xml:space="preserve"> </w:t>
      </w:r>
    </w:p>
  </w:endnote>
  <w:endnote w:id="17">
    <w:p w:rsidR="008C6C00" w:rsidRPr="008C6C00">
      <w:pPr>
        <w:spacing w:line="240" w:lineRule="auto"/>
        <w:rPr>
          <w:rFonts w:eastAsia="Poppins" w:asciiTheme="majorHAnsi" w:hAnsiTheme="majorHAnsi" w:cstheme="majorHAnsi"/>
        </w:rPr>
      </w:pPr>
      <w:r w:rsidRPr="008C6C00">
        <w:rPr>
          <w:rFonts w:asciiTheme="majorHAnsi" w:hAnsiTheme="majorHAnsi" w:cstheme="majorHAnsi"/>
          <w:vertAlign w:val="superscript"/>
        </w:rPr>
        <w:endnoteRef/>
      </w:r>
      <w:r>
        <w:fldChar w:fldCharType="begin"/>
      </w:r>
      <w:r>
        <w:instrText xml:space="preserve"> HYPERLINK "https://www.transportforqualityoflife.com/reports/suv-toolkit-for-cities-options-for-defining-and-addressing-oversized-vehicles/" </w:instrText>
      </w:r>
      <w:r>
        <w:fldChar w:fldCharType="separate"/>
      </w:r>
      <w:r w:rsidRPr="008C6C00">
        <w:rPr>
          <w:rFonts w:eastAsia="Poppins" w:asciiTheme="majorHAnsi" w:hAnsiTheme="majorHAnsi" w:cstheme="majorHAnsi"/>
          <w:color w:val="1155CC"/>
          <w:u w:val="single"/>
        </w:rPr>
        <w:t>https://www.transportforqualityoflife.com/reports/suv-toolkit-for-cities-options-for-defining-and-addressing-oversized-vehicles/</w:t>
      </w:r>
      <w:r>
        <w:fldChar w:fldCharType="end"/>
      </w:r>
      <w:r w:rsidRPr="008C6C00">
        <w:rPr>
          <w:rFonts w:eastAsia="Poppins" w:asciiTheme="majorHAnsi" w:hAnsiTheme="majorHAnsi" w:cstheme="majorHAns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977A320-6F61-4F91-9ABE-A6697921864B}"/>
    <w:embedBold r:id="rId2" w:fontKey="{561C9F3E-7BE3-4EB0-88E1-24A6A2586C21}"/>
    <w:embedItalic r:id="rId3" w:fontKey="{6FFD0244-7302-4BFB-87B6-C5321E7A97ED}"/>
    <w:embedBoldItalic r:id="rId4" w:fontKey="{2425BEF0-68E9-4F55-8902-0588502E224F}"/>
  </w:font>
  <w:font w:name="Poppins">
    <w:charset w:val="00"/>
    <w:family w:val="auto"/>
    <w:pitch w:val="variable"/>
    <w:sig w:usb0="00008007" w:usb1="00000000" w:usb2="00000000" w:usb3="00000000" w:csb0="00000093" w:csb1="00000000"/>
    <w:embedRegular r:id="rId5" w:fontKey="{2A5E4B09-224F-4998-84CE-7341208C7939}"/>
    <w:embedBold r:id="rId6" w:fontKey="{B478CA7A-EA56-4ACA-83D2-2AB7B3AFCFB3}"/>
    <w:embedItalic r:id="rId7" w:fontKey="{860E70E0-6DB8-49ED-BC26-1AADC14E18E0}"/>
    <w:embedBoldItalic r:id="rId8" w:fontKey="{17B9BBA1-1EAA-4B6E-840A-381D109CA5C1}"/>
  </w:font>
  <w:font w:name="Cambria">
    <w:panose1 w:val="02040503050406030204"/>
    <w:charset w:val="00"/>
    <w:family w:val="roman"/>
    <w:pitch w:val="variable"/>
    <w:sig w:usb0="E00006FF" w:usb1="420024FF" w:usb2="02000000" w:usb3="00000000" w:csb0="0000019F" w:csb1="00000000"/>
    <w:embedRegular r:id="rId9" w:fontKey="{6B52B5BB-4B3C-41A4-BE94-06D915EDCD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7B14">
    <w:pPr>
      <w:jc w:val="right"/>
      <w:rPr>
        <w:rFonts w:ascii="Poppins" w:eastAsia="Poppins" w:hAnsi="Poppins" w:cs="Poppin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7B14">
    <w:pP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7B14">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0000004"/>
    <w:multiLevelType w:val="hybridMultilevel"/>
    <w:tmpl w:val="0000000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oNotTrackMoves/>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 w:type="table" w:customStyle="1" w:styleId="Table1">
    <w:name w:val="Table1"/>
    <w:basedOn w:val="TableNormal0"/>
    <w:tblPr>
      <w:tblStyleRowBandSize w:val="1"/>
      <w:tblStyleColBandSize w:val="1"/>
    </w:tblPr>
  </w:style>
  <w:style w:type="table" w:customStyle="1" w:styleId="Table2">
    <w:name w:val="Table2"/>
    <w:basedOn w:val="TableNormal0"/>
    <w:tblPr>
      <w:tblStyleRowBandSize w:val="1"/>
      <w:tblStyleColBandSize w:val="1"/>
    </w:tblPr>
  </w:style>
  <w:style w:type="table" w:customStyle="1" w:styleId="Table3">
    <w:name w:val="Table3"/>
    <w:basedOn w:val="TableNormal0"/>
    <w:tblPr>
      <w:tblStyleRowBandSize w:val="1"/>
      <w:tblStyleColBandSize w:val="1"/>
    </w:tblPr>
  </w:style>
  <w:style w:type="table" w:customStyle="1" w:styleId="Table4">
    <w:name w:val="Table4"/>
    <w:basedOn w:val="TableNormal0"/>
    <w:tblPr>
      <w:tblStyleRowBandSize w:val="1"/>
      <w:tblStyleColBandSize w:val="1"/>
    </w:tblPr>
  </w:style>
  <w:style w:type="table" w:customStyle="1" w:styleId="Table5">
    <w:name w:val="Table5"/>
    <w:basedOn w:val="TableNormal0"/>
    <w:tblPr>
      <w:tblStyleRowBandSize w:val="1"/>
      <w:tblStyleColBandSize w:val="1"/>
    </w:tblPr>
  </w:style>
  <w:style w:type="table" w:customStyle="1" w:styleId="Table6">
    <w:name w:val="Table6"/>
    <w:basedOn w:val="TableNormal0"/>
    <w:tblPr>
      <w:tblStyleRowBandSize w:val="1"/>
      <w:tblStyleColBandSize w:val="1"/>
    </w:tblPr>
  </w:style>
  <w:style w:type="table" w:customStyle="1" w:styleId="Table7">
    <w:name w:val="Table7"/>
    <w:basedOn w:val="TableNormal0"/>
    <w:tblPr>
      <w:tblStyleRowBandSize w:val="1"/>
      <w:tblStyleColBandSize w:val="1"/>
    </w:tblPr>
  </w:style>
  <w:style w:type="table" w:customStyle="1" w:styleId="Table8">
    <w:name w:val="Table8"/>
    <w:basedOn w:val="TableNormal0"/>
    <w:tblPr>
      <w:tblStyleRowBandSize w:val="1"/>
      <w:tblStyleColBandSize w:val="1"/>
    </w:tblPr>
  </w:style>
  <w:style w:type="table" w:customStyle="1" w:styleId="Table9">
    <w:name w:val="Table9"/>
    <w:basedOn w:val="TableNormal0"/>
    <w:tblPr>
      <w:tblStyleRowBandSize w:val="1"/>
      <w:tblStyleColBandSize w:val="1"/>
    </w:tblPr>
  </w:style>
  <w:style w:type="paragraph" w:styleId="Header">
    <w:name w:val="header"/>
    <w:basedOn w:val="Normal"/>
    <w:link w:val="HeaderChar"/>
    <w:uiPriority w:val="99"/>
    <w:unhideWhenUsed/>
    <w:rsid w:val="008C6C00"/>
    <w:pPr>
      <w:tabs>
        <w:tab w:val="center" w:pos="4513"/>
        <w:tab w:val="right" w:pos="9026"/>
      </w:tabs>
      <w:spacing w:line="240" w:lineRule="auto"/>
    </w:pPr>
  </w:style>
  <w:style w:type="character" w:customStyle="1" w:styleId="HeaderChar">
    <w:name w:val="Header Char"/>
    <w:basedOn w:val="DefaultParagraphFont"/>
    <w:link w:val="Header"/>
    <w:uiPriority w:val="99"/>
    <w:rsid w:val="008C6C00"/>
  </w:style>
  <w:style w:type="paragraph" w:styleId="Footer">
    <w:name w:val="footer"/>
    <w:basedOn w:val="Normal"/>
    <w:link w:val="FooterChar"/>
    <w:uiPriority w:val="99"/>
    <w:unhideWhenUsed/>
    <w:rsid w:val="008C6C00"/>
    <w:pPr>
      <w:tabs>
        <w:tab w:val="center" w:pos="4513"/>
        <w:tab w:val="right" w:pos="9026"/>
      </w:tabs>
      <w:spacing w:line="240" w:lineRule="auto"/>
    </w:pPr>
  </w:style>
  <w:style w:type="character" w:customStyle="1" w:styleId="FooterChar">
    <w:name w:val="Footer Char"/>
    <w:basedOn w:val="DefaultParagraphFont"/>
    <w:link w:val="Footer"/>
    <w:uiPriority w:val="99"/>
    <w:rsid w:val="008C6C00"/>
  </w:style>
  <w:style w:type="paragraph" w:styleId="EndnoteText">
    <w:name w:val="endnote text"/>
    <w:basedOn w:val="Normal"/>
    <w:link w:val="EndnoteTextChar"/>
    <w:uiPriority w:val="99"/>
    <w:semiHidden/>
    <w:unhideWhenUsed/>
    <w:rsid w:val="008C6C00"/>
    <w:pPr>
      <w:spacing w:line="240" w:lineRule="auto"/>
    </w:pPr>
    <w:rPr>
      <w:sz w:val="20"/>
      <w:szCs w:val="20"/>
    </w:rPr>
  </w:style>
  <w:style w:type="character" w:customStyle="1" w:styleId="EndnoteTextChar">
    <w:name w:val="Endnote Text Char"/>
    <w:basedOn w:val="DefaultParagraphFont"/>
    <w:link w:val="EndnoteText"/>
    <w:uiPriority w:val="99"/>
    <w:semiHidden/>
    <w:rsid w:val="008C6C00"/>
    <w:rPr>
      <w:sz w:val="20"/>
      <w:szCs w:val="20"/>
    </w:rPr>
  </w:style>
  <w:style w:type="paragraph" w:styleId="FootnoteText">
    <w:name w:val="footnote text"/>
    <w:basedOn w:val="Normal"/>
    <w:link w:val="FootnoteTextChar"/>
    <w:uiPriority w:val="99"/>
    <w:semiHidden/>
    <w:unhideWhenUsed/>
    <w:rsid w:val="008C6C00"/>
    <w:pPr>
      <w:spacing w:line="240" w:lineRule="auto"/>
    </w:pPr>
    <w:rPr>
      <w:sz w:val="20"/>
      <w:szCs w:val="20"/>
    </w:rPr>
  </w:style>
  <w:style w:type="character" w:customStyle="1" w:styleId="FootnoteTextChar">
    <w:name w:val="Footnote Text Char"/>
    <w:basedOn w:val="DefaultParagraphFont"/>
    <w:link w:val="FootnoteText"/>
    <w:uiPriority w:val="99"/>
    <w:semiHidden/>
    <w:rsid w:val="008C6C00"/>
    <w:rPr>
      <w:sz w:val="20"/>
      <w:szCs w:val="20"/>
    </w:rPr>
  </w:style>
  <w:style w:type="character" w:styleId="EndnoteReference">
    <w:name w:val="endnote reference"/>
    <w:basedOn w:val="DefaultParagraphFont"/>
    <w:uiPriority w:val="99"/>
    <w:semiHidden/>
    <w:unhideWhenUsed/>
    <w:rsid w:val="008C6C00"/>
    <w:rPr>
      <w:vertAlign w:val="superscript"/>
    </w:rPr>
  </w:style>
  <w:style w:type="character" w:styleId="FootnoteReference">
    <w:name w:val="footnote reference"/>
    <w:basedOn w:val="DefaultParagraphFont"/>
    <w:uiPriority w:val="99"/>
    <w:semiHidden/>
    <w:unhideWhenUsed/>
    <w:rsid w:val="008C6C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footer" Target="foot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A405B-F258-4AC3-A227-BFFBFAB5527D}">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RSS0060</dc:title>
  <cp:revision>0</cp:revision>
</cp:coreProperties>
</file>