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56167" w:rsidP="15D3423A">
      <w:pPr>
        <w:spacing w:line="276" w:lineRule="auto"/>
        <w:jc w:val="center"/>
        <w:rPr>
          <w:rFonts w:ascii="Aptos" w:eastAsia="Aptos" w:hAnsi="Aptos" w:cs="Aptos"/>
          <w:b/>
          <w:bCs/>
          <w:color w:val="000000" w:themeColor="text1"/>
        </w:rPr>
      </w:pPr>
      <w:r w:rsidRPr="00D56167">
        <w:rPr>
          <w:rFonts w:ascii="Aptos" w:eastAsia="Aptos" w:hAnsi="Aptos" w:cs="Aptos"/>
          <w:b/>
          <w:bCs/>
          <w:color w:val="000000" w:themeColor="text1"/>
        </w:rPr>
        <w:t>Written evidence submitted</w:t>
      </w:r>
      <w:r w:rsidRPr="00D56167">
        <w:rPr>
          <w:rFonts w:ascii="Aptos" w:eastAsia="Aptos" w:hAnsi="Aptos" w:cs="Aptos"/>
          <w:b/>
          <w:bCs/>
          <w:color w:val="000000" w:themeColor="text1"/>
        </w:rPr>
        <w:t xml:space="preserve"> by the </w:t>
      </w:r>
      <w:r w:rsidRPr="00D56167">
        <w:rPr>
          <w:rFonts w:ascii="Aptos" w:eastAsia="Aptos" w:hAnsi="Aptos" w:cs="Aptos"/>
          <w:b/>
          <w:bCs/>
          <w:color w:val="000000" w:themeColor="text1"/>
        </w:rPr>
        <w:t>Muslim Charities Forum (CPS0090)</w:t>
      </w:r>
    </w:p>
    <w:p w:rsidR="00D56167" w:rsidRPr="00D56167" w:rsidP="15D3423A">
      <w:pPr>
        <w:spacing w:line="276" w:lineRule="auto"/>
        <w:jc w:val="center"/>
        <w:rPr>
          <w:rFonts w:ascii="Aptos" w:eastAsia="Aptos" w:hAnsi="Aptos" w:cs="Aptos"/>
        </w:rPr>
      </w:pPr>
    </w:p>
    <w:p w:rsidR="00D56167" w:rsidP="15D3423A">
      <w:pPr>
        <w:spacing w:line="276" w:lineRule="auto"/>
        <w:jc w:val="both"/>
        <w:rPr>
          <w:rFonts w:ascii="Aptos" w:eastAsia="Aptos" w:hAnsi="Aptos" w:cs="Aptos"/>
          <w:color w:val="000000" w:themeColor="text1"/>
        </w:rPr>
      </w:pPr>
      <w:r w:rsidRPr="15D3423A">
        <w:rPr>
          <w:rFonts w:ascii="Aptos" w:eastAsia="Aptos" w:hAnsi="Aptos" w:cs="Aptos"/>
          <w:b/>
          <w:bCs/>
          <w:color w:val="000000" w:themeColor="text1"/>
        </w:rPr>
        <w:t xml:space="preserve">About Muslim Charities Forum </w:t>
      </w:r>
    </w:p>
    <w:p w:rsidR="00D56167" w:rsidP="15D3423A">
      <w:pPr>
        <w:spacing w:line="276" w:lineRule="auto"/>
        <w:jc w:val="both"/>
        <w:rPr>
          <w:rFonts w:ascii="Aptos" w:eastAsia="Aptos" w:hAnsi="Aptos" w:cs="Aptos"/>
          <w:color w:val="000000" w:themeColor="text1"/>
        </w:rPr>
      </w:pPr>
      <w:r w:rsidRPr="15D3423A">
        <w:rPr>
          <w:rFonts w:ascii="Aptos" w:eastAsia="Aptos" w:hAnsi="Aptos" w:cs="Aptos"/>
          <w:color w:val="000000" w:themeColor="text1"/>
        </w:rPr>
        <w:t>Founded in 2007, Muslim Charities Forum (MCF) was established</w:t>
      </w:r>
      <w:r w:rsidRPr="15D3423A">
        <w:rPr>
          <w:rFonts w:ascii="Aptos" w:eastAsia="Aptos" w:hAnsi="Aptos" w:cs="Aptos"/>
          <w:color w:val="000000" w:themeColor="text1"/>
        </w:rPr>
        <w:t xml:space="preserve"> in response to the growing number of Muslim-led charities working for social good in the UK and </w:t>
      </w:r>
      <w:r w:rsidRPr="15D3423A">
        <w:rPr>
          <w:rFonts w:ascii="Aptos" w:eastAsia="Aptos" w:hAnsi="Aptos" w:cs="Aptos"/>
          <w:color w:val="000000" w:themeColor="text1"/>
        </w:rPr>
        <w:t>abroad and</w:t>
      </w:r>
      <w:r w:rsidRPr="15D3423A">
        <w:rPr>
          <w:rFonts w:ascii="Aptos" w:eastAsia="Aptos" w:hAnsi="Aptos" w:cs="Aptos"/>
          <w:color w:val="000000" w:themeColor="text1"/>
        </w:rPr>
        <w:t xml:space="preserve"> serves as a collective network for the Muslim voluntary and community sector (VCS). Through our network, we aim to collectively build a more accountable, transparent, and efficient British Muslim VCS, to contribute towards a more just and sustainable world.</w:t>
      </w:r>
    </w:p>
    <w:p w:rsidR="00D56167" w:rsidP="15D3423A">
      <w:pPr>
        <w:spacing w:line="276" w:lineRule="auto"/>
        <w:jc w:val="both"/>
        <w:rPr>
          <w:rFonts w:ascii="Aptos" w:eastAsia="Aptos" w:hAnsi="Aptos" w:cs="Aptos"/>
          <w:color w:val="000000" w:themeColor="text1"/>
        </w:rPr>
      </w:pPr>
      <w:r w:rsidRPr="15D3423A">
        <w:rPr>
          <w:rFonts w:ascii="Aptos" w:eastAsia="Aptos" w:hAnsi="Aptos" w:cs="Aptos"/>
          <w:b/>
          <w:bCs/>
          <w:color w:val="000000" w:themeColor="text1"/>
        </w:rPr>
        <w:t>Reason for this Submission</w:t>
      </w:r>
    </w:p>
    <w:p w:rsidR="00D56167" w:rsidP="15D3423A">
      <w:pPr>
        <w:spacing w:line="276" w:lineRule="auto"/>
        <w:jc w:val="both"/>
        <w:rPr>
          <w:rFonts w:ascii="Aptos" w:eastAsia="Aptos" w:hAnsi="Aptos" w:cs="Aptos"/>
          <w:color w:val="000000" w:themeColor="text1"/>
        </w:rPr>
      </w:pPr>
      <w:r w:rsidRPr="15D3423A">
        <w:rPr>
          <w:rFonts w:ascii="Aptos" w:eastAsia="Aptos" w:hAnsi="Aptos" w:cs="Aptos"/>
          <w:color w:val="000000" w:themeColor="text1"/>
        </w:rPr>
        <w:t>British Muslims experience disproportionate</w:t>
      </w:r>
      <w:r w:rsidRPr="15D3423A">
        <w:rPr>
          <w:rFonts w:ascii="Aptos" w:eastAsia="Aptos" w:hAnsi="Aptos" w:cs="Aptos"/>
          <w:color w:val="000000" w:themeColor="text1"/>
        </w:rPr>
        <w:t>ly high</w:t>
      </w:r>
      <w:r w:rsidRPr="15D3423A">
        <w:rPr>
          <w:rFonts w:ascii="Aptos" w:eastAsia="Aptos" w:hAnsi="Aptos" w:cs="Aptos"/>
          <w:color w:val="000000" w:themeColor="text1"/>
        </w:rPr>
        <w:t xml:space="preserve"> levels of poverty and deprivation. </w:t>
      </w:r>
      <w:r w:rsidRPr="15D3423A">
        <w:rPr>
          <w:rFonts w:ascii="Aptos" w:eastAsia="Aptos" w:hAnsi="Aptos" w:cs="Aptos"/>
          <w:color w:val="000000" w:themeColor="text1"/>
        </w:rPr>
        <w:t xml:space="preserve">With the </w:t>
      </w:r>
      <w:r w:rsidRPr="15D3423A">
        <w:rPr>
          <w:rFonts w:ascii="Aptos" w:eastAsia="Aptos" w:hAnsi="Aptos" w:cs="Aptos"/>
          <w:color w:val="000000" w:themeColor="text1"/>
        </w:rPr>
        <w:t>proportion of Muslims under 16 almost double that of the overall population</w:t>
      </w:r>
      <w:r w:rsidRPr="15D3423A">
        <w:rPr>
          <w:rFonts w:ascii="Aptos" w:eastAsia="Aptos" w:hAnsi="Aptos" w:cs="Aptos"/>
          <w:color w:val="000000" w:themeColor="text1"/>
        </w:rPr>
        <w:t xml:space="preserve">, issues </w:t>
      </w:r>
      <w:r w:rsidRPr="15D3423A">
        <w:rPr>
          <w:rFonts w:ascii="Aptos" w:eastAsia="Aptos" w:hAnsi="Aptos" w:cs="Aptos"/>
          <w:color w:val="000000" w:themeColor="text1"/>
        </w:rPr>
        <w:t>of</w:t>
      </w:r>
      <w:r w:rsidRPr="15D3423A">
        <w:rPr>
          <w:rFonts w:ascii="Aptos" w:eastAsia="Aptos" w:hAnsi="Aptos" w:cs="Aptos"/>
          <w:color w:val="000000" w:themeColor="text1"/>
        </w:rPr>
        <w:t xml:space="preserve"> child poverty </w:t>
      </w:r>
      <w:r w:rsidRPr="15D3423A">
        <w:rPr>
          <w:rFonts w:ascii="Aptos" w:eastAsia="Aptos" w:hAnsi="Aptos" w:cs="Aptos"/>
          <w:color w:val="000000" w:themeColor="text1"/>
        </w:rPr>
        <w:t>have a significantly greater impact than many other</w:t>
      </w:r>
      <w:r w:rsidRPr="15D3423A">
        <w:rPr>
          <w:rFonts w:ascii="Aptos" w:eastAsia="Aptos" w:hAnsi="Aptos" w:cs="Aptos"/>
          <w:color w:val="000000" w:themeColor="text1"/>
        </w:rPr>
        <w:t xml:space="preserve"> demographic groups. </w:t>
      </w:r>
      <w:r w:rsidRPr="15D3423A">
        <w:rPr>
          <w:rFonts w:ascii="Aptos" w:eastAsia="Aptos" w:hAnsi="Aptos" w:cs="Aptos"/>
          <w:color w:val="000000" w:themeColor="text1"/>
        </w:rPr>
        <w:t>These inequalities underscore the need for the Child Poverty Strategy to include meaningful measures to address systemic socio-economic barriers affecting marginalised groups and those with protected characteristics, including Muslims.</w:t>
      </w:r>
    </w:p>
    <w:p w:rsidR="00D56167" w:rsidP="15D3423A">
      <w:pPr>
        <w:spacing w:line="276" w:lineRule="auto"/>
        <w:jc w:val="both"/>
        <w:rPr>
          <w:rFonts w:ascii="Aptos" w:eastAsia="Aptos" w:hAnsi="Aptos" w:cs="Aptos"/>
          <w:color w:val="000000" w:themeColor="text1"/>
        </w:rPr>
      </w:pPr>
      <w:r w:rsidRPr="15D3423A">
        <w:rPr>
          <w:rFonts w:ascii="Aptos" w:eastAsia="Aptos" w:hAnsi="Aptos" w:cs="Aptos"/>
          <w:color w:val="000000" w:themeColor="text1"/>
        </w:rPr>
        <w:t>A</w:t>
      </w:r>
      <w:r w:rsidRPr="15D3423A">
        <w:rPr>
          <w:rFonts w:ascii="Aptos" w:eastAsia="Aptos" w:hAnsi="Aptos" w:cs="Aptos"/>
          <w:color w:val="000000" w:themeColor="text1"/>
        </w:rPr>
        <w:t xml:space="preserve">s the infrastructure body for the British Muslim-led VCS, </w:t>
      </w:r>
      <w:r w:rsidRPr="15D3423A">
        <w:rPr>
          <w:rFonts w:ascii="Aptos" w:eastAsia="Aptos" w:hAnsi="Aptos" w:cs="Aptos"/>
          <w:color w:val="000000" w:themeColor="text1"/>
        </w:rPr>
        <w:t xml:space="preserve">we work closely with organisations that support households facing financial hardship, as well as those delivering youth programmes aimed at improving long-term outcomes for young Muslims. Through this submission, we seek to highlight these disparities and ensure that the Child Poverty </w:t>
      </w:r>
      <w:r w:rsidRPr="15D3423A">
        <w:rPr>
          <w:rFonts w:ascii="Aptos" w:eastAsia="Aptos" w:hAnsi="Aptos" w:cs="Aptos"/>
          <w:color w:val="000000" w:themeColor="text1"/>
        </w:rPr>
        <w:t>Strategy is</w:t>
      </w:r>
      <w:r w:rsidRPr="15D3423A">
        <w:rPr>
          <w:rFonts w:ascii="Aptos" w:eastAsia="Aptos" w:hAnsi="Aptos" w:cs="Aptos"/>
          <w:color w:val="000000" w:themeColor="text1"/>
        </w:rPr>
        <w:t xml:space="preserve"> genuinely inclusive, resp</w:t>
      </w:r>
      <w:r w:rsidRPr="15D3423A">
        <w:rPr>
          <w:rFonts w:ascii="Aptos" w:eastAsia="Aptos" w:hAnsi="Aptos" w:cs="Aptos"/>
          <w:color w:val="000000" w:themeColor="text1"/>
        </w:rPr>
        <w:t>onsive to the needs of all communities, and capable of building a fairer future for all children.</w:t>
      </w:r>
    </w:p>
    <w:p w:rsidR="00D56167" w:rsidP="0EAD01C8">
      <w:pPr>
        <w:spacing w:after="180"/>
        <w:jc w:val="both"/>
        <w:rPr>
          <w:b/>
          <w:bCs/>
        </w:rPr>
      </w:pPr>
      <w:r w:rsidRPr="15D3423A">
        <w:rPr>
          <w:b/>
          <w:bCs/>
        </w:rPr>
        <w:t>Is t</w:t>
      </w:r>
      <w:r w:rsidRPr="15D3423A">
        <w:rPr>
          <w:b/>
          <w:bCs/>
        </w:rPr>
        <w:t>he Child Poverty Strategy sufficiently ambitious?</w:t>
      </w:r>
    </w:p>
    <w:p w:rsidR="00D56167" w:rsidP="0EAD01C8">
      <w:pPr>
        <w:spacing w:after="180"/>
        <w:jc w:val="both"/>
        <w:rPr>
          <w:rFonts w:ascii="Aptos" w:eastAsia="Aptos" w:hAnsi="Aptos" w:cs="Aptos"/>
        </w:rPr>
      </w:pPr>
      <w:r w:rsidRPr="0EAD01C8">
        <w:rPr>
          <w:rFonts w:ascii="Aptos" w:eastAsia="Aptos" w:hAnsi="Aptos" w:cs="Aptos"/>
        </w:rPr>
        <w:t xml:space="preserve">The </w:t>
      </w:r>
      <w:r w:rsidRPr="0EAD01C8">
        <w:rPr>
          <w:rFonts w:ascii="Aptos" w:eastAsia="Aptos" w:hAnsi="Aptos" w:cs="Aptos"/>
        </w:rPr>
        <w:t>S</w:t>
      </w:r>
      <w:r w:rsidRPr="0EAD01C8">
        <w:rPr>
          <w:rFonts w:ascii="Aptos" w:eastAsia="Aptos" w:hAnsi="Aptos" w:cs="Aptos"/>
        </w:rPr>
        <w:t xml:space="preserve">trategy is not sufficiently ambitious. While it outlines measures to address the root causes of child poverty, it fails to confront the structural inequalities that produce disproportionately poor outcomes for </w:t>
      </w:r>
      <w:r w:rsidRPr="0EAD01C8">
        <w:rPr>
          <w:rFonts w:ascii="Aptos" w:eastAsia="Aptos" w:hAnsi="Aptos" w:cs="Aptos"/>
        </w:rPr>
        <w:t>specific</w:t>
      </w:r>
      <w:r w:rsidRPr="0EAD01C8">
        <w:rPr>
          <w:rFonts w:ascii="Aptos" w:eastAsia="Aptos" w:hAnsi="Aptos" w:cs="Aptos"/>
        </w:rPr>
        <w:t xml:space="preserve"> groups, including those </w:t>
      </w:r>
      <w:r w:rsidRPr="0EAD01C8">
        <w:rPr>
          <w:rFonts w:ascii="Aptos" w:eastAsia="Aptos" w:hAnsi="Aptos" w:cs="Aptos"/>
        </w:rPr>
        <w:t>with protected characteristics such as</w:t>
      </w:r>
      <w:r w:rsidRPr="0EAD01C8">
        <w:rPr>
          <w:rFonts w:ascii="Aptos" w:eastAsia="Aptos" w:hAnsi="Aptos" w:cs="Aptos"/>
        </w:rPr>
        <w:t xml:space="preserve"> religion, ethnicity, disability, or migration status. Its focus </w:t>
      </w:r>
      <w:r w:rsidRPr="0EAD01C8">
        <w:rPr>
          <w:rFonts w:ascii="Aptos" w:eastAsia="Aptos" w:hAnsi="Aptos" w:cs="Aptos"/>
        </w:rPr>
        <w:t>is predominantly</w:t>
      </w:r>
      <w:r w:rsidRPr="0EAD01C8">
        <w:rPr>
          <w:rFonts w:ascii="Aptos" w:eastAsia="Aptos" w:hAnsi="Aptos" w:cs="Aptos"/>
        </w:rPr>
        <w:t xml:space="preserve"> on boosting incomes and providing cost‑of‑living relief, rather than on narrowing the deeper income and wealth gaps between communities. As a result, it offers no clear commitment to reducing inequality itself, distinct from poverty.</w:t>
      </w:r>
    </w:p>
    <w:p w:rsidR="00D56167" w:rsidP="0EAD01C8">
      <w:pPr>
        <w:spacing w:after="180"/>
        <w:jc w:val="both"/>
      </w:pPr>
      <w:r w:rsidRPr="15D3423A">
        <w:rPr>
          <w:rFonts w:ascii="Aptos" w:eastAsia="Aptos" w:hAnsi="Aptos" w:cs="Aptos"/>
        </w:rPr>
        <w:t xml:space="preserve">Analysis by </w:t>
      </w:r>
      <w:r w:rsidRPr="15D3423A">
        <w:rPr>
          <w:rFonts w:ascii="Aptos" w:eastAsia="Aptos" w:hAnsi="Aptos" w:cs="Aptos"/>
        </w:rPr>
        <w:t xml:space="preserve">the </w:t>
      </w:r>
      <w:r w:rsidRPr="15D3423A">
        <w:rPr>
          <w:rFonts w:ascii="Aptos" w:eastAsia="Aptos" w:hAnsi="Aptos" w:cs="Aptos"/>
        </w:rPr>
        <w:t xml:space="preserve">Joseph Rowntree Foundation (JRF) </w:t>
      </w:r>
      <w:r w:rsidRPr="15D3423A">
        <w:rPr>
          <w:rFonts w:ascii="Aptos" w:eastAsia="Aptos" w:hAnsi="Aptos" w:cs="Aptos"/>
        </w:rPr>
        <w:t xml:space="preserve">shows </w:t>
      </w:r>
      <w:r w:rsidRPr="15D3423A">
        <w:rPr>
          <w:rFonts w:ascii="Aptos" w:eastAsia="Aptos" w:hAnsi="Aptos" w:cs="Aptos"/>
        </w:rPr>
        <w:t xml:space="preserve">persistent disparities in poverty and </w:t>
      </w:r>
      <w:r w:rsidRPr="15D3423A">
        <w:rPr>
          <w:rFonts w:ascii="Aptos" w:eastAsia="Aptos" w:hAnsi="Aptos" w:cs="Aptos"/>
        </w:rPr>
        <w:t xml:space="preserve">labour market outcomes </w:t>
      </w:r>
      <w:r w:rsidRPr="15D3423A">
        <w:rPr>
          <w:rFonts w:ascii="Aptos" w:eastAsia="Aptos" w:hAnsi="Aptos" w:cs="Aptos"/>
        </w:rPr>
        <w:t xml:space="preserve">across </w:t>
      </w:r>
      <w:r w:rsidRPr="15D3423A">
        <w:rPr>
          <w:rFonts w:ascii="Aptos" w:eastAsia="Aptos" w:hAnsi="Aptos" w:cs="Aptos"/>
        </w:rPr>
        <w:t>ethnic groups.</w:t>
      </w:r>
      <w:r>
        <w:rPr>
          <w:rStyle w:val="FootnoteReference"/>
          <w:rFonts w:ascii="Aptos" w:eastAsia="Aptos" w:hAnsi="Aptos" w:cs="Aptos"/>
        </w:rPr>
        <w:footnoteReference w:id="2"/>
      </w:r>
      <w:r w:rsidRPr="15D3423A">
        <w:rPr>
          <w:rFonts w:ascii="Aptos" w:eastAsia="Aptos" w:hAnsi="Aptos" w:cs="Aptos"/>
        </w:rPr>
        <w:t xml:space="preserve"> </w:t>
      </w:r>
      <w:r w:rsidRPr="15D3423A">
        <w:rPr>
          <w:rFonts w:ascii="Aptos" w:eastAsia="Aptos" w:hAnsi="Aptos" w:cs="Aptos"/>
        </w:rPr>
        <w:t>Bangladeshi</w:t>
      </w:r>
      <w:r w:rsidRPr="15D3423A">
        <w:rPr>
          <w:rFonts w:ascii="Aptos" w:eastAsia="Aptos" w:hAnsi="Aptos" w:cs="Aptos"/>
        </w:rPr>
        <w:t xml:space="preserve">, Black African, and Pakistani households experience </w:t>
      </w:r>
      <w:r w:rsidRPr="15D3423A">
        <w:rPr>
          <w:rFonts w:ascii="Aptos" w:eastAsia="Aptos" w:hAnsi="Aptos" w:cs="Aptos"/>
        </w:rPr>
        <w:t>some of the highest poverty rates in the UK, inequalities reinforced by labour market patterns in which these communities are disproportionately</w:t>
      </w:r>
      <w:r w:rsidRPr="15D3423A">
        <w:rPr>
          <w:rFonts w:ascii="Aptos" w:eastAsia="Aptos" w:hAnsi="Aptos" w:cs="Aptos"/>
        </w:rPr>
        <w:t xml:space="preserve"> concentrated in low-</w:t>
      </w:r>
      <w:r w:rsidRPr="15D3423A">
        <w:rPr>
          <w:rFonts w:ascii="Aptos" w:eastAsia="Aptos" w:hAnsi="Aptos" w:cs="Aptos"/>
        </w:rPr>
        <w:t>paid</w:t>
      </w:r>
      <w:r w:rsidRPr="15D3423A">
        <w:rPr>
          <w:rFonts w:ascii="Aptos" w:eastAsia="Aptos" w:hAnsi="Aptos" w:cs="Aptos"/>
        </w:rPr>
        <w:t>, insecure work.</w:t>
      </w:r>
      <w:r w:rsidRPr="15D3423A">
        <w:rPr>
          <w:rFonts w:ascii="Aptos" w:eastAsia="Aptos" w:hAnsi="Aptos" w:cs="Aptos"/>
        </w:rPr>
        <w:t xml:space="preserve"> </w:t>
      </w:r>
      <w:r w:rsidRPr="15D3423A">
        <w:rPr>
          <w:rFonts w:ascii="Aptos" w:eastAsia="Aptos" w:hAnsi="Aptos" w:cs="Aptos"/>
        </w:rPr>
        <w:t>Alongside this, they</w:t>
      </w:r>
      <w:r w:rsidRPr="15D3423A">
        <w:rPr>
          <w:rFonts w:ascii="Aptos" w:eastAsia="Aptos" w:hAnsi="Aptos" w:cs="Aptos"/>
        </w:rPr>
        <w:t xml:space="preserve"> </w:t>
      </w:r>
      <w:r w:rsidRPr="15D3423A">
        <w:rPr>
          <w:rFonts w:ascii="Aptos" w:eastAsia="Aptos" w:hAnsi="Aptos" w:cs="Aptos"/>
        </w:rPr>
        <w:t xml:space="preserve">experience frequent </w:t>
      </w:r>
      <w:r w:rsidRPr="15D3423A">
        <w:rPr>
          <w:rFonts w:ascii="Aptos" w:eastAsia="Aptos" w:hAnsi="Aptos" w:cs="Aptos"/>
        </w:rPr>
        <w:t>workplace racism</w:t>
      </w:r>
      <w:r w:rsidRPr="15D3423A">
        <w:rPr>
          <w:rFonts w:ascii="Aptos" w:eastAsia="Aptos" w:hAnsi="Aptos" w:cs="Aptos"/>
        </w:rPr>
        <w:t xml:space="preserve"> and discrimination in at the recruitment stage, as well as limited </w:t>
      </w:r>
      <w:r w:rsidRPr="15D3423A">
        <w:rPr>
          <w:rFonts w:ascii="Aptos" w:eastAsia="Aptos" w:hAnsi="Aptos" w:cs="Aptos"/>
        </w:rPr>
        <w:t>opportunities for progression</w:t>
      </w:r>
      <w:r w:rsidRPr="15D3423A">
        <w:rPr>
          <w:rFonts w:ascii="Aptos" w:eastAsia="Aptos" w:hAnsi="Aptos" w:cs="Aptos"/>
        </w:rPr>
        <w:t xml:space="preserve">. </w:t>
      </w:r>
      <w:r w:rsidRPr="15D3423A">
        <w:rPr>
          <w:rFonts w:ascii="Aptos" w:eastAsia="Aptos" w:hAnsi="Aptos" w:cs="Aptos"/>
        </w:rPr>
        <w:t>Even where educational outcomes have improved for Bangladeshi and Pakistani pupils, who now outperform their White peers, this does not translate into improved employment outcomes or reduced poverty, highlighting the structural nature of these barriers.</w:t>
      </w:r>
      <w:r w:rsidRPr="15D3423A">
        <w:rPr>
          <w:rFonts w:ascii="Aptos" w:eastAsia="Aptos" w:hAnsi="Aptos" w:cs="Aptos"/>
        </w:rPr>
        <w:t xml:space="preserve"> </w:t>
      </w:r>
      <w:r w:rsidRPr="15D3423A">
        <w:rPr>
          <w:rFonts w:ascii="Aptos" w:eastAsia="Aptos" w:hAnsi="Aptos" w:cs="Aptos"/>
        </w:rPr>
        <w:t>These inequalities are compounded by long-term</w:t>
      </w:r>
      <w:r w:rsidRPr="15D3423A">
        <w:t xml:space="preserve"> drivers of disadvantage, such as concentrated wealth, unequal access to housing, and persistent employment disparities</w:t>
      </w:r>
      <w:r w:rsidRPr="15D3423A">
        <w:t>. However, the Child Poverty Strategy does not acknowledge the role of these structural facto</w:t>
      </w:r>
      <w:r w:rsidRPr="15D3423A">
        <w:t>rs in exacerbating poverty</w:t>
      </w:r>
      <w:r w:rsidRPr="15D3423A">
        <w:t xml:space="preserve"> for minoritised groups.</w:t>
      </w:r>
      <w:r>
        <w:rPr>
          <w:rStyle w:val="FootnoteReference"/>
        </w:rPr>
        <w:footnoteReference w:id="3"/>
      </w:r>
      <w:r w:rsidRPr="15D3423A">
        <w:t xml:space="preserve"> </w:t>
      </w:r>
    </w:p>
    <w:p w:rsidR="00D56167" w:rsidP="0EAD01C8">
      <w:pPr>
        <w:spacing w:after="180"/>
        <w:jc w:val="both"/>
      </w:pPr>
      <w:r w:rsidRPr="15D3423A">
        <w:t xml:space="preserve">The Strategy also pays </w:t>
      </w:r>
      <w:r w:rsidRPr="15D3423A">
        <w:t xml:space="preserve">limited attention to intersectional experiences of </w:t>
      </w:r>
      <w:r w:rsidRPr="15D3423A">
        <w:t xml:space="preserve">child </w:t>
      </w:r>
      <w:r w:rsidRPr="15D3423A">
        <w:t>poverty. Although it recognises that some groups are more affected than others, intersectionality is not embedded in the design or evaluation of proposed policies.</w:t>
      </w:r>
      <w:r w:rsidRPr="15D3423A">
        <w:t xml:space="preserve"> The JRF report stresses: “A genuinely effective approach to intersectionality must acknowledge and actively engage with the complex, dynamic interplay of identities and their compounding effects on experiences of inequality.”</w:t>
      </w:r>
      <w:r>
        <w:rPr>
          <w:rStyle w:val="FootnoteReference"/>
        </w:rPr>
        <w:footnoteReference w:id="4"/>
      </w:r>
      <w:r w:rsidRPr="15D3423A">
        <w:t xml:space="preserve"> The </w:t>
      </w:r>
      <w:r w:rsidRPr="15D3423A">
        <w:t>Strategy</w:t>
      </w:r>
      <w:r w:rsidRPr="15D3423A">
        <w:t xml:space="preserve"> does not adopt t</w:t>
      </w:r>
      <w:r w:rsidRPr="15D3423A">
        <w:t xml:space="preserve">his approach, nor </w:t>
      </w:r>
      <w:r w:rsidRPr="15D3423A">
        <w:t xml:space="preserve">does it </w:t>
      </w:r>
      <w:r w:rsidRPr="15D3423A">
        <w:t>address</w:t>
      </w:r>
      <w:r w:rsidRPr="15D3423A">
        <w:t xml:space="preserve"> the</w:t>
      </w:r>
      <w:r w:rsidRPr="15D3423A">
        <w:t xml:space="preserve"> long-term disparities that embed poverty across communities.</w:t>
      </w:r>
    </w:p>
    <w:p w:rsidR="00D56167" w:rsidP="0EAD01C8">
      <w:pPr>
        <w:spacing w:after="180"/>
        <w:jc w:val="both"/>
      </w:pPr>
      <w:r w:rsidRPr="15D3423A">
        <w:rPr>
          <w:rFonts w:ascii="Aptos" w:eastAsia="Aptos" w:hAnsi="Aptos" w:cs="Aptos"/>
        </w:rPr>
        <w:t xml:space="preserve">Overall, the strategy aims to </w:t>
      </w:r>
      <w:r w:rsidRPr="15D3423A">
        <w:rPr>
          <w:rFonts w:ascii="Aptos" w:eastAsia="Aptos" w:hAnsi="Aptos" w:cs="Aptos"/>
        </w:rPr>
        <w:t xml:space="preserve">drive down </w:t>
      </w:r>
      <w:r w:rsidRPr="15D3423A">
        <w:rPr>
          <w:rFonts w:ascii="Aptos" w:eastAsia="Aptos" w:hAnsi="Aptos" w:cs="Aptos"/>
        </w:rPr>
        <w:t xml:space="preserve">child poverty linked to austerity, the cost‑of‑living crisis, and economic downturn. However, it does not grapple with the decades‑long structural factors that have left some families far more vulnerable to deprivation. </w:t>
      </w:r>
      <w:r w:rsidRPr="15D3423A">
        <w:rPr>
          <w:rFonts w:ascii="Aptos" w:eastAsia="Aptos" w:hAnsi="Aptos" w:cs="Aptos"/>
        </w:rPr>
        <w:t>It</w:t>
      </w:r>
      <w:r w:rsidRPr="15D3423A">
        <w:rPr>
          <w:rFonts w:ascii="Aptos" w:eastAsia="Aptos" w:hAnsi="Aptos" w:cs="Aptos"/>
        </w:rPr>
        <w:t xml:space="preserve"> </w:t>
      </w:r>
      <w:r w:rsidRPr="15D3423A">
        <w:rPr>
          <w:rFonts w:ascii="Aptos" w:eastAsia="Aptos" w:hAnsi="Aptos" w:cs="Aptos"/>
        </w:rPr>
        <w:t>appears to prioritise</w:t>
      </w:r>
      <w:r w:rsidRPr="15D3423A">
        <w:rPr>
          <w:rFonts w:ascii="Aptos" w:eastAsia="Aptos" w:hAnsi="Aptos" w:cs="Aptos"/>
        </w:rPr>
        <w:t xml:space="preserve"> short‑term relief rather than long‑term, systemic change.</w:t>
      </w:r>
      <w:r w:rsidRPr="15D3423A">
        <w:rPr>
          <w:rFonts w:ascii="Aptos" w:eastAsia="Aptos" w:hAnsi="Aptos" w:cs="Aptos"/>
        </w:rPr>
        <w:t xml:space="preserve"> </w:t>
      </w:r>
      <w:r>
        <w:t xml:space="preserve">Without targeted </w:t>
      </w:r>
      <w:r>
        <w:t>action</w:t>
      </w:r>
      <w:r>
        <w:t xml:space="preserve"> to </w:t>
      </w:r>
      <w:r>
        <w:t>address</w:t>
      </w:r>
      <w:r>
        <w:t xml:space="preserve"> </w:t>
      </w:r>
      <w:r>
        <w:t xml:space="preserve">child </w:t>
      </w:r>
      <w:r>
        <w:t xml:space="preserve">poverty among marginalised </w:t>
      </w:r>
      <w:r>
        <w:t>communities</w:t>
      </w:r>
      <w:r>
        <w:t xml:space="preserve">, </w:t>
      </w:r>
      <w:r>
        <w:t xml:space="preserve">overall poverty rates may fall while </w:t>
      </w:r>
      <w:r>
        <w:t xml:space="preserve">entrenched equalities persist, leaving some groups no better off and deepening disparities </w:t>
      </w:r>
      <w:r>
        <w:t>in outcomes.</w:t>
      </w:r>
      <w:r>
        <w:t xml:space="preserve"> This will ultimately </w:t>
      </w:r>
      <w:r>
        <w:t>impact</w:t>
      </w:r>
      <w:r>
        <w:t xml:space="preserve"> the life chance</w:t>
      </w:r>
      <w:r>
        <w:t xml:space="preserve">s of children from certain backgrounds, </w:t>
      </w:r>
      <w:r>
        <w:t>entrenching generational inequalities in education, employment, healthcare, and other areas the Strategy itself identifies as consequences of child poverty.</w:t>
      </w:r>
    </w:p>
    <w:p w:rsidR="00D56167" w:rsidP="0EAD01C8">
      <w:pPr>
        <w:jc w:val="both"/>
        <w:rPr>
          <w:b/>
          <w:bCs/>
        </w:rPr>
      </w:pPr>
      <w:r w:rsidRPr="0EAD01C8">
        <w:rPr>
          <w:b/>
          <w:bCs/>
        </w:rPr>
        <w:t>Are there any policies and initiatives that could strengthen outcomes in:</w:t>
      </w:r>
    </w:p>
    <w:p w:rsidR="00D56167" w:rsidP="0EAD01C8">
      <w:pPr>
        <w:pStyle w:val="ListParagraph"/>
        <w:numPr>
          <w:ilvl w:val="0"/>
          <w:numId w:val="8"/>
        </w:numPr>
        <w:jc w:val="both"/>
        <w:rPr>
          <w:b/>
          <w:bCs/>
        </w:rPr>
      </w:pPr>
      <w:r w:rsidRPr="0EAD01C8">
        <w:rPr>
          <w:b/>
          <w:bCs/>
        </w:rPr>
        <w:t>Boosting families' incomes;</w:t>
      </w:r>
    </w:p>
    <w:p w:rsidR="00D56167" w:rsidP="0EAD01C8">
      <w:pPr>
        <w:pStyle w:val="ListParagraph"/>
        <w:numPr>
          <w:ilvl w:val="0"/>
          <w:numId w:val="8"/>
        </w:numPr>
        <w:jc w:val="both"/>
        <w:rPr>
          <w:b/>
          <w:bCs/>
        </w:rPr>
      </w:pPr>
      <w:r w:rsidRPr="0EAD01C8">
        <w:rPr>
          <w:b/>
          <w:bCs/>
        </w:rPr>
        <w:t>Saving families’ money;</w:t>
      </w:r>
    </w:p>
    <w:p w:rsidR="00D56167" w:rsidP="0EAD01C8">
      <w:pPr>
        <w:pStyle w:val="ListParagraph"/>
        <w:numPr>
          <w:ilvl w:val="0"/>
          <w:numId w:val="8"/>
        </w:numPr>
        <w:jc w:val="both"/>
        <w:rPr>
          <w:b/>
          <w:bCs/>
        </w:rPr>
      </w:pPr>
      <w:r w:rsidRPr="0EAD01C8">
        <w:rPr>
          <w:b/>
          <w:bCs/>
        </w:rPr>
        <w:t>Securing families’ finances; and</w:t>
      </w:r>
    </w:p>
    <w:p w:rsidR="00D56167" w:rsidP="0EAD01C8">
      <w:pPr>
        <w:pStyle w:val="ListParagraph"/>
        <w:numPr>
          <w:ilvl w:val="0"/>
          <w:numId w:val="8"/>
        </w:numPr>
        <w:jc w:val="both"/>
        <w:rPr>
          <w:b/>
          <w:bCs/>
        </w:rPr>
      </w:pPr>
      <w:r w:rsidRPr="0EAD01C8">
        <w:rPr>
          <w:b/>
          <w:bCs/>
        </w:rPr>
        <w:t>Strengthening local support</w:t>
      </w:r>
    </w:p>
    <w:p w:rsidR="00D56167" w:rsidP="0EAD01C8">
      <w:pPr>
        <w:jc w:val="both"/>
      </w:pPr>
      <w:r w:rsidRPr="0EAD01C8">
        <w:rPr>
          <w:b/>
          <w:bCs/>
        </w:rPr>
        <w:t>t</w:t>
      </w:r>
      <w:r w:rsidRPr="0EAD01C8">
        <w:rPr>
          <w:b/>
          <w:bCs/>
        </w:rPr>
        <w:t>hat were not included in the Child Poverty Strategy?</w:t>
      </w:r>
    </w:p>
    <w:p w:rsidR="00D56167" w:rsidP="0EAD01C8">
      <w:pPr>
        <w:jc w:val="both"/>
      </w:pPr>
      <w:r w:rsidRPr="0EAD01C8">
        <w:t>The Strategy’s acknowledgement that “partnership working with [VCSE] organisations have suffered, while expectations on them have grown, due to increased poverty” is important, as is its recognition that civil society has been overlooked in recent years.</w:t>
      </w:r>
      <w:r w:rsidRPr="0EAD01C8">
        <w:t xml:space="preserve"> Its stated commitment having the Civil Society Covenant underpin local initiatives </w:t>
      </w:r>
      <w:r w:rsidRPr="0EAD01C8">
        <w:t xml:space="preserve">to deliver better outcomes for communities, such as the Local Covenant Partnerships Fund </w:t>
      </w:r>
      <w:r w:rsidRPr="0EAD01C8">
        <w:t xml:space="preserve">(LCPF) </w:t>
      </w:r>
      <w:r w:rsidRPr="0EAD01C8">
        <w:t>and Pride in Place in a positive step. However, several gaps remain.</w:t>
      </w:r>
    </w:p>
    <w:p w:rsidR="00D56167" w:rsidP="0EAD01C8">
      <w:pPr>
        <w:jc w:val="both"/>
      </w:pPr>
      <w:r w:rsidRPr="0EAD01C8">
        <w:t xml:space="preserve">A stronger focus is needed on BME and faith-led charities, including Muslim organisations, which serve communities experiences the highest rates of child poverty. These organisations require ringfenced, long-term </w:t>
      </w:r>
      <w:r w:rsidRPr="0EAD01C8">
        <w:t xml:space="preserve">funding, particularly through </w:t>
      </w:r>
      <w:r w:rsidRPr="0EAD01C8">
        <w:t>the LCPF, to ensure they have stable resources to support families effectively. Funding should be earmarked for areas with high Muslim populations, such as Birmingham, Bradford, and parts of London</w:t>
      </w:r>
      <w:r w:rsidRPr="0EAD01C8">
        <w:t>, and other regions with concentrated economic disadvantage, ensuring support reaches those most affected.</w:t>
      </w:r>
    </w:p>
    <w:p w:rsidR="00D56167" w:rsidP="15D3423A">
      <w:pPr>
        <w:jc w:val="both"/>
        <w:rPr>
          <w:b/>
          <w:bCs/>
        </w:rPr>
      </w:pPr>
      <w:r w:rsidRPr="15D3423A">
        <w:t xml:space="preserve">Local devolution efforts are also critical. Grassroots organisations should be directly involved in shaping local anti-poverty strategies, co-creating policies and contributing to wider </w:t>
      </w:r>
      <w:r w:rsidRPr="15D3423A">
        <w:t xml:space="preserve">decision-making around public services. These organisations already act as a “fourth emergency service”, </w:t>
      </w:r>
      <w:r w:rsidRPr="15D3423A">
        <w:t>responding to</w:t>
      </w:r>
      <w:r w:rsidRPr="15D3423A">
        <w:t xml:space="preserve"> homelessness, food insecurity, and other </w:t>
      </w:r>
      <w:r w:rsidRPr="15D3423A">
        <w:t>urgent need</w:t>
      </w:r>
      <w:r w:rsidRPr="15D3423A">
        <w:t>s</w:t>
      </w:r>
      <w:r w:rsidRPr="15D3423A">
        <w:t>.</w:t>
      </w:r>
      <w:r>
        <w:rPr>
          <w:rStyle w:val="FootnoteReference"/>
        </w:rPr>
        <w:footnoteReference w:id="5"/>
      </w:r>
    </w:p>
    <w:p w:rsidR="00D56167" w:rsidP="15D3423A">
      <w:pPr>
        <w:jc w:val="both"/>
      </w:pPr>
      <w:r w:rsidRPr="15D3423A">
        <w:t>A clear example is</w:t>
      </w:r>
      <w:r w:rsidRPr="15D3423A">
        <w:t xml:space="preserve"> localised </w:t>
      </w:r>
      <w:r w:rsidRPr="15D3423A">
        <w:t>Z</w:t>
      </w:r>
      <w:r w:rsidRPr="15D3423A">
        <w:t>akat distribution,</w:t>
      </w:r>
      <w:r w:rsidRPr="15D3423A">
        <w:t xml:space="preserve"> </w:t>
      </w:r>
      <w:r w:rsidRPr="15D3423A">
        <w:t xml:space="preserve">which </w:t>
      </w:r>
      <w:r w:rsidRPr="15D3423A">
        <w:t>provides targeted support to</w:t>
      </w:r>
      <w:r w:rsidRPr="15D3423A">
        <w:t xml:space="preserve"> individuals and families facing acute poverty </w:t>
      </w:r>
      <w:r w:rsidRPr="15D3423A">
        <w:t>through cash assistance,</w:t>
      </w:r>
      <w:r w:rsidRPr="15D3423A">
        <w:t xml:space="preserve"> accessing</w:t>
      </w:r>
      <w:r w:rsidRPr="15D3423A">
        <w:t xml:space="preserve"> stable housing, and </w:t>
      </w:r>
      <w:r w:rsidRPr="15D3423A">
        <w:t xml:space="preserve">pathways into </w:t>
      </w:r>
      <w:r w:rsidRPr="15D3423A">
        <w:t>secure employment.</w:t>
      </w:r>
      <w:r w:rsidRPr="15D3423A">
        <w:t xml:space="preserve"> </w:t>
      </w:r>
      <w:r w:rsidRPr="15D3423A">
        <w:t>In 2024, t</w:t>
      </w:r>
      <w:r w:rsidRPr="15D3423A">
        <w:t xml:space="preserve">he National Zakat Foundation (NZF) distributed £6.32 million in Zakat to more </w:t>
      </w:r>
      <w:r w:rsidRPr="15D3423A">
        <w:t>than 25,000 British Muslims</w:t>
      </w:r>
      <w:r w:rsidRPr="15D3423A">
        <w:t xml:space="preserve"> through their</w:t>
      </w:r>
      <w:r w:rsidRPr="15D3423A">
        <w:t xml:space="preserve"> Community Zakat Programme.</w:t>
      </w:r>
      <w:r>
        <w:rPr>
          <w:rStyle w:val="FootnoteReference"/>
        </w:rPr>
        <w:footnoteReference w:id="6"/>
      </w:r>
      <w:r w:rsidRPr="15D3423A">
        <w:t xml:space="preserve"> </w:t>
      </w:r>
      <w:r w:rsidRPr="15D3423A">
        <w:t xml:space="preserve">Beyond helping people </w:t>
      </w:r>
      <w:r w:rsidRPr="15D3423A">
        <w:t>afford the essentials an</w:t>
      </w:r>
      <w:r w:rsidRPr="15D3423A">
        <w:t xml:space="preserve">d get back on their feet, this </w:t>
      </w:r>
      <w:r w:rsidRPr="15D3423A">
        <w:t xml:space="preserve">model </w:t>
      </w:r>
      <w:r w:rsidRPr="15D3423A">
        <w:t xml:space="preserve">strengthens economic resilience and </w:t>
      </w:r>
      <w:r w:rsidRPr="15D3423A">
        <w:t>community cohesion</w:t>
      </w:r>
      <w:r w:rsidRPr="15D3423A">
        <w:t xml:space="preserve"> by empowering those on the margins</w:t>
      </w:r>
      <w:r w:rsidRPr="15D3423A">
        <w:t xml:space="preserve">, </w:t>
      </w:r>
      <w:r w:rsidRPr="15D3423A">
        <w:t>reducing long-term</w:t>
      </w:r>
      <w:r w:rsidRPr="15D3423A">
        <w:t xml:space="preserve"> inequalities</w:t>
      </w:r>
      <w:r w:rsidRPr="15D3423A">
        <w:t xml:space="preserve"> and contributing to a more inclusive, equitable society.</w:t>
      </w:r>
      <w:r>
        <w:rPr>
          <w:rStyle w:val="FootnoteReference"/>
        </w:rPr>
        <w:footnoteReference w:id="7"/>
      </w:r>
    </w:p>
    <w:p w:rsidR="00D56167" w:rsidP="0EAD01C8">
      <w:pPr>
        <w:jc w:val="both"/>
      </w:pPr>
      <w:r w:rsidRPr="0EAD01C8">
        <w:t>To</w:t>
      </w:r>
      <w:r w:rsidRPr="0EAD01C8">
        <w:t xml:space="preserve"> build stronger</w:t>
      </w:r>
      <w:r w:rsidRPr="0EAD01C8">
        <w:t xml:space="preserve"> local support systems, local authorities should work in partnership with these community-led organisations, ensuring services are inclusive, culturally competent, and responsive to local needs. Sustained community-driven </w:t>
      </w:r>
      <w:r w:rsidRPr="0EAD01C8">
        <w:t xml:space="preserve">initiatives </w:t>
      </w:r>
      <w:r w:rsidRPr="0EAD01C8">
        <w:t>are essential for reducing inequalities and driving down child poverty at the local level.</w:t>
      </w:r>
    </w:p>
    <w:p w:rsidR="00D56167" w:rsidP="0EAD01C8">
      <w:pPr>
        <w:jc w:val="both"/>
      </w:pPr>
    </w:p>
    <w:p w:rsidR="00D56167" w:rsidP="0EAD01C8">
      <w:pPr>
        <w:jc w:val="both"/>
        <w:rPr>
          <w:b/>
          <w:bCs/>
        </w:rPr>
      </w:pPr>
      <w:r w:rsidRPr="0EAD01C8">
        <w:rPr>
          <w:b/>
          <w:bCs/>
        </w:rPr>
        <w:t>What will the distributional impacts of the Strategy be, including across the regions and nations of the UK and among different groups of children and families with protected characteristics?</w:t>
      </w:r>
    </w:p>
    <w:p w:rsidR="00D56167" w:rsidP="0EAD01C8">
      <w:pPr>
        <w:jc w:val="both"/>
      </w:pPr>
      <w:r w:rsidRPr="15D3423A">
        <w:t>The Strategy has the potential to deliver tangible benefits for Muslim children and families, particularly those living in the most deprived regions and local authority districts. Child poverty disproportio</w:t>
      </w:r>
      <w:r w:rsidRPr="15D3423A">
        <w:t>nately affects Muslim households, with almost half of Muslims in England and Wales living in poverty, compared with 18% of the general population.</w:t>
      </w:r>
      <w:r>
        <w:rPr>
          <w:rStyle w:val="FootnoteReference"/>
        </w:rPr>
        <w:footnoteReference w:id="8"/>
      </w:r>
      <w:r w:rsidRPr="15D3423A">
        <w:t xml:space="preserve"> Research from the Jose</w:t>
      </w:r>
      <w:r w:rsidRPr="15D3423A">
        <w:t xml:space="preserve">ph Rowntree Foundation shows that </w:t>
      </w:r>
      <w:r w:rsidRPr="15D3423A">
        <w:t xml:space="preserve">9% of </w:t>
      </w:r>
      <w:r w:rsidRPr="15D3423A">
        <w:t>Muslim households also experience the highest rates of very deep poverty</w:t>
      </w:r>
      <w:r w:rsidRPr="15D3423A">
        <w:t>, far exceeding households with no religion (3%</w:t>
      </w:r>
      <w:r w:rsidRPr="15D3423A">
        <w:t>)</w:t>
      </w:r>
      <w:r w:rsidRPr="15D3423A">
        <w:t xml:space="preserve"> and Christian households (2%).</w:t>
      </w:r>
      <w:r>
        <w:rPr>
          <w:rStyle w:val="FootnoteReference"/>
        </w:rPr>
        <w:footnoteReference w:id="9"/>
      </w:r>
      <w:r w:rsidRPr="15D3423A">
        <w:t xml:space="preserve"> This means Muslim children are not only more likely to be poor, but </w:t>
      </w:r>
      <w:r w:rsidRPr="15D3423A">
        <w:t>more likely to be living in the harshest and most entrenched forms of deprivation.</w:t>
      </w:r>
    </w:p>
    <w:p w:rsidR="00D56167" w:rsidP="0EAD01C8">
      <w:pPr>
        <w:jc w:val="both"/>
      </w:pPr>
      <w:r w:rsidRPr="15D3423A">
        <w:t>The fact that Muslims are disproportionately concentrated in the most deprived local authority districts expose them to structural inequalities.</w:t>
      </w:r>
      <w:r>
        <w:rPr>
          <w:rStyle w:val="FootnoteReference"/>
        </w:rPr>
        <w:footnoteReference w:id="10"/>
      </w:r>
      <w:r w:rsidRPr="15D3423A">
        <w:t xml:space="preserve"> </w:t>
      </w:r>
      <w:r w:rsidRPr="15D3423A">
        <w:t>Housing</w:t>
      </w:r>
      <w:r w:rsidRPr="15D3423A">
        <w:t xml:space="preserve"> conditions compound this disadvantage as Muslim families are more likely than any other religious group to live in </w:t>
      </w:r>
      <w:r w:rsidRPr="15D3423A">
        <w:t>overcrowded, shared, or housing without central heating</w:t>
      </w:r>
      <w:r w:rsidRPr="15D3423A">
        <w:t>.</w:t>
      </w:r>
      <w:r>
        <w:rPr>
          <w:rStyle w:val="FootnoteReference"/>
        </w:rPr>
        <w:footnoteReference w:id="11"/>
      </w:r>
      <w:r w:rsidRPr="15D3423A">
        <w:t xml:space="preserve"> This means that for many Muslim children, their experience of poverty is marked by cramped, </w:t>
      </w:r>
      <w:r w:rsidRPr="15D3423A">
        <w:t>unhealthy</w:t>
      </w:r>
      <w:r w:rsidRPr="15D3423A">
        <w:t xml:space="preserve"> living conditions and environments that </w:t>
      </w:r>
      <w:r w:rsidRPr="15D3423A">
        <w:t>undermine their wellbeing and development.</w:t>
      </w:r>
      <w:r w:rsidRPr="15D3423A">
        <w:t xml:space="preserve"> </w:t>
      </w:r>
      <w:r w:rsidRPr="15D3423A">
        <w:t>The two-child benefit limit has had a particularly stark impact on Muslim charities, who tend to have larger than average household sizes. While the removal of the limit is welcome, the policy has already caused cumulative harm to thousands of Muslim children, affecting their wel</w:t>
      </w:r>
      <w:r w:rsidRPr="15D3423A">
        <w:t>lbeing and long-term life chances.</w:t>
      </w:r>
    </w:p>
    <w:p w:rsidR="00D56167" w:rsidP="15D3423A">
      <w:pPr>
        <w:jc w:val="both"/>
        <w:rPr>
          <w:rFonts w:ascii="Aptos" w:eastAsia="Aptos" w:hAnsi="Aptos" w:cs="Aptos"/>
        </w:rPr>
      </w:pPr>
      <w:r w:rsidRPr="15D3423A">
        <w:t>If implemented effectively broader elements of the Strategy, such as boosting families’ incomes and saving them money, would have a positive impact on Muslim households.</w:t>
      </w:r>
      <w:r w:rsidRPr="15D3423A">
        <w:t xml:space="preserve"> Research by Muslim Census shows that Muslim families face acute daily financial pressures, with disproportionate numbers relying on food banks, missing bill payments, or taking out some form of debt to cover urgent costs.</w:t>
      </w:r>
      <w:r>
        <w:rPr>
          <w:rStyle w:val="FootnoteReference"/>
        </w:rPr>
        <w:footnoteReference w:id="12"/>
      </w:r>
      <w:r w:rsidRPr="15D3423A">
        <w:t xml:space="preserve"> </w:t>
      </w:r>
      <w:r w:rsidRPr="15D3423A">
        <w:rPr>
          <w:rFonts w:ascii="Aptos" w:eastAsia="Aptos" w:hAnsi="Aptos" w:cs="Aptos"/>
        </w:rPr>
        <w:t>Muslim Aid</w:t>
      </w:r>
      <w:r w:rsidRPr="15D3423A">
        <w:rPr>
          <w:rFonts w:ascii="Aptos" w:eastAsia="Aptos" w:hAnsi="Aptos" w:cs="Aptos"/>
        </w:rPr>
        <w:t xml:space="preserve"> has similarly found that Muslim adults are twice as likely to experience food insecurity as the general UK </w:t>
      </w:r>
      <w:r w:rsidRPr="15D3423A">
        <w:rPr>
          <w:rFonts w:ascii="Aptos" w:eastAsia="Aptos" w:hAnsi="Aptos" w:cs="Aptos"/>
        </w:rPr>
        <w:t>population.</w:t>
      </w:r>
      <w:r>
        <w:rPr>
          <w:rStyle w:val="FootnoteReference"/>
          <w:rFonts w:ascii="Aptos" w:eastAsia="Aptos" w:hAnsi="Aptos" w:cs="Aptos"/>
        </w:rPr>
        <w:footnoteReference w:id="13"/>
      </w:r>
      <w:r w:rsidRPr="15D3423A">
        <w:rPr>
          <w:rFonts w:ascii="Aptos" w:eastAsia="Aptos" w:hAnsi="Aptos" w:cs="Aptos"/>
        </w:rPr>
        <w:t xml:space="preserve"> Measures easing financial strain for families will therefore directly improve outcomes for Muslim children.</w:t>
      </w:r>
    </w:p>
    <w:p w:rsidR="00D56167" w:rsidP="0EAD01C8">
      <w:pPr>
        <w:jc w:val="both"/>
      </w:pPr>
      <w:r w:rsidRPr="0EAD01C8">
        <w:t>Overall, the Strategy has the potential to reduce poverty among Muslim families and, in turn, positively influence the life chances of Muslim children. However, the absence of distributional targets by religion or ethnicity risk obscuring per</w:t>
      </w:r>
      <w:r w:rsidRPr="0EAD01C8">
        <w:t>sistent inequalities. Without such monitoring, high poverty rates among Muslim households may remain hidden, even if overall child poverty falls. To meaningfully reduce poverty for all children, it is essential that the Strategy recognises and addresses dispariti</w:t>
      </w:r>
      <w:r w:rsidRPr="0EAD01C8">
        <w:t>es affecting groups with protected characteristics, including religion.</w:t>
      </w:r>
    </w:p>
    <w:p w:rsidR="00D56167" w:rsidP="0EAD01C8">
      <w:pPr>
        <w:jc w:val="both"/>
      </w:pPr>
    </w:p>
    <w:p w:rsidR="00D56167" w:rsidP="0EAD01C8">
      <w:pPr>
        <w:jc w:val="both"/>
        <w:rPr>
          <w:b/>
          <w:bCs/>
        </w:rPr>
      </w:pPr>
      <w:r w:rsidRPr="0EAD01C8">
        <w:rPr>
          <w:b/>
          <w:bCs/>
        </w:rPr>
        <w:t>How should the Government support the monitoring and evaluation of actions to reduce child poverty at the local level, and across different protected characteristics? And what data is either available or necessary to achieve this?</w:t>
      </w:r>
    </w:p>
    <w:p w:rsidR="00D56167" w:rsidP="0EAD01C8">
      <w:pPr>
        <w:jc w:val="both"/>
      </w:pPr>
      <w:r w:rsidRPr="0EAD01C8">
        <w:t>Effective monitoring and evaluation of child poverty at the local level requires the Government to work closely with local authorities to establish a robust and consistent framework for local data collection. This should include clear</w:t>
      </w:r>
      <w:r w:rsidRPr="0EAD01C8">
        <w:t xml:space="preserve"> guidance on the indicators used to measure child poverty, the frequency of reporting, and data disaggregation standards. Regular, standardised reporting would ensure that local insi</w:t>
      </w:r>
      <w:r w:rsidRPr="0EAD01C8">
        <w:t>ghts meaningfully inform national policy and support the</w:t>
      </w:r>
      <w:r w:rsidRPr="0EAD01C8">
        <w:t xml:space="preserve"> development of targeted, localised strategies to tackle deprivation.</w:t>
      </w:r>
    </w:p>
    <w:p w:rsidR="00D56167" w:rsidP="0EAD01C8">
      <w:pPr>
        <w:jc w:val="both"/>
      </w:pPr>
      <w:r w:rsidRPr="0EAD01C8">
        <w:t>To facilitate this, local authorities need adequate funding and resources to monitor</w:t>
      </w:r>
      <w:r w:rsidRPr="0EAD01C8">
        <w:t xml:space="preserve"> poverty at local level, including by neighbourhood. Clear, high-quality disaggregated data is essential for understanding how poverty affects</w:t>
      </w:r>
      <w:r w:rsidRPr="0EAD01C8">
        <w:t xml:space="preserve"> different groups of children and families with protected characteristics. Breaking down data by religion, ethnicity, disability, and other relevant characteristics would make visible the inequalities experienced by marginalise</w:t>
      </w:r>
      <w:r w:rsidRPr="0EAD01C8">
        <w:t>d communities and help capture the intersectional nature of poverty.</w:t>
      </w:r>
    </w:p>
    <w:p w:rsidR="00D56167" w:rsidP="0EAD01C8">
      <w:pPr>
        <w:jc w:val="both"/>
      </w:pPr>
      <w:r w:rsidRPr="0EAD01C8">
        <w:t xml:space="preserve">The Government and local authorities should also work in partnership with trusted civil society organisations, including faith-based charities such as NZF. These organisations hold valuable community-level insights, lived experience, and data that can strengthen local understanding of need. Beyond contributing </w:t>
      </w:r>
      <w:r w:rsidRPr="0EAD01C8">
        <w:t>data, they should be enabled to co-create local anti-poverty strategies and, where appropriate, receive funding to conduct supplementary research into local experiences.</w:t>
      </w:r>
    </w:p>
    <w:p w:rsidR="00D56167" w:rsidP="0EAD01C8">
      <w:pPr>
        <w:jc w:val="both"/>
      </w:pPr>
      <w:r w:rsidRPr="0EAD01C8">
        <w:t>Together, these measures would enable more accurate monitoring, more responsive policymaking, and ultimately, more effective action to reduce child poverty across all communities across the UK.</w:t>
      </w:r>
    </w:p>
    <w:p w:rsidR="00D56167" w:rsidP="0EAD01C8">
      <w:pPr>
        <w:jc w:val="both"/>
      </w:pPr>
    </w:p>
    <w:p w:rsidR="00D56167" w:rsidRPr="00D56167" w:rsidP="00D56167">
      <w:pPr>
        <w:jc w:val="right"/>
        <w:rPr>
          <w:b/>
          <w:bCs/>
          <w:i/>
          <w:iCs/>
        </w:rPr>
      </w:pPr>
      <w:r w:rsidRPr="00D56167">
        <w:rPr>
          <w:b/>
          <w:bCs/>
          <w:i/>
          <w:iCs/>
        </w:rPr>
        <w:t>March 2026</w:t>
      </w:r>
    </w:p>
    <w:sectPr>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56167">
      <w:pPr>
        <w:spacing w:after="0" w:line="240" w:lineRule="auto"/>
      </w:pPr>
      <w:r>
        <w:separator/>
      </w:r>
    </w:p>
  </w:footnote>
  <w:footnote w:type="continuationSeparator" w:id="1">
    <w:p w:rsidR="00D56167">
      <w:pPr>
        <w:spacing w:after="0" w:line="240" w:lineRule="auto"/>
      </w:pPr>
      <w:r>
        <w:continuationSeparator/>
      </w:r>
    </w:p>
  </w:footnote>
  <w:footnote w:id="2">
    <w:p w:rsidR="00D56167" w:rsidP="15D3423A">
      <w:pPr>
        <w:pStyle w:val="FootnoteText"/>
      </w:pPr>
      <w:r w:rsidRPr="15D3423A">
        <w:rPr>
          <w:rStyle w:val="FootnoteReference"/>
        </w:rPr>
        <w:footnoteRef/>
      </w:r>
      <w:r>
        <w:t xml:space="preserve"> </w:t>
      </w:r>
      <w:r w:rsidRPr="15D3423A">
        <w:t>“Ethnicity, Poverty and In</w:t>
      </w:r>
      <w:r w:rsidRPr="15D3423A">
        <w:t>‑</w:t>
      </w:r>
      <w:r w:rsidRPr="15D3423A">
        <w:t xml:space="preserve">Work Inequalities in the UK.” 6 February 2026. Joseph Rowntree Foundation. </w:t>
      </w:r>
      <w:r>
        <w:fldChar w:fldCharType="begin"/>
      </w:r>
      <w:r>
        <w:instrText xml:space="preserve"> HYPERLINK "https://www.jrf.org.uk/race-and-ethnicity/ethnicity-poverty-and-in-work-inequalities-in-the-uk" </w:instrText>
      </w:r>
      <w:r>
        <w:fldChar w:fldCharType="separate"/>
      </w:r>
      <w:r w:rsidRPr="15D3423A">
        <w:rPr>
          <w:rStyle w:val="Hyperlink"/>
        </w:rPr>
        <w:t>https://www.jrf.org.uk/race-and-ethnicity/ethnicity-poverty-and-in-work-inequalities-in-the-uk</w:t>
      </w:r>
      <w:r>
        <w:fldChar w:fldCharType="end"/>
      </w:r>
    </w:p>
  </w:footnote>
  <w:footnote w:id="3">
    <w:p w:rsidR="00D56167" w:rsidP="15D3423A">
      <w:pPr>
        <w:pStyle w:val="FootnoteText"/>
      </w:pPr>
      <w:r w:rsidRPr="15D3423A">
        <w:rPr>
          <w:rStyle w:val="FootnoteReference"/>
        </w:rPr>
        <w:footnoteRef/>
      </w:r>
      <w:r>
        <w:t xml:space="preserve"> </w:t>
      </w:r>
      <w:r w:rsidRPr="15D3423A">
        <w:t xml:space="preserve">“Inequality and the Child Poverty Strategy.” 19 January 2026. The Equality Trust. </w:t>
      </w:r>
      <w:r>
        <w:fldChar w:fldCharType="begin"/>
      </w:r>
      <w:r>
        <w:instrText xml:space="preserve"> HYPERLINK "https://equalitytrust.org.uk/evidence-base/briefings/briefing-inequality-and-the-child-poverty-strategy/" </w:instrText>
      </w:r>
      <w:r>
        <w:fldChar w:fldCharType="separate"/>
      </w:r>
      <w:r w:rsidRPr="15D3423A">
        <w:rPr>
          <w:rStyle w:val="Hyperlink"/>
        </w:rPr>
        <w:t>https://equalitytrust.org.uk/evidence-base/briefings/briefing-inequality-and-the-child-poverty-strategy/</w:t>
      </w:r>
      <w:r>
        <w:fldChar w:fldCharType="end"/>
      </w:r>
    </w:p>
    <w:p w:rsidR="00D56167" w:rsidP="15D3423A">
      <w:pPr>
        <w:pStyle w:val="FootnoteText"/>
      </w:pPr>
    </w:p>
  </w:footnote>
  <w:footnote w:id="4">
    <w:p w:rsidR="00D56167" w:rsidP="15D3423A">
      <w:pPr>
        <w:pStyle w:val="FootnoteText"/>
      </w:pPr>
      <w:r w:rsidRPr="15D3423A">
        <w:rPr>
          <w:rStyle w:val="FootnoteReference"/>
        </w:rPr>
        <w:footnoteRef/>
      </w:r>
      <w:r>
        <w:t xml:space="preserve"> </w:t>
      </w:r>
      <w:r w:rsidRPr="15D3423A">
        <w:t xml:space="preserve">“Ethnicity, Poverty and In‑Work Inequalities in the UK.” 6 February 2026. Joseph Rowntree Foundation. </w:t>
      </w:r>
      <w:r>
        <w:fldChar w:fldCharType="begin"/>
      </w:r>
      <w:r>
        <w:instrText xml:space="preserve"> HYPERLINK "https://www.jrf.org.uk/race-and-ethnicity/ethnicity-poverty-and-in-work-inequalities-in-the-uk" </w:instrText>
      </w:r>
      <w:r>
        <w:fldChar w:fldCharType="separate"/>
      </w:r>
      <w:r w:rsidRPr="15D3423A">
        <w:rPr>
          <w:rStyle w:val="Hyperlink"/>
        </w:rPr>
        <w:t>https://www.jrf.org.uk/race-and-ethnicity/ethnicity-poverty-and-in-work-inequalities-in-the-uk</w:t>
      </w:r>
      <w:r>
        <w:fldChar w:fldCharType="end"/>
      </w:r>
    </w:p>
  </w:footnote>
  <w:footnote w:id="5">
    <w:p w:rsidR="00D56167" w:rsidP="15D3423A">
      <w:pPr>
        <w:pStyle w:val="FootnoteText"/>
      </w:pPr>
      <w:r w:rsidRPr="15D3423A">
        <w:rPr>
          <w:rStyle w:val="FootnoteReference"/>
        </w:rPr>
        <w:footnoteRef/>
      </w:r>
      <w:r w:rsidRPr="15D3423A">
        <w:t xml:space="preserve"> </w:t>
      </w:r>
      <w:r w:rsidRPr="15D3423A">
        <w:t xml:space="preserve">“Devolution: Supporting Grassroots Organisations and Empowering Communities.” 18 December 2025. Muslim Charities Forum. </w:t>
      </w:r>
      <w:r>
        <w:fldChar w:fldCharType="begin"/>
      </w:r>
      <w:r>
        <w:instrText xml:space="preserve"> HYPERLINK "https://www.muslimcharitiesforum.org.uk/2025/12/18/devolution-supporting-grassroots-organisations-and-empowering-communities/" </w:instrText>
      </w:r>
      <w:r>
        <w:fldChar w:fldCharType="separate"/>
      </w:r>
      <w:r w:rsidRPr="15D3423A">
        <w:rPr>
          <w:rStyle w:val="Hyperlink"/>
        </w:rPr>
        <w:t>https://www.muslimcharitiesforum.org.uk/2025/12/18/devolution-supporting-grassroots-organisations-and-empowering-communities/</w:t>
      </w:r>
      <w:r>
        <w:fldChar w:fldCharType="end"/>
      </w:r>
      <w:r w:rsidRPr="15D3423A">
        <w:t xml:space="preserve"> </w:t>
      </w:r>
    </w:p>
  </w:footnote>
  <w:footnote w:id="6">
    <w:p w:rsidR="00D56167" w:rsidP="15D3423A">
      <w:pPr>
        <w:pStyle w:val="FootnoteText"/>
      </w:pPr>
      <w:r w:rsidRPr="15D3423A">
        <w:rPr>
          <w:rStyle w:val="FootnoteReference"/>
        </w:rPr>
        <w:footnoteRef/>
      </w:r>
      <w:r>
        <w:t xml:space="preserve"> </w:t>
      </w:r>
      <w:r w:rsidRPr="15D3423A">
        <w:t xml:space="preserve">“Zakat in the UK.” National Zakat Foundation. </w:t>
      </w:r>
      <w:r>
        <w:fldChar w:fldCharType="begin"/>
      </w:r>
      <w:r>
        <w:instrText xml:space="preserve"> HYPERLINK "https://nzf.org.uk/knowledge/zakat-in-the-uk/" </w:instrText>
      </w:r>
      <w:r>
        <w:fldChar w:fldCharType="separate"/>
      </w:r>
      <w:r w:rsidRPr="15D3423A">
        <w:rPr>
          <w:rStyle w:val="Hyperlink"/>
        </w:rPr>
        <w:t>https://nzf.org.uk/knowledge/zakat-in-the-uk/</w:t>
      </w:r>
      <w:r>
        <w:fldChar w:fldCharType="end"/>
      </w:r>
      <w:r w:rsidRPr="15D3423A">
        <w:t xml:space="preserve"> </w:t>
      </w:r>
    </w:p>
  </w:footnote>
  <w:footnote w:id="7">
    <w:p w:rsidR="00D56167" w:rsidP="15D3423A">
      <w:pPr>
        <w:pStyle w:val="FootnoteText"/>
      </w:pPr>
      <w:r w:rsidRPr="15D3423A">
        <w:rPr>
          <w:rStyle w:val="FootnoteReference"/>
        </w:rPr>
        <w:footnoteRef/>
      </w:r>
      <w:r>
        <w:t xml:space="preserve"> “Charity Starts at Home: Tackling Financial Hardship Within Muslim Communities.” 2 February 2026. Muslim Charities Forum. </w:t>
      </w:r>
      <w:r>
        <w:fldChar w:fldCharType="begin"/>
      </w:r>
      <w:r>
        <w:instrText xml:space="preserve"> HYPERLINK "https://www.muslimcharitiesforum.org.uk/2026/02/02/charity-starts-at-home-tackling-financial-hardship-within-muslim-communities/" </w:instrText>
      </w:r>
      <w:r>
        <w:fldChar w:fldCharType="separate"/>
      </w:r>
      <w:r w:rsidRPr="15D3423A">
        <w:rPr>
          <w:rStyle w:val="Hyperlink"/>
        </w:rPr>
        <w:t>https://www.muslimcharitiesforum.org.uk/2026/02/02/charity-starts-at-home-tackling-financial-hardship-within-muslim-communities/</w:t>
      </w:r>
      <w:r>
        <w:fldChar w:fldCharType="end"/>
      </w:r>
      <w:r>
        <w:t xml:space="preserve"> </w:t>
      </w:r>
    </w:p>
  </w:footnote>
  <w:footnote w:id="8">
    <w:p w:rsidR="00D56167" w:rsidP="15D3423A">
      <w:pPr>
        <w:pStyle w:val="FootnoteText"/>
      </w:pPr>
      <w:r w:rsidRPr="15D3423A">
        <w:rPr>
          <w:rStyle w:val="FootnoteReference"/>
        </w:rPr>
        <w:footnoteRef/>
      </w:r>
      <w:r>
        <w:t xml:space="preserve"> “Cost of Living Crisis: The Impact on Muslim Communities.” 10 November 2022. Muslim Census. </w:t>
      </w:r>
      <w:r>
        <w:fldChar w:fldCharType="begin"/>
      </w:r>
      <w:r>
        <w:instrText xml:space="preserve"> HYPERLINK "https://muslimcensus.co.uk/cost-of-living-crisis/" </w:instrText>
      </w:r>
      <w:r>
        <w:fldChar w:fldCharType="separate"/>
      </w:r>
      <w:r w:rsidRPr="15D3423A">
        <w:rPr>
          <w:rStyle w:val="Hyperlink"/>
        </w:rPr>
        <w:t>https://muslimcensus.co.uk/cost-of-living-crisis/</w:t>
      </w:r>
      <w:r>
        <w:fldChar w:fldCharType="end"/>
      </w:r>
      <w:r>
        <w:t xml:space="preserve"> </w:t>
      </w:r>
    </w:p>
  </w:footnote>
  <w:footnote w:id="9">
    <w:p w:rsidR="00D56167" w:rsidP="15D3423A">
      <w:pPr>
        <w:pStyle w:val="FootnoteText"/>
      </w:pPr>
      <w:r w:rsidRPr="15D3423A">
        <w:rPr>
          <w:rStyle w:val="FootnoteReference"/>
        </w:rPr>
        <w:footnoteRef/>
      </w:r>
      <w:r>
        <w:t xml:space="preserve"> “UK Poverty 2026: The Essential Guide to Understanding Poverty in the UK.” 27 January 2026. Joseph Rowntree Foundation. </w:t>
      </w:r>
      <w:r>
        <w:fldChar w:fldCharType="begin"/>
      </w:r>
      <w:r>
        <w:instrText xml:space="preserve"> HYPERLINK "https://www.jrf.org.uk/uk-poverty-2026-the-essential-guide-to-understanding-poverty-in-the-uk" </w:instrText>
      </w:r>
      <w:r>
        <w:fldChar w:fldCharType="separate"/>
      </w:r>
      <w:r w:rsidRPr="15D3423A">
        <w:rPr>
          <w:rStyle w:val="Hyperlink"/>
        </w:rPr>
        <w:t>https://www.jrf.org.uk/uk-poverty-2026-the-essential-guide-to-understanding-poverty-in-the-uk</w:t>
      </w:r>
      <w:r>
        <w:fldChar w:fldCharType="end"/>
      </w:r>
      <w:r>
        <w:t xml:space="preserve"> </w:t>
      </w:r>
    </w:p>
  </w:footnote>
  <w:footnote w:id="10">
    <w:p w:rsidR="00D56167" w:rsidP="15D3423A">
      <w:pPr>
        <w:pStyle w:val="FootnoteText"/>
      </w:pPr>
      <w:r w:rsidRPr="15D3423A">
        <w:rPr>
          <w:rStyle w:val="FootnoteReference"/>
        </w:rPr>
        <w:footnoteRef/>
      </w:r>
      <w:r>
        <w:t xml:space="preserve"> “Striving for Fairness: Summary Report.” January 2024. Muslim Council of Britain.</w:t>
      </w:r>
    </w:p>
    <w:p w:rsidR="00D56167" w:rsidP="15D3423A">
      <w:pPr>
        <w:pStyle w:val="FootnoteText"/>
      </w:pPr>
      <w:r>
        <w:fldChar w:fldCharType="begin"/>
      </w:r>
      <w:r>
        <w:instrText xml:space="preserve"> HYPERLINK "https://mcb.org.uk/wp-content/uploads/2024/01/MCB-Striving-For-Fairness-Summary.pdf" </w:instrText>
      </w:r>
      <w:r>
        <w:fldChar w:fldCharType="separate"/>
      </w:r>
      <w:r w:rsidRPr="15D3423A">
        <w:rPr>
          <w:rStyle w:val="Hyperlink"/>
        </w:rPr>
        <w:t>https://mcb.org.uk/wp-content/uploads/2024/01/MCB-Striving-For-Fairness-Summary.pdf</w:t>
      </w:r>
      <w:r>
        <w:fldChar w:fldCharType="end"/>
      </w:r>
      <w:r>
        <w:t xml:space="preserve"> </w:t>
      </w:r>
    </w:p>
  </w:footnote>
  <w:footnote w:id="11">
    <w:p w:rsidR="00D56167" w:rsidP="15D3423A">
      <w:pPr>
        <w:pStyle w:val="FootnoteText"/>
      </w:pPr>
      <w:r w:rsidRPr="15D3423A">
        <w:rPr>
          <w:rStyle w:val="FootnoteReference"/>
        </w:rPr>
        <w:footnoteRef/>
      </w:r>
      <w:r>
        <w:t xml:space="preserve"> “Religion by Housing, Health, Employment and Education, England and Wales: Census 2021.” March 2023. Office for National Statistics. </w:t>
      </w:r>
      <w:r>
        <w:fldChar w:fldCharType="begin"/>
      </w:r>
      <w:r>
        <w:instrText xml:space="preserve"> HYPERLINK "https://backup.ons.gov.uk/wp-content/uploads/sites/3/2023/03/Religion-by-housing-health-employment-and-education-England-and-Wales-Census-2021.pdf" </w:instrText>
      </w:r>
      <w:r>
        <w:fldChar w:fldCharType="separate"/>
      </w:r>
      <w:r w:rsidRPr="15D3423A">
        <w:rPr>
          <w:rStyle w:val="Hyperlink"/>
        </w:rPr>
        <w:t>https://backup.ons.gov.uk/wp-content/uploads/sites/3/2023/03/Religion-by-housing-health-employment-and-education-England-and-Wales-Census-2021.pdf</w:t>
      </w:r>
      <w:r>
        <w:fldChar w:fldCharType="end"/>
      </w:r>
      <w:r>
        <w:t xml:space="preserve"> </w:t>
      </w:r>
    </w:p>
  </w:footnote>
  <w:footnote w:id="12">
    <w:p w:rsidR="00D56167" w:rsidP="15D3423A">
      <w:pPr>
        <w:pStyle w:val="FootnoteText"/>
      </w:pPr>
      <w:r w:rsidRPr="15D3423A">
        <w:rPr>
          <w:rStyle w:val="FootnoteReference"/>
        </w:rPr>
        <w:footnoteRef/>
      </w:r>
      <w:r>
        <w:t xml:space="preserve"> “Cost of Living Crisis: The Impact on Muslim Communities.” 10 November 2022. Muslim Census. </w:t>
      </w:r>
      <w:r>
        <w:fldChar w:fldCharType="begin"/>
      </w:r>
      <w:r>
        <w:instrText xml:space="preserve"> HYPERLINK "https://muslimcensus.co.uk/cost-of-living-crisis/" </w:instrText>
      </w:r>
      <w:r>
        <w:fldChar w:fldCharType="separate"/>
      </w:r>
      <w:r w:rsidRPr="15D3423A">
        <w:rPr>
          <w:rStyle w:val="Hyperlink"/>
        </w:rPr>
        <w:t>https://muslimcensus.co.uk/cost-of-living-crisis/</w:t>
      </w:r>
      <w:r>
        <w:fldChar w:fldCharType="end"/>
      </w:r>
    </w:p>
  </w:footnote>
  <w:footnote w:id="13">
    <w:p w:rsidR="00D56167" w:rsidP="15D3423A">
      <w:pPr>
        <w:pStyle w:val="FootnoteText"/>
      </w:pPr>
      <w:r w:rsidRPr="15D3423A">
        <w:rPr>
          <w:rStyle w:val="FootnoteReference"/>
        </w:rPr>
        <w:footnoteRef/>
      </w:r>
      <w:r>
        <w:t xml:space="preserve"> “Muslim Adults Twice as Likely to Experience Food Insecurity as Wider UK Population, New Survey Reveals.” February 2026. Muslim Aid. </w:t>
      </w:r>
      <w:r>
        <w:fldChar w:fldCharType="begin"/>
      </w:r>
      <w:r>
        <w:instrText xml:space="preserve"> HYPERLINK "https://www.muslimaid.org/media-centre/news/muslim-adults-twice-as-likely-to-experience-food-insecurity-as-wider-uk-population-new-survey-revea/" </w:instrText>
      </w:r>
      <w:r>
        <w:fldChar w:fldCharType="separate"/>
      </w:r>
      <w:r w:rsidRPr="15D3423A">
        <w:rPr>
          <w:rStyle w:val="Hyperlink"/>
        </w:rPr>
        <w:t>https://www.muslimaid.org/media-centre/news/muslim-adults-twice-as-likely-to-experience-food-insecurity-as-wider-uk-population-new-survey-revea/</w:t>
      </w:r>
      <w:r>
        <w:fldChar w:fldCharType="end"/>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EE71C"/>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1DFCF248"/>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25F79C2A"/>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2E1F647A"/>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38192AFD"/>
    <w:multiLevelType w:val="hybridMultilevel"/>
    <w:tmpl w:val="00000000"/>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4E33E3E2"/>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4E7735E7"/>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5FCE87FC"/>
    <w:multiLevelType w:val="hybridMultilevel"/>
    <w:tmpl w:val="00000000"/>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7D09AA96"/>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0"/>
  </w:num>
  <w:num w:numId="4">
    <w:abstractNumId w:val="6"/>
  </w:num>
  <w:num w:numId="5">
    <w:abstractNumId w:val="2"/>
  </w:num>
  <w:num w:numId="6">
    <w:abstractNumId w:val="1"/>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4A7270B"/>
    <w:pPr>
      <w:ind w:left="720"/>
      <w:contextualSpacing/>
    </w:pPr>
  </w:style>
  <w:style w:type="character" w:styleId="Hyperlink">
    <w:name w:val="Hyperlink"/>
    <w:basedOn w:val="DefaultParagraphFont"/>
    <w:uiPriority w:val="99"/>
    <w:unhideWhenUsed/>
    <w:rsid w:val="0A39706A"/>
    <w:rPr>
      <w:color w:val="467886"/>
      <w:u w:val="single"/>
    </w:rPr>
  </w:style>
  <w:style w:type="paragraph" w:styleId="FootnoteText">
    <w:name w:val="footnote text"/>
    <w:basedOn w:val="Normal"/>
    <w:uiPriority w:val="99"/>
    <w:semiHidden/>
    <w:unhideWhenUsed/>
    <w:rsid w:val="15D3423A"/>
    <w:pPr>
      <w:spacing w:after="0" w:line="240" w:lineRule="auto"/>
    </w:pPr>
    <w:rPr>
      <w:sz w:val="20"/>
      <w:szCs w:val="20"/>
    </w:rPr>
  </w:style>
  <w:style w:type="character" w:styleId="FootnoteReference">
    <w:name w:val="footnote reference"/>
    <w:basedOn w:val="DefaultParagraphFont"/>
    <w:uiPriority w:val="99"/>
    <w:semiHidden/>
    <w:unhideWhenUsed/>
    <w:rsid w:val="15D342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2570EAFEB7E34A8986F408BE04017E" ma:contentTypeVersion="19" ma:contentTypeDescription="Create a new document." ma:contentTypeScope="" ma:versionID="7fca6ac7414b5d078dc7a46b08987340">
  <xsd:schema xmlns:xsd="http://www.w3.org/2001/XMLSchema" xmlns:xs="http://www.w3.org/2001/XMLSchema" xmlns:p="http://schemas.microsoft.com/office/2006/metadata/properties" xmlns:ns2="bb1e6d05-6dfa-46d8-b129-cf18373e619b" xmlns:ns3="cf6506f3-65c8-423f-bc16-15c9aea3af07" targetNamespace="http://schemas.microsoft.com/office/2006/metadata/properties" ma:root="true" ma:fieldsID="455ba456d62df4803b7d23959d9128e5" ns2:_="" ns3:_="">
    <xsd:import namespace="bb1e6d05-6dfa-46d8-b129-cf18373e619b"/>
    <xsd:import namespace="cf6506f3-65c8-423f-bc16-15c9aea3af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Notes" minOccurs="0"/>
                <xsd:element ref="ns2:MediaServiceLocation" minOccurs="0"/>
                <xsd:element ref="ns2:Pos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1e6d05-6dfa-46d8-b129-cf18373e6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61296f8-27de-4318-80d3-dfd6145a856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otes" ma:index="24" nillable="true" ma:displayName="Status" ma:format="Dropdown" ma:internalName="Notes">
      <xsd:simpleType>
        <xsd:restriction base="dms:Choice">
          <xsd:enumeration value="FI to Review"/>
          <xsd:enumeration value="Ready to print"/>
          <xsd:enumeration value="Completed"/>
          <xsd:enumeration value="In Progress"/>
        </xsd:restriction>
      </xsd:simpleType>
    </xsd:element>
    <xsd:element name="MediaServiceLocation" ma:index="25" nillable="true" ma:displayName="Location" ma:indexed="true" ma:internalName="MediaServiceLocation" ma:readOnly="true">
      <xsd:simpleType>
        <xsd:restriction base="dms:Text"/>
      </xsd:simpleType>
    </xsd:element>
    <xsd:element name="Posted" ma:index="26" nillable="true" ma:displayName="Posted" ma:format="Dropdown" ma:internalName="Post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6506f3-65c8-423f-bc16-15c9aea3af0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92be06-5d6d-45e3-b616-e977edfef2a5}" ma:internalName="TaxCatchAll" ma:showField="CatchAllData" ma:web="cf6506f3-65c8-423f-bc16-15c9aea3af0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osted xmlns="bb1e6d05-6dfa-46d8-b129-cf18373e619b" xsi:nil="true"/>
    <TaxCatchAll xmlns="cf6506f3-65c8-423f-bc16-15c9aea3af07" xsi:nil="true"/>
    <Notes xmlns="bb1e6d05-6dfa-46d8-b129-cf18373e619b" xsi:nil="true"/>
    <lcf76f155ced4ddcb4097134ff3c332f xmlns="bb1e6d05-6dfa-46d8-b129-cf18373e61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DF320B-F1AE-454B-8231-8AA6A0A91268}">
  <ds:schemaRefs/>
</ds:datastoreItem>
</file>

<file path=customXml/itemProps2.xml><?xml version="1.0" encoding="utf-8"?>
<ds:datastoreItem xmlns:ds="http://schemas.openxmlformats.org/officeDocument/2006/customXml" ds:itemID="{845F785D-7FB9-4971-8FDE-26B1F299232C}">
  <ds:schemaRefs/>
</ds:datastoreItem>
</file>

<file path=customXml/itemProps3.xml><?xml version="1.0" encoding="utf-8"?>
<ds:datastoreItem xmlns:ds="http://schemas.openxmlformats.org/officeDocument/2006/customXml" ds:itemID="{462818D8-F99A-4BAE-882C-97062C39387B}">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CPS0090</dc:title>
  <cp:revision>0</cp:revision>
</cp:coreProperties>
</file>