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webextensions/taskpanes.xml" ContentType="application/vnd.ms-office.webextensiontaskpane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11/relationships/webextensiontaskpanes" Target="word/webextensions/taskpanes.xml" /><Relationship Id="rId5"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732CA" w:rsidRPr="007E73AB" w:rsidP="007E73AB">
      <w:pPr>
        <w:pStyle w:val="Heading2"/>
        <w:jc w:val="center"/>
        <w:rPr>
          <w:color w:val="auto"/>
          <w:sz w:val="26"/>
          <w:szCs w:val="26"/>
        </w:rPr>
      </w:pPr>
      <w:r>
        <w:rPr>
          <w:color w:val="auto"/>
          <w:sz w:val="26"/>
          <w:szCs w:val="26"/>
        </w:rPr>
        <w:t>Written evidence submitted by UK Finance [CLR 249]</w:t>
      </w:r>
    </w:p>
    <w:p w:rsidR="00C020CB" w:rsidRPr="00C020CB" w:rsidP="00C020CB">
      <w:pPr>
        <w:pStyle w:val="Heading2"/>
      </w:pPr>
      <w:r w:rsidRPr="00C020CB">
        <w:t>Introduction </w:t>
      </w:r>
    </w:p>
    <w:p w:rsidR="00C020CB" w:rsidP="00C020CB">
      <w:pPr>
        <w:jc w:val="both"/>
      </w:pPr>
      <w:r w:rsidRPr="00C020CB">
        <w:t>UK Finance is a centre of trust, </w:t>
      </w:r>
      <w:r w:rsidRPr="00C020CB" w:rsidR="00FC3C67">
        <w:t>expertise,</w:t>
      </w:r>
      <w:r w:rsidRPr="00C020CB">
        <w:t> and collaboration at the heart of financial services. We represent 300 firms, including 120 first</w:t>
      </w:r>
      <w:r>
        <w:t>-</w:t>
      </w:r>
      <w:r w:rsidRPr="00C020CB">
        <w:t>charge mortgage lenders. These lenders include banks, building societies and nonbank lenders providing mortgages to all parts of the UK’s housing market: owner</w:t>
      </w:r>
      <w:r>
        <w:t>-</w:t>
      </w:r>
      <w:r w:rsidRPr="00C020CB">
        <w:t>occupied, buy-to-let, later life lending, self</w:t>
      </w:r>
      <w:r>
        <w:t>-</w:t>
      </w:r>
      <w:r w:rsidRPr="00C020CB">
        <w:t>build, shared ownership, social and affordable housing. They also lend and invest to support housing associations and social housing providers as well the wider homebuilding sector.</w:t>
      </w:r>
      <w:r w:rsidR="004D7E38">
        <w:t xml:space="preserve"> </w:t>
      </w:r>
      <w:r w:rsidR="00DD1B45">
        <w:t xml:space="preserve">Within the </w:t>
      </w:r>
      <w:r w:rsidR="00673595">
        <w:t xml:space="preserve">300 firms we represent we also have </w:t>
      </w:r>
      <w:r w:rsidRPr="00673595" w:rsidR="00673595">
        <w:t>members that provide services and finance for business, ensuring that UK firms get the support they need to thrive. </w:t>
      </w:r>
      <w:r w:rsidR="00A31348">
        <w:t xml:space="preserve">Their interests can span commercial investors, pensions funds and freeholders. </w:t>
      </w:r>
    </w:p>
    <w:p w:rsidR="001821CE" w:rsidRPr="001821CE" w:rsidP="00881D71">
      <w:pPr>
        <w:pStyle w:val="Heading2"/>
      </w:pPr>
      <w:r w:rsidRPr="001821CE">
        <w:t>Policy objectives </w:t>
      </w:r>
    </w:p>
    <w:p w:rsidR="001821CE" w:rsidRPr="009B235A" w:rsidP="001821CE">
      <w:pPr>
        <w:numPr>
          <w:ilvl w:val="0"/>
          <w:numId w:val="9"/>
        </w:numPr>
        <w:rPr>
          <w:b/>
          <w:bCs/>
        </w:rPr>
      </w:pPr>
      <w:r w:rsidRPr="001821CE">
        <w:rPr>
          <w:b/>
          <w:bCs/>
        </w:rPr>
        <w:t>How effectively does the draft Bill meet the Government's own policy intentions, including its commitment to “bring the feudal leasehold system to an end”? </w:t>
      </w:r>
    </w:p>
    <w:p w:rsidR="00AA1B39" w:rsidP="009B235A">
      <w:r>
        <w:t>UK Finance’s</w:t>
      </w:r>
      <w:r>
        <w:t xml:space="preserve"> </w:t>
      </w:r>
      <w:r>
        <w:t>members</w:t>
      </w:r>
      <w:r>
        <w:t xml:space="preserve"> </w:t>
      </w:r>
      <w:r w:rsidR="004B2517">
        <w:t>generally agree that the</w:t>
      </w:r>
      <w:r w:rsidR="000C3D80">
        <w:t xml:space="preserve"> following</w:t>
      </w:r>
      <w:r w:rsidR="004B2517">
        <w:t xml:space="preserve"> measures will effectively address the injustices that exist within leasehold</w:t>
      </w:r>
      <w:r w:rsidR="000C3D80">
        <w:t>:</w:t>
      </w:r>
    </w:p>
    <w:p w:rsidR="000C3D80" w:rsidP="00AA1B39">
      <w:pPr>
        <w:pStyle w:val="ListParagraph"/>
      </w:pPr>
      <w:r>
        <w:t>The removal of unaffordable ground rents</w:t>
      </w:r>
      <w:r w:rsidR="005D7CAC">
        <w:t>.</w:t>
      </w:r>
      <w:r>
        <w:t xml:space="preserve"> </w:t>
      </w:r>
    </w:p>
    <w:p w:rsidR="000C3D80" w:rsidP="000C3D80">
      <w:pPr>
        <w:pStyle w:val="ListParagraph"/>
      </w:pPr>
      <w:r>
        <w:t>The abolishment of for</w:t>
      </w:r>
      <w:r w:rsidR="00822D55">
        <w:t>feiture</w:t>
      </w:r>
      <w:r w:rsidR="005D7CAC">
        <w:t>.</w:t>
      </w:r>
      <w:r w:rsidR="00822D55">
        <w:t xml:space="preserve"> </w:t>
      </w:r>
    </w:p>
    <w:p w:rsidR="000C3D80" w:rsidP="00096702">
      <w:pPr>
        <w:pStyle w:val="ListParagraph"/>
      </w:pPr>
      <w:r>
        <w:t xml:space="preserve">The regulation of estate </w:t>
      </w:r>
      <w:r>
        <w:t>rentcharges</w:t>
      </w:r>
      <w:r>
        <w:t xml:space="preserve"> enforcement</w:t>
      </w:r>
      <w:r w:rsidR="005D7CAC">
        <w:t>.</w:t>
      </w:r>
      <w:r w:rsidR="00B53DFF">
        <w:t xml:space="preserve"> </w:t>
      </w:r>
    </w:p>
    <w:p w:rsidR="00D26A3C" w:rsidP="004A133A">
      <w:r>
        <w:t>Otherwise,</w:t>
      </w:r>
      <w:r w:rsidR="0055709D">
        <w:t xml:space="preserve"> members consider</w:t>
      </w:r>
      <w:r>
        <w:t xml:space="preserve"> the existing</w:t>
      </w:r>
      <w:r w:rsidRPr="00DF7EC3" w:rsidR="00DF7EC3">
        <w:t> leasehold market </w:t>
      </w:r>
      <w:r w:rsidR="00975373">
        <w:t xml:space="preserve">to </w:t>
      </w:r>
      <w:r w:rsidRPr="00DF7EC3" w:rsidR="00DF7EC3">
        <w:t>generally work well for most homeowners</w:t>
      </w:r>
      <w:r w:rsidR="0055709D">
        <w:t>.</w:t>
      </w:r>
      <w:r w:rsidR="00C725A7">
        <w:t xml:space="preserve"> </w:t>
      </w:r>
      <w:r w:rsidR="0020436A">
        <w:t xml:space="preserve">Ending </w:t>
      </w:r>
      <w:r w:rsidR="00AB56E3">
        <w:t xml:space="preserve">the leasehold system is a significant change that will impact </w:t>
      </w:r>
      <w:r w:rsidR="00975373">
        <w:t>most</w:t>
      </w:r>
      <w:r w:rsidR="00AB56E3">
        <w:t xml:space="preserve"> areas o</w:t>
      </w:r>
      <w:r w:rsidR="00602993">
        <w:t xml:space="preserve">f </w:t>
      </w:r>
      <w:r w:rsidR="00AB56E3">
        <w:t>the homebuying and selling process</w:t>
      </w:r>
      <w:r w:rsidR="004A133A">
        <w:t xml:space="preserve">. </w:t>
      </w:r>
    </w:p>
    <w:p w:rsidR="00C50241" w:rsidP="004A133A">
      <w:r>
        <w:t xml:space="preserve">Moving to commonhold will </w:t>
      </w:r>
      <w:r w:rsidR="00C23CE3">
        <w:t>be a significant industry wide change that will</w:t>
      </w:r>
      <w:r w:rsidR="00306BA5">
        <w:t xml:space="preserve"> introduce new risks to properties of this tenure, and</w:t>
      </w:r>
      <w:r w:rsidR="00C23CE3">
        <w:t xml:space="preserve"> </w:t>
      </w:r>
      <w:r>
        <w:t xml:space="preserve">likely </w:t>
      </w:r>
      <w:r w:rsidRPr="00F80869">
        <w:t xml:space="preserve">impact the initial mortgage-ability, </w:t>
      </w:r>
      <w:r w:rsidRPr="00DF7EC3">
        <w:t>of the</w:t>
      </w:r>
      <w:r>
        <w:t xml:space="preserve"> unit</w:t>
      </w:r>
      <w:r w:rsidR="00C23CE3">
        <w:t>, including its value</w:t>
      </w:r>
      <w:r>
        <w:t xml:space="preserve">. </w:t>
      </w:r>
    </w:p>
    <w:p w:rsidR="008C54FD" w:rsidP="004A133A">
      <w:r>
        <w:t xml:space="preserve">Introducing a </w:t>
      </w:r>
      <w:r w:rsidR="00AC2DAF">
        <w:t>commonhold conversion process</w:t>
      </w:r>
      <w:r>
        <w:t xml:space="preserve"> </w:t>
      </w:r>
      <w:r w:rsidR="009D2AB3">
        <w:t xml:space="preserve">adds significant </w:t>
      </w:r>
      <w:r w:rsidR="006B41EC">
        <w:t>complexities</w:t>
      </w:r>
      <w:r w:rsidR="009D2AB3">
        <w:t xml:space="preserve"> and</w:t>
      </w:r>
      <w:r w:rsidR="006B41EC">
        <w:t xml:space="preserve"> risk</w:t>
      </w:r>
      <w:r w:rsidR="009D2AB3">
        <w:t>.</w:t>
      </w:r>
      <w:r w:rsidR="006B41EC">
        <w:t xml:space="preserve"> </w:t>
      </w:r>
      <w:r w:rsidR="00B5724C">
        <w:t xml:space="preserve">Current </w:t>
      </w:r>
      <w:r w:rsidR="00455581">
        <w:t>proposals</w:t>
      </w:r>
      <w:r w:rsidR="00851CF2">
        <w:t xml:space="preserve"> </w:t>
      </w:r>
      <w:r w:rsidR="00B5724C">
        <w:t>could</w:t>
      </w:r>
      <w:r w:rsidR="00851CF2">
        <w:t xml:space="preserve"> </w:t>
      </w:r>
      <w:r w:rsidR="00AC2DAF">
        <w:t>creat</w:t>
      </w:r>
      <w:r w:rsidR="00B5724C">
        <w:t>e</w:t>
      </w:r>
      <w:r w:rsidR="00AC2DAF">
        <w:t xml:space="preserve"> a </w:t>
      </w:r>
      <w:r>
        <w:t xml:space="preserve">fragmented </w:t>
      </w:r>
      <w:r w:rsidR="00AC2DAF">
        <w:t xml:space="preserve">multi-tier market of </w:t>
      </w:r>
      <w:r w:rsidR="00FE099A">
        <w:t xml:space="preserve">property tenure: freehold, existing leasehold </w:t>
      </w:r>
      <w:r w:rsidR="00C57CA2">
        <w:t xml:space="preserve">properties </w:t>
      </w:r>
      <w:r w:rsidR="00FE099A">
        <w:t>(</w:t>
      </w:r>
      <w:r w:rsidR="00C57CA2">
        <w:t xml:space="preserve">including </w:t>
      </w:r>
      <w:r w:rsidR="00FE099A">
        <w:t>unconverted</w:t>
      </w:r>
      <w:r w:rsidR="00C57CA2">
        <w:t xml:space="preserve"> flats</w:t>
      </w:r>
      <w:r w:rsidR="00FE099A">
        <w:t xml:space="preserve">), converted </w:t>
      </w:r>
      <w:r w:rsidR="00C57CA2">
        <w:t xml:space="preserve">commonhold </w:t>
      </w:r>
      <w:r w:rsidR="00FE099A">
        <w:t xml:space="preserve">units, and </w:t>
      </w:r>
      <w:r w:rsidR="00BE7A42">
        <w:t>new build commonhold units.</w:t>
      </w:r>
      <w:r w:rsidR="008F2F10">
        <w:t xml:space="preserve"> </w:t>
      </w:r>
    </w:p>
    <w:p w:rsidR="00E33FA7" w:rsidP="004A133A">
      <w:r>
        <w:t xml:space="preserve">Reducing the leaseholder </w:t>
      </w:r>
      <w:r w:rsidR="00CF1B8E">
        <w:t xml:space="preserve">consent </w:t>
      </w:r>
      <w:r>
        <w:t>threshold to</w:t>
      </w:r>
      <w:r w:rsidR="003E1BB1">
        <w:t xml:space="preserve"> 50 per cent</w:t>
      </w:r>
      <w:r w:rsidR="00C725A7">
        <w:t xml:space="preserve"> to convert to commonhold</w:t>
      </w:r>
      <w:r w:rsidR="003E1BB1">
        <w:t xml:space="preserve"> </w:t>
      </w:r>
      <w:r w:rsidR="00693727">
        <w:t xml:space="preserve">may result in </w:t>
      </w:r>
      <w:r w:rsidR="00E8745F">
        <w:t xml:space="preserve">mixed tenure </w:t>
      </w:r>
      <w:r w:rsidR="0050128B">
        <w:t>blocks</w:t>
      </w:r>
      <w:r w:rsidR="00F015EE">
        <w:t>, which</w:t>
      </w:r>
      <w:r w:rsidR="008E66E4">
        <w:t xml:space="preserve"> </w:t>
      </w:r>
      <w:r w:rsidR="00693727">
        <w:t>would be highly</w:t>
      </w:r>
      <w:r w:rsidR="00E8745F">
        <w:t xml:space="preserve"> problematic</w:t>
      </w:r>
      <w:r w:rsidR="00700316">
        <w:t xml:space="preserve">. </w:t>
      </w:r>
      <w:r w:rsidR="00782DA6">
        <w:t>M</w:t>
      </w:r>
      <w:r w:rsidR="00700316">
        <w:t>ixed tenure blocks</w:t>
      </w:r>
      <w:r w:rsidR="00782DA6">
        <w:t xml:space="preserve"> are likely to be</w:t>
      </w:r>
      <w:r w:rsidR="00F170CC">
        <w:t xml:space="preserve"> harder to mortgage, </w:t>
      </w:r>
      <w:r w:rsidR="00782DA6">
        <w:t xml:space="preserve">potentially </w:t>
      </w:r>
      <w:r w:rsidR="00F170CC">
        <w:t xml:space="preserve">creating new </w:t>
      </w:r>
      <w:r w:rsidR="00F170CC">
        <w:t xml:space="preserve">mortgage property prisoners. </w:t>
      </w:r>
      <w:r w:rsidR="00BE7A42">
        <w:t xml:space="preserve">This </w:t>
      </w:r>
      <w:r w:rsidR="00500556">
        <w:t>w</w:t>
      </w:r>
      <w:r w:rsidR="00BE7A42">
        <w:t>ould make it more chal</w:t>
      </w:r>
      <w:r w:rsidR="009B6265">
        <w:t>lenging</w:t>
      </w:r>
      <w:r w:rsidR="00A07D03">
        <w:t xml:space="preserve"> to navigate</w:t>
      </w:r>
      <w:r w:rsidR="009B6265">
        <w:t xml:space="preserve"> buy</w:t>
      </w:r>
      <w:r w:rsidR="00A07D03">
        <w:t>ing</w:t>
      </w:r>
      <w:r w:rsidR="00B36A66">
        <w:t xml:space="preserve">, </w:t>
      </w:r>
      <w:r w:rsidR="009B6265">
        <w:t>sell</w:t>
      </w:r>
      <w:r w:rsidR="00A07D03">
        <w:t>ing</w:t>
      </w:r>
      <w:r w:rsidR="00B36A66">
        <w:t xml:space="preserve"> and funding</w:t>
      </w:r>
      <w:r w:rsidR="00A07D03">
        <w:t xml:space="preserve"> for all involved</w:t>
      </w:r>
      <w:r w:rsidR="00B36A66">
        <w:t>.</w:t>
      </w:r>
      <w:r w:rsidR="00961ED8">
        <w:t xml:space="preserve"> </w:t>
      </w:r>
      <w:r w:rsidR="00FD0A8F">
        <w:t xml:space="preserve"> </w:t>
      </w:r>
    </w:p>
    <w:p w:rsidR="003F6B74" w:rsidP="006E6E4A">
      <w:pPr>
        <w:numPr>
          <w:ilvl w:val="0"/>
          <w:numId w:val="9"/>
        </w:numPr>
        <w:rPr>
          <w:b/>
          <w:bCs/>
        </w:rPr>
      </w:pPr>
      <w:r w:rsidRPr="001821CE">
        <w:rPr>
          <w:b/>
          <w:bCs/>
        </w:rPr>
        <w:t>Does the draft Bill provide a workable legal framework to support commonhold as the preferred, default tenure for flat ownership by the end of the Parliament? </w:t>
      </w:r>
    </w:p>
    <w:p w:rsidR="00394335" w:rsidP="006E6E4A">
      <w:r>
        <w:t xml:space="preserve">Mandating the </w:t>
      </w:r>
      <w:r w:rsidR="00AB5863">
        <w:t xml:space="preserve">use of commonhold will </w:t>
      </w:r>
      <w:r w:rsidR="00852BF0">
        <w:t>ensure it becomes the</w:t>
      </w:r>
      <w:r w:rsidR="00AB5863">
        <w:t xml:space="preserve"> default tenure</w:t>
      </w:r>
      <w:r w:rsidR="00852BF0">
        <w:t xml:space="preserve"> for flat ownership</w:t>
      </w:r>
      <w:r w:rsidR="00DA767B">
        <w:t xml:space="preserve"> on new build units</w:t>
      </w:r>
      <w:r w:rsidR="00AB5863">
        <w:t xml:space="preserve">. </w:t>
      </w:r>
      <w:r w:rsidR="00852BF0">
        <w:t xml:space="preserve">However, </w:t>
      </w:r>
      <w:r w:rsidR="0011241C">
        <w:t xml:space="preserve">a significant amount of work is required across the homebuying </w:t>
      </w:r>
      <w:r w:rsidR="005E72D0">
        <w:t>and</w:t>
      </w:r>
      <w:r w:rsidR="0011241C">
        <w:t xml:space="preserve"> selling industry</w:t>
      </w:r>
      <w:r w:rsidR="003F6915">
        <w:t>, including:</w:t>
      </w:r>
      <w:r w:rsidR="00872C87">
        <w:t xml:space="preserve"> </w:t>
      </w:r>
      <w:r w:rsidR="00520F24">
        <w:t xml:space="preserve"> </w:t>
      </w:r>
      <w:r w:rsidR="006E28AD">
        <w:t xml:space="preserve"> </w:t>
      </w:r>
    </w:p>
    <w:p w:rsidR="00CB0D53" w:rsidP="0005434C">
      <w:pPr>
        <w:pStyle w:val="ListParagraph"/>
      </w:pPr>
      <w:r>
        <w:t>Significant i</w:t>
      </w:r>
      <w:r w:rsidR="00FE2B8E">
        <w:t>nternal mortgage lender system updates to accept new purchase and remortgage applications</w:t>
      </w:r>
      <w:r w:rsidR="000C0B89">
        <w:t>,</w:t>
      </w:r>
      <w:r w:rsidR="00FE2B8E">
        <w:t xml:space="preserve"> and conversions to commonhold.</w:t>
      </w:r>
      <w:r w:rsidR="00CD589B">
        <w:t xml:space="preserve"> For example, today systems </w:t>
      </w:r>
      <w:r w:rsidR="0005434C">
        <w:t>typically</w:t>
      </w:r>
      <w:r w:rsidR="00CD589B">
        <w:t xml:space="preserve"> only have fields built for freehold and leasehold tenures. </w:t>
      </w:r>
      <w:r w:rsidR="0050128B">
        <w:t xml:space="preserve">Members </w:t>
      </w:r>
      <w:r w:rsidR="00D73E36">
        <w:t xml:space="preserve">will need to build a new ‘commonhold’ </w:t>
      </w:r>
      <w:r w:rsidR="0050128B">
        <w:t xml:space="preserve">and ‘unit’ </w:t>
      </w:r>
      <w:r w:rsidR="00D73E36">
        <w:t>field</w:t>
      </w:r>
      <w:r w:rsidR="0050128B">
        <w:t xml:space="preserve"> to support</w:t>
      </w:r>
      <w:r>
        <w:t xml:space="preserve"> new </w:t>
      </w:r>
      <w:r w:rsidR="00970BB3">
        <w:t>terminology</w:t>
      </w:r>
      <w:r w:rsidR="0050128B">
        <w:t>.</w:t>
      </w:r>
    </w:p>
    <w:p w:rsidR="00FE4918" w:rsidP="00FE4918">
      <w:pPr>
        <w:pStyle w:val="ListParagraph"/>
      </w:pPr>
      <w:r>
        <w:t xml:space="preserve">Creating new, and updating existing, mortgage lending policy and associated systems, documentation, and processes. This will include new </w:t>
      </w:r>
      <w:r w:rsidRPr="00BB5CB3">
        <w:t xml:space="preserve">additional processes to </w:t>
      </w:r>
      <w:r w:rsidR="000F32B4">
        <w:t>engage with</w:t>
      </w:r>
      <w:r w:rsidRPr="00BB5CB3">
        <w:t xml:space="preserve"> </w:t>
      </w:r>
      <w:r w:rsidR="005D7CAC">
        <w:t>c</w:t>
      </w:r>
      <w:r w:rsidRPr="00BB5CB3">
        <w:t xml:space="preserve">ommonhold </w:t>
      </w:r>
      <w:r w:rsidR="005D7CAC">
        <w:t>a</w:t>
      </w:r>
      <w:r w:rsidRPr="00BB5CB3" w:rsidR="000F32B4">
        <w:t>ssociation</w:t>
      </w:r>
      <w:r w:rsidR="000F32B4">
        <w:t xml:space="preserve">s and </w:t>
      </w:r>
      <w:r w:rsidRPr="00BB5CB3" w:rsidR="000F32B4">
        <w:t xml:space="preserve">address </w:t>
      </w:r>
      <w:r w:rsidR="000F32B4">
        <w:t xml:space="preserve">their </w:t>
      </w:r>
      <w:r w:rsidRPr="00BB5CB3" w:rsidR="000F32B4">
        <w:t>failing</w:t>
      </w:r>
      <w:r w:rsidR="000F32B4">
        <w:t>s</w:t>
      </w:r>
      <w:r w:rsidR="001A262F">
        <w:t>.</w:t>
      </w:r>
    </w:p>
    <w:p w:rsidR="00FE2B8E" w:rsidP="0005434C">
      <w:pPr>
        <w:pStyle w:val="ListParagraph"/>
      </w:pPr>
      <w:r>
        <w:t>Conveyancers typically confirm a property</w:t>
      </w:r>
      <w:r w:rsidR="003F6915">
        <w:t>’s</w:t>
      </w:r>
      <w:r w:rsidR="00CB0D53">
        <w:t xml:space="preserve"> tenure by checking</w:t>
      </w:r>
      <w:r>
        <w:t xml:space="preserve"> HM Land Registry</w:t>
      </w:r>
      <w:r w:rsidR="00CB0D53">
        <w:t>.</w:t>
      </w:r>
      <w:r w:rsidR="004522CC">
        <w:t xml:space="preserve"> </w:t>
      </w:r>
      <w:r w:rsidR="004129AD">
        <w:t xml:space="preserve">It </w:t>
      </w:r>
      <w:r w:rsidR="004522CC">
        <w:t>will be</w:t>
      </w:r>
      <w:r w:rsidR="0088213E">
        <w:t xml:space="preserve"> challenging to identify commonhold units given that</w:t>
      </w:r>
      <w:r w:rsidR="004522CC">
        <w:t xml:space="preserve"> the</w:t>
      </w:r>
      <w:r w:rsidR="0088213E">
        <w:t xml:space="preserve"> </w:t>
      </w:r>
      <w:r w:rsidRPr="0005434C" w:rsidR="0005434C">
        <w:t xml:space="preserve">Title for existing unit </w:t>
      </w:r>
      <w:r w:rsidRPr="0005434C" w:rsidR="003260ED">
        <w:t>s</w:t>
      </w:r>
      <w:r w:rsidR="004129AD">
        <w:t>tate</w:t>
      </w:r>
      <w:r w:rsidR="003260ED">
        <w:t>s,</w:t>
      </w:r>
      <w:r w:rsidRPr="0005434C" w:rsidR="0005434C">
        <w:t xml:space="preserve"> “the freehold land….” and then </w:t>
      </w:r>
      <w:r w:rsidR="00D06302">
        <w:t>continues</w:t>
      </w:r>
      <w:r w:rsidRPr="0005434C" w:rsidR="00175235">
        <w:t>,</w:t>
      </w:r>
      <w:r w:rsidRPr="0005434C" w:rsidR="0005434C">
        <w:t xml:space="preserve"> “freehold estate in the land is registered in commonhold land under Part 1 of the Commonhold and Leasehold Reform Act”. Given this is to be repealed</w:t>
      </w:r>
      <w:r w:rsidR="00FC3C10">
        <w:t xml:space="preserve">, government will need to consider how a conveyancer can easily check a property/unit’s tenure. </w:t>
      </w:r>
      <w:r w:rsidR="00B16E97">
        <w:t xml:space="preserve">Members would welcome a new practice guide to support the new process. </w:t>
      </w:r>
    </w:p>
    <w:p w:rsidR="003D46CE" w:rsidP="00846309">
      <w:pPr>
        <w:pStyle w:val="ListParagraph"/>
      </w:pPr>
      <w:r>
        <w:t xml:space="preserve">Training for </w:t>
      </w:r>
      <w:r w:rsidR="006133A2">
        <w:t xml:space="preserve">developers, </w:t>
      </w:r>
      <w:r w:rsidR="00707370">
        <w:t xml:space="preserve">institutional investors, </w:t>
      </w:r>
      <w:r>
        <w:t xml:space="preserve">estate agents, mortgage advisers, </w:t>
      </w:r>
      <w:r w:rsidR="000E1ED1">
        <w:t xml:space="preserve">mortgage lenders, </w:t>
      </w:r>
      <w:r w:rsidR="00FC3C67">
        <w:t>valuers,</w:t>
      </w:r>
      <w:r w:rsidR="006133A2">
        <w:t xml:space="preserve"> and conveyancers to support consumer understanding of </w:t>
      </w:r>
      <w:r w:rsidR="00846309">
        <w:t>commonhold and the complex responsibilities it places on the owner</w:t>
      </w:r>
      <w:r w:rsidR="006133A2">
        <w:t xml:space="preserve">. </w:t>
      </w:r>
    </w:p>
    <w:p w:rsidR="00676069" w:rsidP="00676069">
      <w:pPr>
        <w:pStyle w:val="ListParagraph"/>
      </w:pPr>
      <w:r w:rsidRPr="00846309">
        <w:t>The Royal Institution of Chartered Surveyors</w:t>
      </w:r>
      <w:r>
        <w:t xml:space="preserve"> (</w:t>
      </w:r>
      <w:r w:rsidR="006E6E4A">
        <w:t>RICS</w:t>
      </w:r>
      <w:r>
        <w:t>)</w:t>
      </w:r>
      <w:r w:rsidR="006E6E4A">
        <w:t xml:space="preserve"> guidance </w:t>
      </w:r>
      <w:r>
        <w:t>to support va</w:t>
      </w:r>
      <w:r w:rsidR="00E22D5F">
        <w:t>luers in assessing the valuation of a commonhold unit.</w:t>
      </w:r>
      <w:r w:rsidR="002F7054">
        <w:t xml:space="preserve"> Due to there being so few commonhold properties in the market today, </w:t>
      </w:r>
      <w:r w:rsidR="00E928C8">
        <w:t xml:space="preserve">it will be challenging to initially find comparable properties to </w:t>
      </w:r>
      <w:r w:rsidR="000F7EF1">
        <w:t>determine</w:t>
      </w:r>
      <w:r w:rsidR="00E928C8">
        <w:t xml:space="preserve"> a valuation. This </w:t>
      </w:r>
      <w:r>
        <w:t>will</w:t>
      </w:r>
      <w:r w:rsidR="00E928C8">
        <w:t xml:space="preserve"> likely impact the current Automated Valuation Model (AVM) which </w:t>
      </w:r>
      <w:r w:rsidR="00E072DA">
        <w:t>is commonly used to automatically value properties for mortgage applications</w:t>
      </w:r>
      <w:r>
        <w:t>.</w:t>
      </w:r>
      <w:r w:rsidR="00452E1C">
        <w:t xml:space="preserve"> </w:t>
      </w:r>
      <w:r>
        <w:t xml:space="preserve">It will likely </w:t>
      </w:r>
      <w:r w:rsidR="00E928C8">
        <w:t>slow down the mortgage application process</w:t>
      </w:r>
      <w:r>
        <w:t xml:space="preserve"> in the short term</w:t>
      </w:r>
      <w:r w:rsidR="00E928C8">
        <w:t xml:space="preserve">. </w:t>
      </w:r>
    </w:p>
    <w:p w:rsidR="00985741" w:rsidP="00985741">
      <w:pPr>
        <w:pStyle w:val="ListParagraph"/>
      </w:pPr>
      <w:r>
        <w:t xml:space="preserve">Experienced </w:t>
      </w:r>
      <w:r w:rsidR="006E6E4A">
        <w:t>conveyancers</w:t>
      </w:r>
      <w:r>
        <w:t xml:space="preserve"> willing to advise </w:t>
      </w:r>
      <w:r w:rsidR="004E6D38">
        <w:t xml:space="preserve">buyers </w:t>
      </w:r>
      <w:r>
        <w:t>on commonhold</w:t>
      </w:r>
      <w:r w:rsidR="00621171">
        <w:t xml:space="preserve">, supported by updated </w:t>
      </w:r>
      <w:r w:rsidR="001C34AF">
        <w:t xml:space="preserve">commonhold </w:t>
      </w:r>
      <w:r w:rsidR="00621171">
        <w:t xml:space="preserve">content </w:t>
      </w:r>
      <w:r w:rsidR="00384CAB">
        <w:t xml:space="preserve">within the </w:t>
      </w:r>
      <w:r>
        <w:fldChar w:fldCharType="begin"/>
      </w:r>
      <w:r>
        <w:instrText xml:space="preserve"> HYPERLINK "https://lendershandbook.ukfinance.org.uk/lenders-handbook/" </w:instrText>
      </w:r>
      <w:r>
        <w:fldChar w:fldCharType="separate"/>
      </w:r>
      <w:r w:rsidR="001C34AF">
        <w:rPr>
          <w:rStyle w:val="Hyperlink"/>
        </w:rPr>
        <w:t>UK Finance's Mortgage Lenders' Handbook.</w:t>
      </w:r>
      <w:r>
        <w:fldChar w:fldCharType="end"/>
      </w:r>
    </w:p>
    <w:p w:rsidR="00592421" w:rsidP="00592421">
      <w:pPr>
        <w:pStyle w:val="ListParagraph"/>
      </w:pPr>
      <w:r>
        <w:t>H</w:t>
      </w:r>
      <w:r w:rsidR="008A461A">
        <w:t>M</w:t>
      </w:r>
      <w:r>
        <w:t xml:space="preserve"> </w:t>
      </w:r>
      <w:r w:rsidR="00935175">
        <w:t>L</w:t>
      </w:r>
      <w:r>
        <w:t xml:space="preserve">and </w:t>
      </w:r>
      <w:r w:rsidR="00935175">
        <w:t>R</w:t>
      </w:r>
      <w:r>
        <w:t xml:space="preserve">egistry resource to update new </w:t>
      </w:r>
      <w:r w:rsidR="003C1D55">
        <w:t>registration</w:t>
      </w:r>
      <w:r w:rsidR="00EB6A3B">
        <w:t>s</w:t>
      </w:r>
      <w:r>
        <w:t xml:space="preserve"> for </w:t>
      </w:r>
      <w:r w:rsidR="00985741">
        <w:t>new purchases and conversion</w:t>
      </w:r>
      <w:r w:rsidR="005B30E0">
        <w:t>s</w:t>
      </w:r>
      <w:r w:rsidR="00F916AB">
        <w:t>,</w:t>
      </w:r>
      <w:r w:rsidRPr="00F916AB" w:rsidR="00F916AB">
        <w:t xml:space="preserve"> </w:t>
      </w:r>
      <w:r w:rsidR="00F916AB">
        <w:t xml:space="preserve">considering there are already substantial </w:t>
      </w:r>
      <w:r w:rsidR="00175235">
        <w:t>backlogs.</w:t>
      </w:r>
    </w:p>
    <w:p w:rsidR="00592421" w:rsidP="00592421">
      <w:r>
        <w:t>Delivering this</w:t>
      </w:r>
      <w:r w:rsidR="00A92303">
        <w:t xml:space="preserve"> commonhold</w:t>
      </w:r>
      <w:r>
        <w:t xml:space="preserve"> transformation successfully</w:t>
      </w:r>
      <w:r w:rsidR="00A94C89">
        <w:t xml:space="preserve"> will</w:t>
      </w:r>
      <w:r>
        <w:t xml:space="preserve"> require </w:t>
      </w:r>
      <w:r w:rsidRPr="008268A3">
        <w:t xml:space="preserve">coordinated readiness across </w:t>
      </w:r>
      <w:r w:rsidR="00846309">
        <w:t>all parties involved</w:t>
      </w:r>
      <w:r w:rsidRPr="008268A3">
        <w:t xml:space="preserve">. </w:t>
      </w:r>
      <w:r w:rsidR="00412256">
        <w:t>Th</w:t>
      </w:r>
      <w:r w:rsidR="00846309">
        <w:t>is</w:t>
      </w:r>
      <w:r w:rsidR="00412256">
        <w:t xml:space="preserve"> work</w:t>
      </w:r>
      <w:r w:rsidR="00A92303">
        <w:t xml:space="preserve"> will</w:t>
      </w:r>
      <w:r w:rsidRPr="00F83ED4" w:rsidR="00F83ED4">
        <w:t xml:space="preserve"> likely cost individual</w:t>
      </w:r>
      <w:r w:rsidR="00412256">
        <w:t xml:space="preserve"> mortgage</w:t>
      </w:r>
      <w:r w:rsidRPr="00F83ED4" w:rsidR="00F83ED4">
        <w:t xml:space="preserve"> firms multi-millions of pounds to implement</w:t>
      </w:r>
      <w:r w:rsidR="00B708DF">
        <w:t xml:space="preserve">. </w:t>
      </w:r>
      <w:r w:rsidRPr="008268A3">
        <w:t>Without sufficient implementation time, the reforms risk creating operational bottlenecks and market instability, ultimately undermining the government’s own objectives of supporting sustainable homeownership and economic growth</w:t>
      </w:r>
      <w:r>
        <w:t>.</w:t>
      </w:r>
    </w:p>
    <w:p w:rsidR="001C43A4" w:rsidP="00592421">
      <w:r>
        <w:t>Separately, the proposed</w:t>
      </w:r>
      <w:r w:rsidR="00091DD9">
        <w:t xml:space="preserve"> highly complex</w:t>
      </w:r>
      <w:r>
        <w:t xml:space="preserve"> conversion process requires </w:t>
      </w:r>
      <w:r w:rsidR="004B444E">
        <w:t>rigorous review given the</w:t>
      </w:r>
      <w:r w:rsidR="004B444E">
        <w:t xml:space="preserve"> </w:t>
      </w:r>
      <w:r>
        <w:t>new risks</w:t>
      </w:r>
      <w:r w:rsidR="00982097">
        <w:t xml:space="preserve"> it will introduce into the market</w:t>
      </w:r>
      <w:r>
        <w:t xml:space="preserve">. Our members </w:t>
      </w:r>
      <w:r w:rsidR="008C12D5">
        <w:t xml:space="preserve">support </w:t>
      </w:r>
      <w:r w:rsidR="00284498">
        <w:t>the</w:t>
      </w:r>
      <w:r>
        <w:t xml:space="preserve"> government moving to commonhold on new build flats</w:t>
      </w:r>
      <w:r w:rsidR="00276830">
        <w:t xml:space="preserve"> </w:t>
      </w:r>
      <w:r w:rsidR="008C12D5">
        <w:t>first and subsequently</w:t>
      </w:r>
      <w:r>
        <w:t xml:space="preserve"> once </w:t>
      </w:r>
      <w:r w:rsidR="008C12D5">
        <w:t>it</w:t>
      </w:r>
      <w:r>
        <w:t xml:space="preserve"> has been successfully implemented</w:t>
      </w:r>
      <w:r w:rsidR="008C12D5">
        <w:t>, introduc</w:t>
      </w:r>
      <w:r w:rsidR="005D7CAC">
        <w:t>ing</w:t>
      </w:r>
      <w:r w:rsidR="008C12D5">
        <w:t xml:space="preserve"> the conversion process</w:t>
      </w:r>
      <w:r>
        <w:t>.</w:t>
      </w:r>
      <w:r w:rsidR="009105BF">
        <w:t xml:space="preserve"> </w:t>
      </w:r>
      <w:r w:rsidR="00276830">
        <w:t xml:space="preserve">This phased approach </w:t>
      </w:r>
      <w:r w:rsidR="00982097">
        <w:t>w</w:t>
      </w:r>
      <w:r w:rsidR="008C12D5">
        <w:t>ill</w:t>
      </w:r>
      <w:r w:rsidR="00276830">
        <w:t xml:space="preserve"> minimise disruption </w:t>
      </w:r>
      <w:r w:rsidR="00C72A7E">
        <w:t xml:space="preserve">and ensure the conversion process is </w:t>
      </w:r>
      <w:r w:rsidR="00092276">
        <w:t xml:space="preserve">workable </w:t>
      </w:r>
      <w:r w:rsidR="00C72A7E">
        <w:t xml:space="preserve">for those involved. </w:t>
      </w:r>
      <w:r w:rsidR="00B939C9">
        <w:t xml:space="preserve">Following Royal </w:t>
      </w:r>
      <w:r w:rsidR="00E072DA">
        <w:t>A</w:t>
      </w:r>
      <w:r w:rsidR="00B939C9">
        <w:t>ccent of the draft Bill, m</w:t>
      </w:r>
      <w:r w:rsidR="00312800">
        <w:t>embers anticipate need</w:t>
      </w:r>
      <w:r w:rsidR="00B939C9">
        <w:t>ing</w:t>
      </w:r>
      <w:r w:rsidR="00312800">
        <w:t xml:space="preserve"> </w:t>
      </w:r>
      <w:r w:rsidR="00B939C9">
        <w:t>a minimum of</w:t>
      </w:r>
      <w:r w:rsidR="00DB4FA1">
        <w:t xml:space="preserve"> </w:t>
      </w:r>
      <w:r w:rsidR="00B939C9">
        <w:t>24</w:t>
      </w:r>
      <w:r w:rsidR="00DB4FA1">
        <w:t xml:space="preserve"> months to implement commonhold as the default tenure for new build flats. </w:t>
      </w:r>
    </w:p>
    <w:p w:rsidR="005B30E0" w:rsidRPr="001821CE" w:rsidP="005B30E0">
      <w:pPr>
        <w:pStyle w:val="Heading2"/>
      </w:pPr>
      <w:r w:rsidRPr="005B30E0">
        <w:t>Strengthening leaseholders’ rights and bringing the feudal leasehold system to an end</w:t>
      </w:r>
    </w:p>
    <w:p w:rsidR="001821CE" w:rsidRPr="00881D71" w:rsidP="001821CE">
      <w:pPr>
        <w:numPr>
          <w:ilvl w:val="0"/>
          <w:numId w:val="10"/>
        </w:numPr>
        <w:rPr>
          <w:b/>
          <w:bCs/>
        </w:rPr>
      </w:pPr>
      <w:r w:rsidRPr="001821CE">
        <w:rPr>
          <w:b/>
          <w:bCs/>
        </w:rPr>
        <w:t>Will the Government’s proposal for a cap on ground rents of £250 a year, changing to a peppercorn after 40 years, tackle unregulated and unaffordable existing ground rent charges? </w:t>
      </w:r>
    </w:p>
    <w:p w:rsidR="00103DBC" w:rsidP="001E78C5">
      <w:r>
        <w:t>The</w:t>
      </w:r>
      <w:r w:rsidR="003E1DB6">
        <w:t xml:space="preserve"> cap will ensure that</w:t>
      </w:r>
      <w:r w:rsidR="00CD24DB">
        <w:t xml:space="preserve"> </w:t>
      </w:r>
      <w:r w:rsidR="00C15A71">
        <w:t>unfair</w:t>
      </w:r>
      <w:r w:rsidR="00202081">
        <w:t xml:space="preserve"> ground rents</w:t>
      </w:r>
      <w:r w:rsidR="00D42A38">
        <w:t>,</w:t>
      </w:r>
      <w:r w:rsidR="00202081">
        <w:t xml:space="preserve"> </w:t>
      </w:r>
      <w:r w:rsidR="00D42A38">
        <w:t xml:space="preserve">which are onerous and/or increase too frequently, </w:t>
      </w:r>
      <w:r w:rsidR="00202081">
        <w:t>are removed from the housing market.</w:t>
      </w:r>
      <w:r w:rsidR="00C069E2">
        <w:t xml:space="preserve"> Our members believe this </w:t>
      </w:r>
      <w:r w:rsidR="003D2DBF">
        <w:t xml:space="preserve">will </w:t>
      </w:r>
      <w:r>
        <w:t>improve the</w:t>
      </w:r>
      <w:r w:rsidR="000E02C0">
        <w:t>ir</w:t>
      </w:r>
      <w:r w:rsidR="003643A2">
        <w:t xml:space="preserve"> mortgage</w:t>
      </w:r>
      <w:r>
        <w:t xml:space="preserve"> affordability assessments of properties which currently have higher ground rents.</w:t>
      </w:r>
      <w:r w:rsidR="000405EA">
        <w:t xml:space="preserve"> This should </w:t>
      </w:r>
      <w:r w:rsidR="00B36A8D">
        <w:t>improve outcomes for</w:t>
      </w:r>
      <w:r w:rsidR="000405EA">
        <w:t xml:space="preserve"> leasehold</w:t>
      </w:r>
      <w:r w:rsidR="005D7CAC">
        <w:t xml:space="preserve">ers </w:t>
      </w:r>
      <w:r w:rsidR="00B36A8D">
        <w:t>who</w:t>
      </w:r>
      <w:r w:rsidR="00E763B3">
        <w:t xml:space="preserve"> </w:t>
      </w:r>
      <w:r w:rsidR="00B96DEE">
        <w:t xml:space="preserve">currently </w:t>
      </w:r>
      <w:r w:rsidR="00E763B3">
        <w:t>struggle to obtain mortgage finance or sell their property due to unreasonable</w:t>
      </w:r>
      <w:r w:rsidR="000405EA">
        <w:t xml:space="preserve"> </w:t>
      </w:r>
      <w:r w:rsidR="00E667FA">
        <w:t>ground rent terms</w:t>
      </w:r>
      <w:r w:rsidR="00E763B3">
        <w:t>.</w:t>
      </w:r>
    </w:p>
    <w:p w:rsidR="001821CE" w:rsidP="001821CE">
      <w:pPr>
        <w:numPr>
          <w:ilvl w:val="0"/>
          <w:numId w:val="10"/>
        </w:numPr>
        <w:rPr>
          <w:b/>
          <w:bCs/>
        </w:rPr>
      </w:pPr>
      <w:r w:rsidRPr="001821CE">
        <w:rPr>
          <w:b/>
          <w:bCs/>
        </w:rPr>
        <w:t>How does the draft Bill seek to address the respective property rights of leaseholders and freeholders? </w:t>
      </w:r>
    </w:p>
    <w:p w:rsidR="00503346" w:rsidP="00503346">
      <w:r>
        <w:t xml:space="preserve">The ground rent cap gives fairer terms and certainty to existing leaseholders who are currently subject to excessive ground rents. </w:t>
      </w:r>
    </w:p>
    <w:p w:rsidR="00503346" w:rsidRPr="00503346" w:rsidP="00503346">
      <w:r>
        <w:t>However, members have expressed concern</w:t>
      </w:r>
      <w:r w:rsidR="000E02C0">
        <w:t>s</w:t>
      </w:r>
      <w:r>
        <w:t xml:space="preserve"> on how freeholders and those with invested funds linked to ground rent income will be compensated.</w:t>
      </w:r>
      <w:r w:rsidR="001E3B35">
        <w:t xml:space="preserve"> </w:t>
      </w:r>
      <w:r w:rsidR="00E67E70">
        <w:t>The Bill does not explain how this will be addressed</w:t>
      </w:r>
      <w:r w:rsidRPr="001E3B35" w:rsidR="001E3B35">
        <w:t xml:space="preserve"> </w:t>
      </w:r>
      <w:r w:rsidR="001E3B35">
        <w:t xml:space="preserve">which is important as </w:t>
      </w:r>
      <w:r w:rsidRPr="004D0BB0" w:rsidR="001E3B35">
        <w:t xml:space="preserve">these proposals are likely to </w:t>
      </w:r>
      <w:r w:rsidRPr="004D0BB0" w:rsidR="001E3B35">
        <w:t>increase impairments for financial institutions who have funded structures based on ground rents.</w:t>
      </w:r>
    </w:p>
    <w:p w:rsidR="001821CE" w:rsidP="001821CE">
      <w:pPr>
        <w:numPr>
          <w:ilvl w:val="0"/>
          <w:numId w:val="10"/>
        </w:numPr>
        <w:rPr>
          <w:b/>
          <w:bCs/>
        </w:rPr>
      </w:pPr>
      <w:r w:rsidRPr="001821CE">
        <w:rPr>
          <w:b/>
          <w:bCs/>
        </w:rPr>
        <w:t>Are there any potential loopholes in the draft Bill’s provisions to cap ground rents, including </w:t>
      </w:r>
      <w:r w:rsidRPr="001821CE">
        <w:rPr>
          <w:b/>
          <w:bCs/>
        </w:rPr>
        <w:t>through the use of</w:t>
      </w:r>
      <w:r w:rsidRPr="001821CE">
        <w:rPr>
          <w:b/>
          <w:bCs/>
        </w:rPr>
        <w:t> headleases? </w:t>
      </w:r>
    </w:p>
    <w:p w:rsidR="00CB3F30" w:rsidRPr="00B305F6" w:rsidP="00EF1698">
      <w:r>
        <w:t>No answer</w:t>
      </w:r>
    </w:p>
    <w:p w:rsidR="001821CE" w:rsidP="001821CE">
      <w:pPr>
        <w:numPr>
          <w:ilvl w:val="0"/>
          <w:numId w:val="10"/>
        </w:numPr>
        <w:rPr>
          <w:b/>
          <w:bCs/>
        </w:rPr>
      </w:pPr>
      <w:r w:rsidRPr="001821CE">
        <w:rPr>
          <w:b/>
          <w:bCs/>
        </w:rPr>
        <w:t>Will the draft Bill’s proposal to end the use of forfeiture against leaseholders go far enough to redress the imbalance between leaseholders and landlords when there is a breach of covenant? </w:t>
      </w:r>
    </w:p>
    <w:p w:rsidR="0062347D" w:rsidP="003F103C">
      <w:r>
        <w:t>Members are</w:t>
      </w:r>
      <w:r w:rsidR="00BE3FE8">
        <w:t xml:space="preserve"> generally</w:t>
      </w:r>
      <w:r>
        <w:t xml:space="preserve"> supportive of</w:t>
      </w:r>
      <w:r w:rsidR="003F103C">
        <w:t xml:space="preserve"> </w:t>
      </w:r>
      <w:r>
        <w:t>end</w:t>
      </w:r>
      <w:r w:rsidR="003F103C">
        <w:t>ing forfeiture</w:t>
      </w:r>
      <w:r w:rsidR="00A86D0A">
        <w:t xml:space="preserve"> and believe the proposal goes far enough to achieve its aim. </w:t>
      </w:r>
      <w:r w:rsidR="00B04772">
        <w:t>Its removal will provide mortgage lenders and leaseholders with reassurance over the security, particularly whe</w:t>
      </w:r>
      <w:r w:rsidR="008A6BDA">
        <w:t>n</w:t>
      </w:r>
      <w:r w:rsidR="00B04772">
        <w:t xml:space="preserve"> the leaseholder may be challenging the landlord</w:t>
      </w:r>
      <w:r w:rsidR="00861135">
        <w:t xml:space="preserve"> on</w:t>
      </w:r>
      <w:r w:rsidR="00B04772">
        <w:t xml:space="preserve"> </w:t>
      </w:r>
      <w:r w:rsidR="002B2085">
        <w:t xml:space="preserve">the service charge. </w:t>
      </w:r>
    </w:p>
    <w:p w:rsidR="001821CE" w:rsidP="001821CE">
      <w:pPr>
        <w:numPr>
          <w:ilvl w:val="0"/>
          <w:numId w:val="10"/>
        </w:numPr>
        <w:rPr>
          <w:b/>
          <w:bCs/>
        </w:rPr>
      </w:pPr>
      <w:r w:rsidRPr="001821CE">
        <w:rPr>
          <w:b/>
          <w:bCs/>
        </w:rPr>
        <w:t>What provisions does the draft Bill include to support leaseholders faced with the cost of major works? </w:t>
      </w:r>
    </w:p>
    <w:p w:rsidR="006E22FC" w:rsidP="00017559">
      <w:r>
        <w:t>We understand that</w:t>
      </w:r>
      <w:r w:rsidR="00EF34E9">
        <w:t>, once</w:t>
      </w:r>
      <w:r w:rsidR="008A6BDA">
        <w:t xml:space="preserve"> the secondary legislation is</w:t>
      </w:r>
      <w:r w:rsidR="00EF34E9">
        <w:t xml:space="preserve"> in force,</w:t>
      </w:r>
      <w:r>
        <w:t xml:space="preserve"> the </w:t>
      </w:r>
      <w:r w:rsidRPr="00090AD5">
        <w:t>Leasehold and Freehold Reform Act 2024</w:t>
      </w:r>
      <w:r>
        <w:t xml:space="preserve"> </w:t>
      </w:r>
      <w:r w:rsidR="00EF34E9">
        <w:t xml:space="preserve">will </w:t>
      </w:r>
      <w:r w:rsidR="0033515E">
        <w:t>require transparency from</w:t>
      </w:r>
      <w:r w:rsidRPr="00753615">
        <w:t xml:space="preserve"> landlords </w:t>
      </w:r>
      <w:r w:rsidR="006B7527">
        <w:t>on service charge costs and</w:t>
      </w:r>
      <w:r w:rsidR="00FF3EEA">
        <w:t xml:space="preserve"> the</w:t>
      </w:r>
      <w:r w:rsidR="006B7527">
        <w:t xml:space="preserve"> </w:t>
      </w:r>
      <w:r w:rsidRPr="00753615">
        <w:t>use</w:t>
      </w:r>
      <w:r w:rsidR="00FF3EEA">
        <w:t xml:space="preserve"> of</w:t>
      </w:r>
      <w:r w:rsidRPr="00753615">
        <w:t xml:space="preserve"> standardi</w:t>
      </w:r>
      <w:r>
        <w:t>s</w:t>
      </w:r>
      <w:r w:rsidRPr="00753615">
        <w:t>ed</w:t>
      </w:r>
      <w:r>
        <w:t xml:space="preserve"> </w:t>
      </w:r>
      <w:r w:rsidRPr="00753615">
        <w:t>formats for billing and providing annual reports</w:t>
      </w:r>
      <w:r>
        <w:t xml:space="preserve">. </w:t>
      </w:r>
      <w:r w:rsidRPr="007C4816">
        <w:t xml:space="preserve">It </w:t>
      </w:r>
      <w:r w:rsidR="006B7527">
        <w:t xml:space="preserve">will </w:t>
      </w:r>
      <w:r w:rsidRPr="007C4816">
        <w:t>ban hidden insurance commissions</w:t>
      </w:r>
      <w:r>
        <w:t xml:space="preserve"> and</w:t>
      </w:r>
      <w:r w:rsidRPr="007C4816">
        <w:t xml:space="preserve"> give leaseholders new rights to challenge costs, and requires clear, timely financial information</w:t>
      </w:r>
      <w:r>
        <w:t>.</w:t>
      </w:r>
    </w:p>
    <w:p w:rsidR="007B6384" w:rsidP="00017559">
      <w:r>
        <w:t xml:space="preserve">For </w:t>
      </w:r>
      <w:r w:rsidR="00FC3C67">
        <w:t>leaseholders,</w:t>
      </w:r>
      <w:r>
        <w:t xml:space="preserve"> </w:t>
      </w:r>
      <w:r w:rsidRPr="00676987" w:rsidR="00676987">
        <w:t xml:space="preserve">the draft </w:t>
      </w:r>
      <w:r w:rsidR="00B65B69">
        <w:t xml:space="preserve">Commonhold </w:t>
      </w:r>
      <w:r w:rsidR="008C12D5">
        <w:t>and</w:t>
      </w:r>
      <w:r w:rsidR="00B65B69">
        <w:t xml:space="preserve"> Leasehold Reform </w:t>
      </w:r>
      <w:r w:rsidRPr="00676987" w:rsidR="00676987">
        <w:t xml:space="preserve">Bill </w:t>
      </w:r>
      <w:r w:rsidR="00B65B69">
        <w:t>does</w:t>
      </w:r>
      <w:r w:rsidRPr="00676987" w:rsidR="00676987">
        <w:t xml:space="preserve"> not limit the cost of major works, but it </w:t>
      </w:r>
      <w:r w:rsidR="00B65B69">
        <w:t xml:space="preserve">does </w:t>
      </w:r>
      <w:r w:rsidRPr="00676987" w:rsidR="00DA1FFC">
        <w:t>provide</w:t>
      </w:r>
      <w:r w:rsidRPr="00676987" w:rsidR="00676987">
        <w:t xml:space="preserve"> significant protection</w:t>
      </w:r>
      <w:r w:rsidR="006E22FC">
        <w:t xml:space="preserve"> for leaseholders wishing to challenge costs.</w:t>
      </w:r>
      <w:r w:rsidRPr="00676987" w:rsidR="00676987">
        <w:t xml:space="preserve"> </w:t>
      </w:r>
      <w:r w:rsidR="0095110E">
        <w:t xml:space="preserve">These provisions </w:t>
      </w:r>
      <w:r w:rsidR="00DA1FFC">
        <w:t>include</w:t>
      </w:r>
      <w:r w:rsidRPr="00676987" w:rsidR="00676987">
        <w:t xml:space="preserve"> abolishing forfeiture for non</w:t>
      </w:r>
      <w:r w:rsidRPr="00676987" w:rsidR="00676987">
        <w:noBreakHyphen/>
        <w:t>payment of service charges</w:t>
      </w:r>
      <w:r>
        <w:t>, r</w:t>
      </w:r>
      <w:r w:rsidRPr="00676987" w:rsidR="00676987">
        <w:t>eplacing it with a proportionate court</w:t>
      </w:r>
      <w:r w:rsidRPr="00676987" w:rsidR="00676987">
        <w:noBreakHyphen/>
        <w:t xml:space="preserve">based enforcement regime, capping ground rents to reduce overall financial pressure, and removing harsh enforcement mechanisms. The Bill therefore mitigates the consequences and risks associated with major works demands rather than </w:t>
      </w:r>
      <w:r w:rsidR="00A05B74">
        <w:t>addressing</w:t>
      </w:r>
      <w:r w:rsidRPr="00676987" w:rsidR="00676987">
        <w:t xml:space="preserve"> the costs themselves.</w:t>
      </w:r>
    </w:p>
    <w:p w:rsidR="001821CE" w:rsidP="001821CE">
      <w:pPr>
        <w:numPr>
          <w:ilvl w:val="0"/>
          <w:numId w:val="10"/>
        </w:numPr>
        <w:rPr>
          <w:b/>
          <w:bCs/>
        </w:rPr>
      </w:pPr>
      <w:r w:rsidRPr="001821CE">
        <w:rPr>
          <w:b/>
          <w:bCs/>
        </w:rPr>
        <w:t>Should provisions implementing the remaining Law Commission recommendations on leasehold enfranchisement and the right to manage be included in the final version of this Bill? </w:t>
      </w:r>
    </w:p>
    <w:p w:rsidR="007C77B6" w:rsidRPr="001821CE" w:rsidP="007C77B6">
      <w:r>
        <w:t>Members are generally supportive of</w:t>
      </w:r>
      <w:r>
        <w:t xml:space="preserve"> implementing remaining Law Commission reforms to avoid fragmented and conflicting legislation.</w:t>
      </w:r>
    </w:p>
    <w:p w:rsidR="001821CE" w:rsidP="001821CE">
      <w:pPr>
        <w:numPr>
          <w:ilvl w:val="0"/>
          <w:numId w:val="10"/>
        </w:numPr>
        <w:rPr>
          <w:b/>
          <w:bCs/>
        </w:rPr>
      </w:pPr>
      <w:r w:rsidRPr="001821CE">
        <w:rPr>
          <w:b/>
          <w:bCs/>
        </w:rPr>
        <w:t>How could changes to the draft Bill make enfranchisement more affordable, including by enabling leaseholders to avoid paying ‘development value’? </w:t>
      </w:r>
    </w:p>
    <w:p w:rsidR="00CB3F30" w:rsidRPr="00B305F6" w:rsidP="00EF1698">
      <w:r>
        <w:t>No answer</w:t>
      </w:r>
    </w:p>
    <w:p w:rsidR="001821CE" w:rsidP="001821CE">
      <w:pPr>
        <w:numPr>
          <w:ilvl w:val="0"/>
          <w:numId w:val="10"/>
        </w:numPr>
        <w:rPr>
          <w:b/>
          <w:bCs/>
        </w:rPr>
      </w:pPr>
      <w:r w:rsidRPr="001821CE">
        <w:rPr>
          <w:b/>
          <w:bCs/>
        </w:rPr>
        <w:t>Should provisions implementing the remaining recommendations of the Regulation of Property Agents: Working Group be included in the final version of this Bill? </w:t>
      </w:r>
    </w:p>
    <w:p w:rsidR="00214D10" w:rsidRPr="001821CE" w:rsidP="00214D10">
      <w:r>
        <w:t xml:space="preserve">As explained in our </w:t>
      </w:r>
      <w:r>
        <w:fldChar w:fldCharType="begin"/>
      </w:r>
      <w:r>
        <w:instrText xml:space="preserve"> HYPERLINK "https://www.ukfinance.org.uk/policy-and-guidance/consultation-responses/uk-finance-response-mhclgs-home-buying-and-selling" </w:instrText>
      </w:r>
      <w:r>
        <w:fldChar w:fldCharType="separate"/>
      </w:r>
      <w:r w:rsidR="004843E9">
        <w:rPr>
          <w:rStyle w:val="Hyperlink"/>
        </w:rPr>
        <w:t>response to MHCLG’s Home Buying and Selling Reform Consultation</w:t>
      </w:r>
      <w:r>
        <w:fldChar w:fldCharType="end"/>
      </w:r>
      <w:r>
        <w:t xml:space="preserve"> </w:t>
      </w:r>
      <w:r w:rsidR="004843E9">
        <w:t xml:space="preserve">we are supportive </w:t>
      </w:r>
      <w:r>
        <w:t xml:space="preserve">of </w:t>
      </w:r>
      <w:r w:rsidR="005E6F28">
        <w:t xml:space="preserve">the </w:t>
      </w:r>
      <w:r w:rsidR="00F26EE1">
        <w:t>r</w:t>
      </w:r>
      <w:r w:rsidR="005E6F28">
        <w:t xml:space="preserve">egulation of </w:t>
      </w:r>
      <w:r w:rsidR="00F26EE1">
        <w:t>p</w:t>
      </w:r>
      <w:r>
        <w:t xml:space="preserve">roperty </w:t>
      </w:r>
      <w:r w:rsidR="00F26EE1">
        <w:t>a</w:t>
      </w:r>
      <w:r>
        <w:t xml:space="preserve">gents </w:t>
      </w:r>
      <w:r w:rsidR="00C56D82">
        <w:t>to</w:t>
      </w:r>
      <w:r>
        <w:t xml:space="preserve"> </w:t>
      </w:r>
      <w:r w:rsidR="00377936">
        <w:t xml:space="preserve">ensure </w:t>
      </w:r>
      <w:r w:rsidR="004D3413">
        <w:t xml:space="preserve">consistency and </w:t>
      </w:r>
      <w:r w:rsidR="00377936">
        <w:t>market confidence</w:t>
      </w:r>
      <w:r w:rsidR="00D03E79">
        <w:t>.</w:t>
      </w:r>
    </w:p>
    <w:p w:rsidR="001821CE" w:rsidRPr="001821CE" w:rsidP="00881D71">
      <w:pPr>
        <w:pStyle w:val="Heading2"/>
      </w:pPr>
      <w:r w:rsidRPr="001821CE">
        <w:t>Privately managed housing estates </w:t>
      </w:r>
    </w:p>
    <w:p w:rsidR="001821CE" w:rsidP="001821CE">
      <w:pPr>
        <w:numPr>
          <w:ilvl w:val="0"/>
          <w:numId w:val="11"/>
        </w:numPr>
        <w:rPr>
          <w:b/>
          <w:bCs/>
        </w:rPr>
      </w:pPr>
      <w:r w:rsidRPr="001821CE">
        <w:rPr>
          <w:b/>
          <w:bCs/>
        </w:rPr>
        <w:t>What new protections does the draft Bill offer to freehold property owners on private ‘</w:t>
      </w:r>
      <w:r w:rsidRPr="001821CE">
        <w:rPr>
          <w:b/>
          <w:bCs/>
        </w:rPr>
        <w:t>fleecehold</w:t>
      </w:r>
      <w:r w:rsidRPr="001821CE">
        <w:rPr>
          <w:b/>
          <w:bCs/>
        </w:rPr>
        <w:t>’ estates? </w:t>
      </w:r>
    </w:p>
    <w:p w:rsidR="00CB3F30" w:rsidRPr="00B305F6" w:rsidP="00EF1698">
      <w:r>
        <w:t>No answer</w:t>
      </w:r>
    </w:p>
    <w:p w:rsidR="001821CE" w:rsidRPr="001821CE" w:rsidP="001821CE">
      <w:pPr>
        <w:numPr>
          <w:ilvl w:val="0"/>
          <w:numId w:val="11"/>
        </w:numPr>
        <w:rPr>
          <w:b/>
          <w:bCs/>
        </w:rPr>
      </w:pPr>
      <w:r w:rsidRPr="001821CE">
        <w:rPr>
          <w:b/>
          <w:bCs/>
        </w:rPr>
        <w:t>How could the draft Bill go further towards the Government’s commitment to “bring unfair costs to an end” on ‘</w:t>
      </w:r>
      <w:r w:rsidRPr="001821CE">
        <w:rPr>
          <w:b/>
          <w:bCs/>
        </w:rPr>
        <w:t>fleecehold</w:t>
      </w:r>
      <w:r w:rsidRPr="001821CE">
        <w:rPr>
          <w:b/>
          <w:bCs/>
        </w:rPr>
        <w:t>’ estates? </w:t>
      </w:r>
    </w:p>
    <w:p w:rsidR="00CB3F30" w:rsidRPr="00B305F6" w:rsidP="00EF1698">
      <w:r>
        <w:t>No answer</w:t>
      </w:r>
    </w:p>
    <w:p w:rsidR="001821CE" w:rsidRPr="001821CE" w:rsidP="00881D71">
      <w:pPr>
        <w:pStyle w:val="Heading2"/>
      </w:pPr>
      <w:r w:rsidRPr="001821CE">
        <w:t>Making commonhold work and enabling the conversion of existing leasehold blocks  </w:t>
      </w:r>
    </w:p>
    <w:p w:rsidR="001821CE" w:rsidP="001821CE">
      <w:pPr>
        <w:numPr>
          <w:ilvl w:val="0"/>
          <w:numId w:val="12"/>
        </w:numPr>
        <w:rPr>
          <w:b/>
          <w:bCs/>
        </w:rPr>
      </w:pPr>
      <w:r w:rsidRPr="001821CE">
        <w:rPr>
          <w:b/>
          <w:bCs/>
        </w:rPr>
        <w:t>Does the draft Bill establish converting to commonhold as an achievable option for ordinary leaseholders? </w:t>
      </w:r>
    </w:p>
    <w:p w:rsidR="00566EBF" w:rsidP="00566EBF">
      <w:r>
        <w:t xml:space="preserve">Converting to </w:t>
      </w:r>
      <w:r w:rsidR="007A015D">
        <w:t>commonhold</w:t>
      </w:r>
      <w:r>
        <w:t xml:space="preserve"> </w:t>
      </w:r>
      <w:r w:rsidR="00DA03B4">
        <w:t>creates</w:t>
      </w:r>
      <w:r w:rsidR="00C4009E">
        <w:t xml:space="preserve"> an increased risk</w:t>
      </w:r>
      <w:r>
        <w:t xml:space="preserve"> </w:t>
      </w:r>
      <w:r w:rsidR="00C4009E">
        <w:t>to the</w:t>
      </w:r>
      <w:r>
        <w:t xml:space="preserve"> </w:t>
      </w:r>
      <w:r w:rsidR="007258F9">
        <w:t>property and</w:t>
      </w:r>
      <w:r w:rsidR="007A015D">
        <w:t xml:space="preserve"> </w:t>
      </w:r>
      <w:r w:rsidR="00C4009E">
        <w:t>its</w:t>
      </w:r>
      <w:r w:rsidR="007A015D">
        <w:t xml:space="preserve"> value</w:t>
      </w:r>
      <w:r w:rsidR="00DA03B4">
        <w:t xml:space="preserve"> as the </w:t>
      </w:r>
      <w:r w:rsidR="00325386">
        <w:t xml:space="preserve">converted units will </w:t>
      </w:r>
      <w:r w:rsidR="00DA03B4">
        <w:t xml:space="preserve">originally </w:t>
      </w:r>
      <w:r w:rsidR="00325386">
        <w:t xml:space="preserve">have been </w:t>
      </w:r>
      <w:r w:rsidR="00DA03B4">
        <w:t>mortgaged</w:t>
      </w:r>
      <w:r w:rsidR="00325386">
        <w:t xml:space="preserve"> based on leasehold terms</w:t>
      </w:r>
      <w:r w:rsidR="00DA03B4">
        <w:t xml:space="preserve">. It is not clear if mortgage lenders will be informed or if their approval will be requested during the conversion process. </w:t>
      </w:r>
      <w:r w:rsidR="000E5AE0">
        <w:t>This</w:t>
      </w:r>
      <w:r w:rsidR="00DA03B4">
        <w:t xml:space="preserve"> change is likely to increase the </w:t>
      </w:r>
      <w:r w:rsidR="00650610">
        <w:t>risk profile of existing secured lending without appropriate lender protections put in place.</w:t>
      </w:r>
    </w:p>
    <w:p w:rsidR="002604CB" w:rsidP="00566EBF">
      <w:r>
        <w:t xml:space="preserve">To make conversion achievable, members suggest </w:t>
      </w:r>
      <w:r w:rsidR="00D77677">
        <w:t>government</w:t>
      </w:r>
      <w:r w:rsidR="00E41BF5">
        <w:t xml:space="preserve"> implement commonhold as default tenure first</w:t>
      </w:r>
      <w:r w:rsidR="00B97FA2">
        <w:t xml:space="preserve">, using secondary legislation to </w:t>
      </w:r>
      <w:r w:rsidR="00E41BF5">
        <w:t xml:space="preserve">introduce conversion </w:t>
      </w:r>
      <w:r w:rsidR="00E41BF5">
        <w:t>at a later date</w:t>
      </w:r>
      <w:r w:rsidR="00E41BF5">
        <w:t xml:space="preserve">. </w:t>
      </w:r>
      <w:r w:rsidR="006D55C0">
        <w:t xml:space="preserve">Mandating the tenure on new build flats will allow </w:t>
      </w:r>
      <w:r w:rsidR="00BD453A">
        <w:t>the industry to make the necessary changes as summarised earlier in this response</w:t>
      </w:r>
      <w:r w:rsidR="00E3766E">
        <w:t xml:space="preserve">. This </w:t>
      </w:r>
      <w:r w:rsidR="00AF6DD5">
        <w:t xml:space="preserve">phased approach </w:t>
      </w:r>
      <w:r w:rsidR="00E3766E">
        <w:t xml:space="preserve">should </w:t>
      </w:r>
      <w:r w:rsidR="00F15715">
        <w:t xml:space="preserve">stagger the </w:t>
      </w:r>
      <w:r w:rsidR="00AF6DD5">
        <w:t>disruption</w:t>
      </w:r>
      <w:r w:rsidR="00E3766E">
        <w:t xml:space="preserve"> </w:t>
      </w:r>
      <w:r w:rsidR="00164986">
        <w:t>caused by</w:t>
      </w:r>
      <w:r w:rsidR="00E3766E">
        <w:t xml:space="preserve"> </w:t>
      </w:r>
      <w:r w:rsidR="00181B3D">
        <w:t>leaseholders</w:t>
      </w:r>
      <w:r w:rsidR="00E3766E">
        <w:t xml:space="preserve"> seek</w:t>
      </w:r>
      <w:r w:rsidR="00181B3D">
        <w:t>ing</w:t>
      </w:r>
      <w:r w:rsidR="00E3766E">
        <w:t xml:space="preserve"> to convert. </w:t>
      </w:r>
    </w:p>
    <w:p w:rsidR="00E41BF5" w:rsidRPr="001821CE" w:rsidP="00566EBF">
      <w:r>
        <w:t xml:space="preserve">In the </w:t>
      </w:r>
      <w:r w:rsidR="00181B3D">
        <w:t>meantime,</w:t>
      </w:r>
      <w:r w:rsidR="00C56D62">
        <w:t xml:space="preserve"> leaseholder protections </w:t>
      </w:r>
      <w:r w:rsidR="00E37953">
        <w:t>w</w:t>
      </w:r>
      <w:r w:rsidR="00C56D62">
        <w:t xml:space="preserve">ould significantly </w:t>
      </w:r>
      <w:r w:rsidR="00E37953">
        <w:t>improve</w:t>
      </w:r>
      <w:r w:rsidR="00597D4E">
        <w:t xml:space="preserve"> </w:t>
      </w:r>
      <w:r w:rsidR="00E37953">
        <w:t>when</w:t>
      </w:r>
      <w:r w:rsidR="00C56D62">
        <w:t xml:space="preserve"> the </w:t>
      </w:r>
      <w:r w:rsidR="00364CBD">
        <w:t>remaining</w:t>
      </w:r>
      <w:r w:rsidR="00CF15AA">
        <w:t xml:space="preserve"> measures under</w:t>
      </w:r>
      <w:r w:rsidR="00364CBD">
        <w:t xml:space="preserve"> </w:t>
      </w:r>
      <w:r w:rsidRPr="00090AD5" w:rsidR="006B6D23">
        <w:t>Leasehold and Freehold Reform Act 2024</w:t>
      </w:r>
      <w:r w:rsidR="00CF15AA">
        <w:t>,</w:t>
      </w:r>
      <w:r w:rsidR="006B6D23">
        <w:t xml:space="preserve"> and </w:t>
      </w:r>
      <w:r w:rsidR="00CF15AA">
        <w:t xml:space="preserve">certain </w:t>
      </w:r>
      <w:r w:rsidR="00E37953">
        <w:t xml:space="preserve">proposals of this draft Bill </w:t>
      </w:r>
      <w:r w:rsidR="00CF15AA">
        <w:t>(including</w:t>
      </w:r>
      <w:r w:rsidRPr="00676987" w:rsidR="00CF15AA">
        <w:t xml:space="preserve"> abolishing forfeiture for non</w:t>
      </w:r>
      <w:r w:rsidRPr="00676987" w:rsidR="00CF15AA">
        <w:noBreakHyphen/>
        <w:t>payment of service charges</w:t>
      </w:r>
      <w:r w:rsidR="00CF15AA">
        <w:t>, r</w:t>
      </w:r>
      <w:r w:rsidRPr="00676987" w:rsidR="00CF15AA">
        <w:t>eplacing it with a proportionate court</w:t>
      </w:r>
      <w:r w:rsidRPr="00676987" w:rsidR="00CF15AA">
        <w:noBreakHyphen/>
        <w:t xml:space="preserve">based enforcement regime, capping </w:t>
      </w:r>
      <w:r w:rsidRPr="00676987" w:rsidR="00CF15AA">
        <w:t>ground rents to reduce overall financial pressure, and removing harsh enforcement mechanisms</w:t>
      </w:r>
      <w:r w:rsidR="00CF15AA">
        <w:t xml:space="preserve">) </w:t>
      </w:r>
      <w:r w:rsidR="00364CBD">
        <w:t>are implemented</w:t>
      </w:r>
      <w:r w:rsidR="00CF15AA">
        <w:t>.</w:t>
      </w:r>
    </w:p>
    <w:p w:rsidR="001821CE" w:rsidP="001821CE">
      <w:pPr>
        <w:numPr>
          <w:ilvl w:val="0"/>
          <w:numId w:val="12"/>
        </w:numPr>
        <w:rPr>
          <w:b/>
          <w:bCs/>
        </w:rPr>
      </w:pPr>
      <w:r w:rsidRPr="001821CE">
        <w:rPr>
          <w:b/>
          <w:bCs/>
        </w:rPr>
        <w:t>How does the draft Bill allow for commonholds to be flexible and tailored to suit the needs of all development types? </w:t>
      </w:r>
    </w:p>
    <w:p w:rsidR="001C0B97" w:rsidRPr="001821CE" w:rsidP="001C0B97">
      <w:r>
        <w:t>The Bill aims for flexibility, but without</w:t>
      </w:r>
      <w:r w:rsidRPr="005349AD" w:rsidR="005349AD">
        <w:t xml:space="preserve"> </w:t>
      </w:r>
      <w:r w:rsidR="005349AD">
        <w:t>sight of the updated</w:t>
      </w:r>
      <w:r>
        <w:t xml:space="preserve"> standardised </w:t>
      </w:r>
      <w:r w:rsidR="00BB5F62">
        <w:t>documents</w:t>
      </w:r>
      <w:r>
        <w:t xml:space="preserve"> and consistent rules, </w:t>
      </w:r>
      <w:r w:rsidR="0076689D">
        <w:t xml:space="preserve">it will be </w:t>
      </w:r>
      <w:r w:rsidR="00E51963">
        <w:t>difficult</w:t>
      </w:r>
      <w:r w:rsidR="0076689D">
        <w:t xml:space="preserve"> for lenders to underwrite commonhold mortgage applications and for valuers to </w:t>
      </w:r>
      <w:r w:rsidR="00B92A67">
        <w:t>assess</w:t>
      </w:r>
      <w:r w:rsidR="007379AB">
        <w:t xml:space="preserve"> the property’s value. The added complexity increases the risk and costs involved in assessing the application. </w:t>
      </w:r>
    </w:p>
    <w:p w:rsidR="001821CE" w:rsidP="001821CE">
      <w:pPr>
        <w:numPr>
          <w:ilvl w:val="0"/>
          <w:numId w:val="12"/>
        </w:numPr>
        <w:rPr>
          <w:b/>
          <w:bCs/>
        </w:rPr>
      </w:pPr>
      <w:r w:rsidRPr="001821CE">
        <w:rPr>
          <w:b/>
          <w:bCs/>
        </w:rPr>
        <w:t>What framework does the draft Bill establish for ensuring fair collective decision-making in commonhold associations? </w:t>
      </w:r>
    </w:p>
    <w:p w:rsidR="00421D2B" w:rsidP="00B55029">
      <w:r>
        <w:t>The framework relies heavily on volunteer directors, which members fe</w:t>
      </w:r>
      <w:r w:rsidR="004D232E">
        <w:t>e</w:t>
      </w:r>
      <w:r>
        <w:t>l presents significant risk given building safety and financial obligations.</w:t>
      </w:r>
      <w:r w:rsidR="00FF204C">
        <w:t xml:space="preserve"> </w:t>
      </w:r>
    </w:p>
    <w:p w:rsidR="00421D2B" w:rsidP="00B55029">
      <w:r>
        <w:t xml:space="preserve">Members are concerned that they </w:t>
      </w:r>
      <w:r w:rsidRPr="00421D2B">
        <w:t xml:space="preserve">will be exposed to collective action by other owners whose incentives may not align with preserving </w:t>
      </w:r>
      <w:r w:rsidR="00CF15AA">
        <w:t xml:space="preserve">the </w:t>
      </w:r>
      <w:r w:rsidR="00C11D67">
        <w:t>property</w:t>
      </w:r>
      <w:r w:rsidRPr="00421D2B">
        <w:t xml:space="preserve"> value. Although tribunal oversight exists</w:t>
      </w:r>
      <w:r w:rsidR="00B02076">
        <w:t xml:space="preserve">, the owners will still have the </w:t>
      </w:r>
      <w:r w:rsidR="003F608C">
        <w:t xml:space="preserve">decision-making power to </w:t>
      </w:r>
      <w:r w:rsidR="003F608C">
        <w:t>take action</w:t>
      </w:r>
      <w:r w:rsidR="003F608C">
        <w:t xml:space="preserve"> which impacts the value of their property (and in turn, its mortgage-ability).</w:t>
      </w:r>
    </w:p>
    <w:p w:rsidR="00781714" w:rsidP="00B55029">
      <w:r>
        <w:t>Because unit owners collectively determine budgets, reserve funds and special levies, owner driven decisions to raise substantial funds at short notice could create material and unanticipated cashflow demands, underscoring the need for clarity on the status, enforceability and priority of such obligations relative to a registered mortgage.</w:t>
      </w:r>
    </w:p>
    <w:p w:rsidR="005D0AF6" w:rsidP="00B55029">
      <w:r>
        <w:t xml:space="preserve">Members </w:t>
      </w:r>
      <w:r>
        <w:t>are also c</w:t>
      </w:r>
      <w:r w:rsidRPr="005D0AF6">
        <w:t>oncern</w:t>
      </w:r>
      <w:r>
        <w:t>ed that this framework creates</w:t>
      </w:r>
      <w:r w:rsidRPr="005D0AF6">
        <w:t xml:space="preserve"> a new expectation that lenders will</w:t>
      </w:r>
      <w:r w:rsidR="00C11D67">
        <w:t xml:space="preserve"> need to </w:t>
      </w:r>
      <w:r w:rsidRPr="005D0AF6">
        <w:t>participate in</w:t>
      </w:r>
      <w:r w:rsidR="00C11D67">
        <w:t xml:space="preserve"> </w:t>
      </w:r>
      <w:r w:rsidR="005D7CAC">
        <w:t>c</w:t>
      </w:r>
      <w:r w:rsidR="00C11D67">
        <w:t xml:space="preserve">ommonhold </w:t>
      </w:r>
      <w:r w:rsidR="005D7CAC">
        <w:t>a</w:t>
      </w:r>
      <w:r w:rsidR="00C11D67">
        <w:t>ssociation</w:t>
      </w:r>
      <w:r w:rsidRPr="005D0AF6">
        <w:t xml:space="preserve"> governance and management activity</w:t>
      </w:r>
      <w:r>
        <w:t>. Th</w:t>
      </w:r>
      <w:r w:rsidR="00903642">
        <w:t xml:space="preserve">ere is little appetite for lenders to </w:t>
      </w:r>
      <w:r w:rsidR="00A31AA8">
        <w:t xml:space="preserve">be involved in </w:t>
      </w:r>
      <w:r w:rsidR="00C11D67">
        <w:t xml:space="preserve">this </w:t>
      </w:r>
      <w:r w:rsidR="00A31AA8">
        <w:t xml:space="preserve">new role, which </w:t>
      </w:r>
      <w:r w:rsidRPr="005D0AF6">
        <w:t>if required</w:t>
      </w:r>
      <w:r w:rsidR="00A31AA8">
        <w:t>,</w:t>
      </w:r>
      <w:r w:rsidRPr="005D0AF6">
        <w:t xml:space="preserve"> will lead to </w:t>
      </w:r>
      <w:r w:rsidR="00C11D67">
        <w:t xml:space="preserve">increased </w:t>
      </w:r>
      <w:r w:rsidRPr="005D0AF6">
        <w:t xml:space="preserve">costs for borrowers. </w:t>
      </w:r>
    </w:p>
    <w:p w:rsidR="00E06CDD" w:rsidP="00B55029">
      <w:r>
        <w:t xml:space="preserve">Moving to commonhold also brings new risks in this regard as </w:t>
      </w:r>
      <w:r w:rsidR="005D7CAC">
        <w:t>c</w:t>
      </w:r>
      <w:r w:rsidR="00CD5465">
        <w:t xml:space="preserve">ommonhold </w:t>
      </w:r>
      <w:r w:rsidR="005D7CAC">
        <w:t>a</w:t>
      </w:r>
      <w:r w:rsidR="00CD5465">
        <w:t>ssociations</w:t>
      </w:r>
      <w:r>
        <w:t xml:space="preserve"> without expertise in these areas, could make decisions</w:t>
      </w:r>
      <w:r w:rsidR="00150796">
        <w:t xml:space="preserve"> that</w:t>
      </w:r>
      <w:r>
        <w:t xml:space="preserve"> lead to there being a shortfall in sinking fund</w:t>
      </w:r>
      <w:r w:rsidR="00B76A5F">
        <w:t>s</w:t>
      </w:r>
      <w:r>
        <w:t xml:space="preserve"> and ineffective management of the commonhold.</w:t>
      </w:r>
      <w:r w:rsidR="00E96BCE">
        <w:t xml:space="preserve"> </w:t>
      </w:r>
      <w:r w:rsidR="003823D9">
        <w:t xml:space="preserve">Members understand </w:t>
      </w:r>
      <w:r w:rsidR="00751270">
        <w:t>commonholders</w:t>
      </w:r>
      <w:r w:rsidR="00751270">
        <w:t xml:space="preserve"> may wi</w:t>
      </w:r>
      <w:r w:rsidR="00745050">
        <w:t>s</w:t>
      </w:r>
      <w:r w:rsidR="00751270">
        <w:t xml:space="preserve">h to appoint a professional management company instead, but this </w:t>
      </w:r>
      <w:r w:rsidR="00874485">
        <w:t>is unlikely to reduce costs</w:t>
      </w:r>
      <w:r w:rsidR="00FC3C67">
        <w:t xml:space="preserve">. </w:t>
      </w:r>
    </w:p>
    <w:p w:rsidR="00FD4525" w:rsidRPr="001821CE" w:rsidP="00B55029">
      <w:r>
        <w:t>There is a</w:t>
      </w:r>
      <w:r w:rsidR="00E438AB">
        <w:t>lso</w:t>
      </w:r>
      <w:r>
        <w:t xml:space="preserve"> concern that </w:t>
      </w:r>
      <w:r w:rsidR="00827D80">
        <w:t xml:space="preserve">collective decision-making will not be inclusive of homeowners with </w:t>
      </w:r>
      <w:r w:rsidR="00E76285">
        <w:t>vulnerabilities</w:t>
      </w:r>
      <w:r w:rsidR="00827D80">
        <w:t xml:space="preserve">. </w:t>
      </w:r>
      <w:r w:rsidR="00D456ED">
        <w:t xml:space="preserve">Disputes </w:t>
      </w:r>
      <w:r w:rsidR="007C6671">
        <w:t>c</w:t>
      </w:r>
      <w:r w:rsidR="00C11D67">
        <w:t>ould</w:t>
      </w:r>
      <w:r w:rsidR="007C6671">
        <w:t xml:space="preserve"> delay important</w:t>
      </w:r>
      <w:r w:rsidR="00D456ED">
        <w:t xml:space="preserve"> decision making which </w:t>
      </w:r>
      <w:r w:rsidR="00EA7037">
        <w:t xml:space="preserve">can put the property at risk. </w:t>
      </w:r>
    </w:p>
    <w:p w:rsidR="001821CE" w:rsidP="001821CE">
      <w:pPr>
        <w:numPr>
          <w:ilvl w:val="0"/>
          <w:numId w:val="12"/>
        </w:numPr>
        <w:rPr>
          <w:b/>
          <w:bCs/>
        </w:rPr>
      </w:pPr>
      <w:r w:rsidRPr="001821CE">
        <w:rPr>
          <w:b/>
          <w:bCs/>
        </w:rPr>
        <w:t>Are the mechanisms for dispute resolution sufficiently robust to address potential disputes which may arise within commonhold associations? </w:t>
      </w:r>
    </w:p>
    <w:p w:rsidR="00F42CD1" w:rsidP="006A49DB">
      <w:r>
        <w:t xml:space="preserve">Members </w:t>
      </w:r>
      <w:r w:rsidR="008C6FF4">
        <w:t xml:space="preserve">understand that many </w:t>
      </w:r>
      <w:r w:rsidR="004E678C">
        <w:t>p</w:t>
      </w:r>
      <w:r w:rsidRPr="004E678C" w:rsidR="004E678C">
        <w:t>rotections rely on the ability to resolve issues through the tribunal process</w:t>
      </w:r>
      <w:r w:rsidR="004E678C">
        <w:t xml:space="preserve">. However, </w:t>
      </w:r>
      <w:r>
        <w:t>members are concerned</w:t>
      </w:r>
      <w:r w:rsidR="0055596E">
        <w:t xml:space="preserve"> </w:t>
      </w:r>
      <w:r w:rsidR="001E3AF6">
        <w:t>how effective this will b</w:t>
      </w:r>
      <w:r w:rsidR="005154BA">
        <w:t>e. It could put tribunal</w:t>
      </w:r>
      <w:r w:rsidR="00DC7A0D">
        <w:t xml:space="preserve"> capacity</w:t>
      </w:r>
      <w:r w:rsidR="005154BA">
        <w:t xml:space="preserve"> under </w:t>
      </w:r>
      <w:r w:rsidR="00F04AB6">
        <w:t>strain and</w:t>
      </w:r>
      <w:r w:rsidR="00DC7A0D">
        <w:t xml:space="preserve"> </w:t>
      </w:r>
      <w:r w:rsidR="00F04AB6">
        <w:t>be costly for those involved</w:t>
      </w:r>
      <w:r w:rsidR="00FC3C67">
        <w:t xml:space="preserve">. </w:t>
      </w:r>
    </w:p>
    <w:p w:rsidR="001821CE" w:rsidP="001821CE">
      <w:pPr>
        <w:numPr>
          <w:ilvl w:val="0"/>
          <w:numId w:val="12"/>
        </w:numPr>
        <w:rPr>
          <w:b/>
          <w:bCs/>
        </w:rPr>
      </w:pPr>
      <w:r w:rsidRPr="001821CE">
        <w:rPr>
          <w:b/>
          <w:bCs/>
        </w:rPr>
        <w:t>Does the draft Bill’s definition of permitted leases ensure shared owners and owners with lease-based home purchase plans are fully included under the commonhold model? </w:t>
      </w:r>
    </w:p>
    <w:p w:rsidR="00AE3F09" w:rsidRPr="001821CE" w:rsidP="00AE3F09">
      <w:r>
        <w:t xml:space="preserve">We understand that shared ownership </w:t>
      </w:r>
      <w:r w:rsidR="006527B6">
        <w:t xml:space="preserve">and </w:t>
      </w:r>
      <w:r w:rsidRPr="006527B6" w:rsidR="006527B6">
        <w:t xml:space="preserve">owners with lease-based home purchase </w:t>
      </w:r>
      <w:r w:rsidRPr="00937433" w:rsidR="006527B6">
        <w:t>plans</w:t>
      </w:r>
      <w:r w:rsidR="006E2603">
        <w:t xml:space="preserve">, </w:t>
      </w:r>
      <w:r w:rsidRPr="00937433" w:rsidR="003319F7">
        <w:t>including home reversion plans and</w:t>
      </w:r>
      <w:r w:rsidR="00076B2D">
        <w:t xml:space="preserve"> regulated</w:t>
      </w:r>
      <w:r w:rsidRPr="00937433" w:rsidR="003319F7">
        <w:t xml:space="preserve"> home purchase plans</w:t>
      </w:r>
      <w:r w:rsidR="001D384A">
        <w:t>,</w:t>
      </w:r>
      <w:r w:rsidRPr="00937433" w:rsidR="003319F7">
        <w:t xml:space="preserve"> such as</w:t>
      </w:r>
      <w:r w:rsidR="00076B2D">
        <w:t xml:space="preserve"> regulated</w:t>
      </w:r>
      <w:r w:rsidRPr="00937433" w:rsidR="003319F7">
        <w:t xml:space="preserve"> Islamic/Sharia</w:t>
      </w:r>
      <w:r w:rsidR="001976C2">
        <w:t>h</w:t>
      </w:r>
      <w:r w:rsidRPr="00937433" w:rsidR="003319F7">
        <w:t xml:space="preserve"> compliant finance</w:t>
      </w:r>
      <w:r w:rsidR="00351156">
        <w:t>,</w:t>
      </w:r>
      <w:r w:rsidRPr="00937433" w:rsidR="003319F7">
        <w:t xml:space="preserve"> </w:t>
      </w:r>
      <w:r w:rsidRPr="00937433" w:rsidR="00937433">
        <w:t>will be included under the commonhold model.</w:t>
      </w:r>
      <w:r w:rsidR="006D5CD0">
        <w:t xml:space="preserve"> Our members</w:t>
      </w:r>
      <w:r w:rsidR="00CA108F">
        <w:t xml:space="preserve"> would</w:t>
      </w:r>
      <w:r w:rsidRPr="00E34780" w:rsidR="00CA108F">
        <w:t xml:space="preserve"> welcome confirmation that </w:t>
      </w:r>
      <w:r w:rsidR="00ED71C9">
        <w:t xml:space="preserve">unregulated </w:t>
      </w:r>
      <w:r w:rsidRPr="00E34780" w:rsidR="00CA108F">
        <w:t>home purchase plans</w:t>
      </w:r>
      <w:r w:rsidR="00CA108F">
        <w:t xml:space="preserve"> </w:t>
      </w:r>
      <w:r w:rsidR="006D5CD0">
        <w:t xml:space="preserve">(which </w:t>
      </w:r>
      <w:r w:rsidR="001976C2">
        <w:t>are</w:t>
      </w:r>
      <w:r w:rsidR="006D5CD0">
        <w:t xml:space="preserve"> common in</w:t>
      </w:r>
      <w:r w:rsidR="006E2603">
        <w:t xml:space="preserve"> buy-to-let (</w:t>
      </w:r>
      <w:r w:rsidR="006D5CD0">
        <w:t>BTL</w:t>
      </w:r>
      <w:r w:rsidR="006E2603">
        <w:t>)</w:t>
      </w:r>
      <w:r w:rsidR="006D5CD0">
        <w:t xml:space="preserve"> </w:t>
      </w:r>
      <w:r w:rsidR="001976C2">
        <w:t xml:space="preserve">Shariah </w:t>
      </w:r>
      <w:r w:rsidR="00351156">
        <w:t>compliant finance</w:t>
      </w:r>
      <w:r w:rsidR="001976C2">
        <w:t>)</w:t>
      </w:r>
      <w:r w:rsidR="00D1366F">
        <w:t xml:space="preserve"> </w:t>
      </w:r>
      <w:r w:rsidR="00CA108F">
        <w:t xml:space="preserve">are also </w:t>
      </w:r>
      <w:r w:rsidR="00B07E38">
        <w:t xml:space="preserve">fully </w:t>
      </w:r>
      <w:r w:rsidR="00CA108F">
        <w:t>included</w:t>
      </w:r>
      <w:r w:rsidRPr="00E34780" w:rsidR="00CA108F">
        <w:t>.</w:t>
      </w:r>
      <w:r w:rsidR="00F84A5D">
        <w:t xml:space="preserve"> The current drafting is unclear as it refers to ‘regulated home purchase plans’ only</w:t>
      </w:r>
      <w:r w:rsidR="002C3617">
        <w:t>.</w:t>
      </w:r>
    </w:p>
    <w:p w:rsidR="008B1D75" w:rsidP="008B1D75">
      <w:pPr>
        <w:numPr>
          <w:ilvl w:val="0"/>
          <w:numId w:val="12"/>
        </w:numPr>
        <w:rPr>
          <w:b/>
          <w:bCs/>
        </w:rPr>
      </w:pPr>
      <w:r w:rsidRPr="001821CE">
        <w:rPr>
          <w:b/>
          <w:bCs/>
        </w:rPr>
        <w:t>What would be the consequences of converting to commonhold for leaseholders in blocks with building safety defects? </w:t>
      </w:r>
    </w:p>
    <w:p w:rsidR="00BF0CE8" w:rsidRPr="005E1522" w:rsidP="008B1D75">
      <w:r>
        <w:t>Members are concerned that</w:t>
      </w:r>
      <w:r w:rsidR="00681F71">
        <w:t xml:space="preserve"> </w:t>
      </w:r>
      <w:r>
        <w:t>the</w:t>
      </w:r>
      <w:r w:rsidR="00681F71">
        <w:t xml:space="preserve"> </w:t>
      </w:r>
      <w:r w:rsidR="005D7CAC">
        <w:t>c</w:t>
      </w:r>
      <w:r w:rsidR="00C51F68">
        <w:t>ommonhold</w:t>
      </w:r>
      <w:r>
        <w:t xml:space="preserve"> </w:t>
      </w:r>
      <w:r w:rsidR="005D7CAC">
        <w:t>a</w:t>
      </w:r>
      <w:r>
        <w:t>ssociation</w:t>
      </w:r>
      <w:r w:rsidR="00C51F68">
        <w:t xml:space="preserve"> will become responsible for the</w:t>
      </w:r>
      <w:r w:rsidR="004713BE">
        <w:t xml:space="preserve"> work required to resolve the defects</w:t>
      </w:r>
      <w:r>
        <w:t xml:space="preserve">, </w:t>
      </w:r>
      <w:r w:rsidR="00F75014">
        <w:t>whereas it is currently the freeholder who is responsible</w:t>
      </w:r>
      <w:r w:rsidR="004713BE">
        <w:t xml:space="preserve">. This could include complex technical work regarding fire safety issues such as cladding. It increases the property risk as the </w:t>
      </w:r>
      <w:r w:rsidR="00D27859">
        <w:t xml:space="preserve">directors of the </w:t>
      </w:r>
      <w:r w:rsidR="005D7CAC">
        <w:t>c</w:t>
      </w:r>
      <w:r w:rsidR="004713BE">
        <w:t>ommonhold</w:t>
      </w:r>
      <w:r w:rsidR="00D27859">
        <w:t xml:space="preserve"> </w:t>
      </w:r>
      <w:r w:rsidR="005D7CAC">
        <w:t>a</w:t>
      </w:r>
      <w:r w:rsidR="00D27859">
        <w:t>ssociation</w:t>
      </w:r>
      <w:r w:rsidR="004713BE">
        <w:t xml:space="preserve"> are unlikely to have expertise and experience i</w:t>
      </w:r>
      <w:r w:rsidR="003B3849">
        <w:t xml:space="preserve">n </w:t>
      </w:r>
      <w:r w:rsidR="003822C8">
        <w:t xml:space="preserve">these technical </w:t>
      </w:r>
      <w:r w:rsidR="00A40005">
        <w:t>responsibilities</w:t>
      </w:r>
      <w:r w:rsidR="003B3849">
        <w:t xml:space="preserve">. There is a risk that the </w:t>
      </w:r>
      <w:r w:rsidR="005D7CAC">
        <w:t>c</w:t>
      </w:r>
      <w:r w:rsidR="005E1522">
        <w:t xml:space="preserve">ommonhold </w:t>
      </w:r>
      <w:r w:rsidR="005D7CAC">
        <w:t>a</w:t>
      </w:r>
      <w:r w:rsidR="005E1522">
        <w:t>ssociation underfunds the works required and does not act</w:t>
      </w:r>
      <w:r w:rsidR="008B1D75">
        <w:t xml:space="preserve"> </w:t>
      </w:r>
      <w:r w:rsidR="005E1522">
        <w:t xml:space="preserve">to resolve matters in an </w:t>
      </w:r>
      <w:r w:rsidR="00D27859">
        <w:t>appropriate</w:t>
      </w:r>
      <w:r w:rsidR="005E1522">
        <w:t xml:space="preserve"> time</w:t>
      </w:r>
      <w:r w:rsidR="00A40005">
        <w:t>frame</w:t>
      </w:r>
      <w:r w:rsidR="005E1522">
        <w:t>.</w:t>
      </w:r>
    </w:p>
    <w:p w:rsidR="001821CE" w:rsidRPr="001821CE" w:rsidP="00881D71">
      <w:pPr>
        <w:pStyle w:val="Heading2"/>
      </w:pPr>
      <w:r w:rsidRPr="001821CE">
        <w:t>Banning the sale of new leasehold flats and making commonhold the default tenure </w:t>
      </w:r>
    </w:p>
    <w:p w:rsidR="001821CE" w:rsidRPr="002A5E1D" w:rsidP="001821CE">
      <w:pPr>
        <w:numPr>
          <w:ilvl w:val="0"/>
          <w:numId w:val="13"/>
        </w:numPr>
        <w:rPr>
          <w:b/>
          <w:bCs/>
        </w:rPr>
      </w:pPr>
      <w:r w:rsidRPr="001821CE">
        <w:rPr>
          <w:b/>
          <w:bCs/>
        </w:rPr>
        <w:t>What is a realistic timeline to ban the sale of new leasehold flats? </w:t>
      </w:r>
    </w:p>
    <w:p w:rsidR="008231DE" w:rsidP="002A5E1D">
      <w:r>
        <w:t xml:space="preserve">Before </w:t>
      </w:r>
      <w:r w:rsidR="005F323C">
        <w:t xml:space="preserve">setting a realistic timescale, the </w:t>
      </w:r>
      <w:r>
        <w:t>government should consider</w:t>
      </w:r>
      <w:r w:rsidR="00A40005">
        <w:t xml:space="preserve"> the</w:t>
      </w:r>
      <w:r>
        <w:t xml:space="preserve"> responses MHCLG</w:t>
      </w:r>
      <w:r w:rsidR="00A40005">
        <w:t xml:space="preserve"> will receive to its</w:t>
      </w:r>
      <w:r>
        <w:t xml:space="preserve"> </w:t>
      </w:r>
      <w:r>
        <w:fldChar w:fldCharType="begin"/>
      </w:r>
      <w:r>
        <w:instrText xml:space="preserve"> HYPERLINK "https://www.gov.uk/government/consultations/moving-to-commonhold-banning-leasehold-for-new-flats/moving-to-commonhold-banning-leasehold-for-new-flats" </w:instrText>
      </w:r>
      <w:r>
        <w:fldChar w:fldCharType="separate"/>
      </w:r>
      <w:r>
        <w:rPr>
          <w:rStyle w:val="Hyperlink"/>
        </w:rPr>
        <w:t>Moving to commonhold: banning leasehold for new flats consultation</w:t>
      </w:r>
      <w:r>
        <w:fldChar w:fldCharType="end"/>
      </w:r>
      <w:r>
        <w:t>, which closes 24 April 2026.</w:t>
      </w:r>
    </w:p>
    <w:p w:rsidR="004D081C" w:rsidP="002A5E1D">
      <w:r>
        <w:t xml:space="preserve">Given the governments ambition to build 1.5 million new homes </w:t>
      </w:r>
      <w:r>
        <w:t xml:space="preserve">in its term, we suggest the government firstly implements its </w:t>
      </w:r>
      <w:r w:rsidR="000755E5">
        <w:t>h</w:t>
      </w:r>
      <w:r>
        <w:t xml:space="preserve">omebuying </w:t>
      </w:r>
      <w:r w:rsidR="000755E5">
        <w:t>and</w:t>
      </w:r>
      <w:r>
        <w:t xml:space="preserve"> </w:t>
      </w:r>
      <w:r w:rsidR="000755E5">
        <w:t>s</w:t>
      </w:r>
      <w:r>
        <w:t xml:space="preserve">elling reform </w:t>
      </w:r>
      <w:r w:rsidR="00A40005">
        <w:t xml:space="preserve">proposals to streamline the process, </w:t>
      </w:r>
      <w:r>
        <w:t xml:space="preserve">before banning the sale of new leasehold flats. Not doing so risks causing further friction and </w:t>
      </w:r>
      <w:r w:rsidR="00CE5683">
        <w:t>delays by introducing a new tenure to a</w:t>
      </w:r>
      <w:r w:rsidR="000F1299">
        <w:t>n</w:t>
      </w:r>
      <w:r w:rsidR="00CE5683">
        <w:t xml:space="preserve"> under functioning process. </w:t>
      </w:r>
    </w:p>
    <w:p w:rsidR="00A40005" w:rsidP="002A5E1D">
      <w:r>
        <w:t xml:space="preserve">We recommend government considers the </w:t>
      </w:r>
      <w:r>
        <w:t xml:space="preserve">impact moving to commonhold will have on </w:t>
      </w:r>
      <w:r w:rsidR="00254165">
        <w:t xml:space="preserve">all key stakeholders in </w:t>
      </w:r>
      <w:r w:rsidR="00A10D4D">
        <w:t xml:space="preserve">the homebuying and selling industry before setting a </w:t>
      </w:r>
      <w:r w:rsidR="00A10D4D">
        <w:t>realistic timeframe. As a minimum this should include developers, estate agents, mortgage lenders</w:t>
      </w:r>
      <w:r w:rsidR="00254165">
        <w:t>, valuers,</w:t>
      </w:r>
      <w:r w:rsidR="00A10D4D">
        <w:t xml:space="preserve"> </w:t>
      </w:r>
      <w:r w:rsidR="00FC3C67">
        <w:t>conveyancers,</w:t>
      </w:r>
      <w:r w:rsidR="00254165">
        <w:t xml:space="preserve"> and </w:t>
      </w:r>
      <w:r>
        <w:t xml:space="preserve">HM </w:t>
      </w:r>
      <w:r w:rsidR="00C152F7">
        <w:t>L</w:t>
      </w:r>
      <w:r w:rsidR="00254165">
        <w:t xml:space="preserve">and </w:t>
      </w:r>
      <w:r w:rsidR="00C152F7">
        <w:t>R</w:t>
      </w:r>
      <w:r w:rsidR="00254165">
        <w:t>egistry.</w:t>
      </w:r>
      <w:r w:rsidR="002A5E1D">
        <w:t xml:space="preserve"> </w:t>
      </w:r>
    </w:p>
    <w:p w:rsidR="002A5E1D" w:rsidRPr="001821CE" w:rsidP="002A5E1D">
      <w:r>
        <w:t xml:space="preserve">Based on the experience of </w:t>
      </w:r>
      <w:r w:rsidR="00437A9A">
        <w:t>similar significant industry changes such as</w:t>
      </w:r>
      <w:r>
        <w:t xml:space="preserve"> the</w:t>
      </w:r>
      <w:r w:rsidR="00437A9A">
        <w:t xml:space="preserve"> Mortgage Market Review (2014)</w:t>
      </w:r>
      <w:r>
        <w:t xml:space="preserve"> and the</w:t>
      </w:r>
      <w:r w:rsidR="00437A9A">
        <w:t xml:space="preserve"> Mortgage Credit Directive (2016),</w:t>
      </w:r>
      <w:r w:rsidR="000A3045">
        <w:t xml:space="preserve"> we suggest a</w:t>
      </w:r>
      <w:r w:rsidR="00437A9A">
        <w:t xml:space="preserve"> minimum</w:t>
      </w:r>
      <w:r w:rsidR="000A3045">
        <w:t xml:space="preserve"> </w:t>
      </w:r>
      <w:r w:rsidR="00973F90">
        <w:t>24</w:t>
      </w:r>
      <w:r w:rsidR="007E2CDD">
        <w:t>-month</w:t>
      </w:r>
      <w:r w:rsidR="000A3045">
        <w:t xml:space="preserve"> implementation period</w:t>
      </w:r>
      <w:r w:rsidR="007215F1">
        <w:t xml:space="preserve"> from the date of enabling secondary legislation</w:t>
      </w:r>
      <w:r w:rsidR="000A3045">
        <w:t xml:space="preserve"> </w:t>
      </w:r>
      <w:r>
        <w:t xml:space="preserve">due to </w:t>
      </w:r>
      <w:r w:rsidR="00A40005">
        <w:t xml:space="preserve">significant </w:t>
      </w:r>
      <w:r>
        <w:t>widespread</w:t>
      </w:r>
      <w:r w:rsidR="007E2CDD">
        <w:t xml:space="preserve"> changes required</w:t>
      </w:r>
      <w:r>
        <w:t xml:space="preserve"> across </w:t>
      </w:r>
      <w:r w:rsidR="00A40005">
        <w:t>a number of</w:t>
      </w:r>
      <w:r w:rsidR="000A3045">
        <w:t xml:space="preserve"> </w:t>
      </w:r>
      <w:r w:rsidR="007E2CDD">
        <w:t xml:space="preserve">inter-dependent </w:t>
      </w:r>
      <w:r w:rsidR="000A3045">
        <w:t xml:space="preserve">stakeholders. </w:t>
      </w:r>
    </w:p>
    <w:p w:rsidR="001821CE" w:rsidRPr="00C33F0A" w:rsidP="001821CE">
      <w:pPr>
        <w:numPr>
          <w:ilvl w:val="0"/>
          <w:numId w:val="13"/>
        </w:numPr>
        <w:rPr>
          <w:b/>
          <w:bCs/>
        </w:rPr>
      </w:pPr>
      <w:r w:rsidRPr="001821CE">
        <w:rPr>
          <w:b/>
          <w:bCs/>
        </w:rPr>
        <w:t>What are the possible impacts of the draft Bill on the property sector, including to property values and housing supply? </w:t>
      </w:r>
    </w:p>
    <w:p w:rsidR="00B83982" w:rsidP="00096702">
      <w:r>
        <w:t>Members expect b</w:t>
      </w:r>
      <w:r w:rsidRPr="00E129B1">
        <w:t xml:space="preserve">anning new leasehold flats and moving to commonhold will be disruptive to the property market, at least in the short term </w:t>
      </w:r>
      <w:r>
        <w:t xml:space="preserve">as the industry adjusts to the </w:t>
      </w:r>
      <w:r w:rsidR="00B55AA8">
        <w:t>mandated use of a new tenure.</w:t>
      </w:r>
    </w:p>
    <w:p w:rsidR="00C33F0A" w:rsidP="00C33F0A">
      <w:r>
        <w:t>For example,</w:t>
      </w:r>
      <w:r w:rsidR="007629E4">
        <w:t xml:space="preserve"> there is likely to be</w:t>
      </w:r>
      <w:r>
        <w:t xml:space="preserve"> </w:t>
      </w:r>
      <w:r w:rsidR="00DA3FE2">
        <w:t xml:space="preserve">a shortage of </w:t>
      </w:r>
      <w:r>
        <w:t>valu</w:t>
      </w:r>
      <w:r w:rsidR="00DA3FE2">
        <w:t>ers and conveyancers with confidence to offer professional advice on commonhold. Despit</w:t>
      </w:r>
      <w:r w:rsidR="00510DC5">
        <w:t>e mortgage lenders accepting applications on commonhold units, the</w:t>
      </w:r>
      <w:r w:rsidR="002765A4">
        <w:t>re</w:t>
      </w:r>
      <w:r w:rsidR="00510DC5">
        <w:t xml:space="preserve"> </w:t>
      </w:r>
      <w:r w:rsidR="002765A4">
        <w:t>could</w:t>
      </w:r>
      <w:r w:rsidR="00510DC5">
        <w:t xml:space="preserve"> be</w:t>
      </w:r>
      <w:r>
        <w:t xml:space="preserve"> uncertainty</w:t>
      </w:r>
      <w:r w:rsidR="00DA3FE2">
        <w:t xml:space="preserve"> o</w:t>
      </w:r>
      <w:r w:rsidR="006031F7">
        <w:t>ver</w:t>
      </w:r>
      <w:r w:rsidR="00DA3FE2">
        <w:t xml:space="preserve"> whether mortgage lenders can approve </w:t>
      </w:r>
      <w:r w:rsidR="00510DC5">
        <w:t>the</w:t>
      </w:r>
      <w:r w:rsidR="00DA3FE2">
        <w:t xml:space="preserve"> applications. </w:t>
      </w:r>
    </w:p>
    <w:p w:rsidR="00B939C9" w:rsidP="00096702">
      <w:r w:rsidRPr="007D6721">
        <w:t>Whil</w:t>
      </w:r>
      <w:r w:rsidR="00110F5D">
        <w:t>e</w:t>
      </w:r>
      <w:r w:rsidRPr="007D6721">
        <w:t xml:space="preserve"> the Bill mandates reserve funds</w:t>
      </w:r>
      <w:r>
        <w:t>,</w:t>
      </w:r>
      <w:r w:rsidRPr="007D6721">
        <w:t xml:space="preserve"> </w:t>
      </w:r>
      <w:r>
        <w:t>members</w:t>
      </w:r>
      <w:r w:rsidRPr="007D6721">
        <w:t xml:space="preserve"> see issues today with tenant owned management companies </w:t>
      </w:r>
      <w:r w:rsidR="00110F5D">
        <w:t>that</w:t>
      </w:r>
      <w:r w:rsidRPr="007D6721">
        <w:t xml:space="preserve"> do not have sufficient funds to cover major works. </w:t>
      </w:r>
      <w:r>
        <w:t>Members are concerned that this</w:t>
      </w:r>
      <w:r w:rsidR="00110F5D">
        <w:t xml:space="preserve"> is</w:t>
      </w:r>
      <w:r>
        <w:t xml:space="preserve"> likely</w:t>
      </w:r>
      <w:r w:rsidR="00110F5D">
        <w:t xml:space="preserve"> to</w:t>
      </w:r>
      <w:r>
        <w:t xml:space="preserve"> be</w:t>
      </w:r>
      <w:r w:rsidR="00110F5D">
        <w:t>come</w:t>
      </w:r>
      <w:r>
        <w:t xml:space="preserve"> more prevalent under commonhold. </w:t>
      </w:r>
    </w:p>
    <w:p w:rsidR="00013315" w:rsidRPr="007D6721" w:rsidP="00096702">
      <w:r>
        <w:t>Although the Bill provides for the appointment of a successor association on insolvency, lenders will require greater operational certainty and confidence that essential services and building safety obligations continue to be discharged, including how and how quickly control, contracts and compliance responsibilities transfer during any insolvency or transition period.</w:t>
      </w:r>
    </w:p>
    <w:p w:rsidR="00B939C9" w:rsidP="00C33F0A">
      <w:r>
        <w:t xml:space="preserve">The </w:t>
      </w:r>
      <w:r w:rsidRPr="007D6721">
        <w:t xml:space="preserve">Bill provides for charges over or sale of common parts by the commonhold association. This is a real concern for lenders as it could impact the value of the property and down value </w:t>
      </w:r>
      <w:r>
        <w:t>their</w:t>
      </w:r>
      <w:r w:rsidRPr="007D6721">
        <w:t xml:space="preserve"> security.</w:t>
      </w:r>
      <w:r w:rsidRPr="00C53DA7" w:rsidR="00C53DA7">
        <w:t xml:space="preserve"> </w:t>
      </w:r>
      <w:r w:rsidR="00C53DA7">
        <w:t>Clarity is needed to ensure that common parts essential to value cannot be charged or disposed of in a way that prejudices existing secured lending.</w:t>
      </w:r>
    </w:p>
    <w:p w:rsidR="00C479CC" w:rsidRPr="001821CE" w:rsidP="00C33F0A">
      <w:r>
        <w:t>There is a risk that c</w:t>
      </w:r>
      <w:r w:rsidR="007C7470">
        <w:t>apping</w:t>
      </w:r>
      <w:r w:rsidR="00E129B1">
        <w:t xml:space="preserve"> ground rents could</w:t>
      </w:r>
      <w:r w:rsidRPr="00C479CC">
        <w:t xml:space="preserve"> impact access to finance for business customers operating real estate portfolios and therefore commercial lenders due to the potential devaluation of freeholder assets and the change to income models. </w:t>
      </w:r>
    </w:p>
    <w:p w:rsidR="001821CE" w:rsidP="001821CE">
      <w:pPr>
        <w:numPr>
          <w:ilvl w:val="0"/>
          <w:numId w:val="13"/>
        </w:numPr>
        <w:rPr>
          <w:b/>
          <w:bCs/>
        </w:rPr>
      </w:pPr>
      <w:r w:rsidRPr="001821CE">
        <w:rPr>
          <w:b/>
          <w:bCs/>
        </w:rPr>
        <w:t>Do the provisions in the draft Bill improve confidence in commonhold across the property sector? </w:t>
      </w:r>
    </w:p>
    <w:p w:rsidR="00FE6F3C" w:rsidRPr="001821CE" w:rsidP="00EA5BB9">
      <w:r>
        <w:t>Mandating the use of commonhold provides certainty that it will be the new default tenure. However, member c</w:t>
      </w:r>
      <w:r w:rsidR="00EA5BB9">
        <w:t>onfidence</w:t>
      </w:r>
      <w:r w:rsidR="002E6478">
        <w:t xml:space="preserve"> over its merits</w:t>
      </w:r>
      <w:r w:rsidR="00EA5BB9">
        <w:t xml:space="preserve"> is currently low due to lack of</w:t>
      </w:r>
      <w:r>
        <w:t xml:space="preserve"> </w:t>
      </w:r>
      <w:r w:rsidR="00175235">
        <w:t>expertise, guidance</w:t>
      </w:r>
      <w:r w:rsidR="00EA5BB9">
        <w:t xml:space="preserve">, </w:t>
      </w:r>
      <w:r w:rsidR="00FC3C67">
        <w:t>standardisation,</w:t>
      </w:r>
      <w:r w:rsidR="00EA5BB9">
        <w:t xml:space="preserve"> and market readiness</w:t>
      </w:r>
      <w:r w:rsidR="001D34A8">
        <w:t xml:space="preserve"> for such a significant change</w:t>
      </w:r>
      <w:r w:rsidR="00EA5BB9">
        <w:t>.</w:t>
      </w:r>
    </w:p>
    <w:p w:rsidR="001821CE" w:rsidRPr="001821CE" w:rsidP="00881D71">
      <w:pPr>
        <w:pStyle w:val="Heading2"/>
      </w:pPr>
      <w:r w:rsidRPr="001821CE">
        <w:t>Implementation and final questions </w:t>
      </w:r>
    </w:p>
    <w:p w:rsidR="001821CE" w:rsidP="001821CE">
      <w:pPr>
        <w:numPr>
          <w:ilvl w:val="0"/>
          <w:numId w:val="14"/>
        </w:numPr>
        <w:rPr>
          <w:b/>
          <w:bCs/>
        </w:rPr>
      </w:pPr>
      <w:r w:rsidRPr="001821CE">
        <w:rPr>
          <w:b/>
          <w:bCs/>
        </w:rPr>
        <w:t>What would be a reasonable timeline to implement the provisions in the draft Bill? What deadlines would the Government need to meet in the interim? </w:t>
      </w:r>
    </w:p>
    <w:p w:rsidR="003F4D4A" w:rsidP="00684167">
      <w:r>
        <w:t xml:space="preserve">Members would recommend a phased implementation of the proposals. </w:t>
      </w:r>
    </w:p>
    <w:p w:rsidR="00684167" w:rsidRPr="003F4D4A" w:rsidP="00684167">
      <w:r w:rsidRPr="003F4D4A">
        <w:t>Members sugges</w:t>
      </w:r>
      <w:r w:rsidR="003F4D4A">
        <w:t>t</w:t>
      </w:r>
      <w:r w:rsidRPr="003F4D4A">
        <w:t xml:space="preserve"> </w:t>
      </w:r>
      <w:r w:rsidR="0029735F">
        <w:t>up to 12</w:t>
      </w:r>
      <w:r w:rsidRPr="003F4D4A">
        <w:t xml:space="preserve"> months </w:t>
      </w:r>
      <w:r w:rsidR="002A52B6">
        <w:t>c</w:t>
      </w:r>
      <w:r w:rsidRPr="003F4D4A">
        <w:t>ould be sufficient</w:t>
      </w:r>
      <w:r w:rsidR="00062AC6">
        <w:t xml:space="preserve"> for mortgage lenders</w:t>
      </w:r>
      <w:r w:rsidRPr="003F4D4A">
        <w:t xml:space="preserve"> to implement process changes for:</w:t>
      </w:r>
    </w:p>
    <w:p w:rsidR="00684167" w:rsidP="00684167">
      <w:pPr>
        <w:pStyle w:val="ListParagraph"/>
      </w:pPr>
      <w:r>
        <w:t>The removal of unaffordable ground rents</w:t>
      </w:r>
      <w:r w:rsidR="005D7CAC">
        <w:t>.</w:t>
      </w:r>
      <w:r>
        <w:t xml:space="preserve"> </w:t>
      </w:r>
    </w:p>
    <w:p w:rsidR="00684167" w:rsidP="00684167">
      <w:pPr>
        <w:pStyle w:val="ListParagraph"/>
      </w:pPr>
      <w:r>
        <w:t>The abolishment of forfeiture</w:t>
      </w:r>
      <w:r w:rsidR="005D7CAC">
        <w:t>.</w:t>
      </w:r>
      <w:r>
        <w:t xml:space="preserve"> </w:t>
      </w:r>
    </w:p>
    <w:p w:rsidR="00684167" w:rsidP="00684167">
      <w:pPr>
        <w:pStyle w:val="ListParagraph"/>
      </w:pPr>
      <w:r>
        <w:t xml:space="preserve">The regulation of estate </w:t>
      </w:r>
      <w:r>
        <w:t>rentcharges</w:t>
      </w:r>
      <w:r>
        <w:t xml:space="preserve"> enforcement</w:t>
      </w:r>
      <w:r w:rsidR="005D7CAC">
        <w:t>.</w:t>
      </w:r>
      <w:r>
        <w:t xml:space="preserve"> </w:t>
      </w:r>
    </w:p>
    <w:p w:rsidR="003B3677" w:rsidRPr="003B3677" w:rsidP="003B3677">
      <w:r w:rsidRPr="00DA4CCD">
        <w:rPr>
          <w:lang w:eastAsia="en-GB"/>
        </w:rPr>
        <w:t>The transition from new</w:t>
      </w:r>
      <w:r w:rsidRPr="00DA4CCD">
        <w:rPr>
          <w:lang w:eastAsia="en-GB"/>
        </w:rPr>
        <w:noBreakHyphen/>
        <w:t xml:space="preserve">build leasehold flats to commonhold represents a significant structural shift that cannot be delivered through legislation alone. </w:t>
      </w:r>
      <w:r w:rsidRPr="003B3677">
        <w:t xml:space="preserve">Members emphasise the </w:t>
      </w:r>
      <w:r>
        <w:t>g</w:t>
      </w:r>
      <w:r w:rsidRPr="003B3677">
        <w:t>overnment to</w:t>
      </w:r>
      <w:r>
        <w:t xml:space="preserve"> first</w:t>
      </w:r>
      <w:r w:rsidRPr="003B3677">
        <w:t xml:space="preserve"> implement the improvements identified </w:t>
      </w:r>
      <w:r w:rsidR="008F159A">
        <w:t>in</w:t>
      </w:r>
      <w:r w:rsidRPr="003B3677">
        <w:t xml:space="preserve"> its </w:t>
      </w:r>
      <w:r w:rsidR="00B11FD9">
        <w:t>‘</w:t>
      </w:r>
      <w:r w:rsidRPr="003B3677">
        <w:t xml:space="preserve">Homebuying </w:t>
      </w:r>
      <w:r w:rsidR="008C12D5">
        <w:t>and</w:t>
      </w:r>
      <w:r w:rsidRPr="003B3677">
        <w:t xml:space="preserve"> Selling Reform</w:t>
      </w:r>
      <w:r w:rsidR="00B11FD9">
        <w:t>’</w:t>
      </w:r>
      <w:r w:rsidRPr="003B3677">
        <w:t xml:space="preserve"> </w:t>
      </w:r>
      <w:r>
        <w:t>consultation</w:t>
      </w:r>
      <w:r w:rsidRPr="003B3677">
        <w:t>, ensuring that the existing process is functioning</w:t>
      </w:r>
      <w:r w:rsidR="00B70784">
        <w:t xml:space="preserve"> more</w:t>
      </w:r>
      <w:r w:rsidRPr="003B3677">
        <w:t xml:space="preserve"> efficiently before </w:t>
      </w:r>
      <w:r w:rsidR="003260ED">
        <w:t xml:space="preserve">the </w:t>
      </w:r>
      <w:r w:rsidRPr="003B3677">
        <w:t xml:space="preserve">tenure is </w:t>
      </w:r>
      <w:r w:rsidR="00017642">
        <w:t>mandated</w:t>
      </w:r>
      <w:r w:rsidRPr="003B3677">
        <w:t xml:space="preserve">. Only once these frictions have been addressed would a minimum </w:t>
      </w:r>
      <w:r w:rsidR="00973F90">
        <w:t>24</w:t>
      </w:r>
      <w:r w:rsidRPr="003B3677">
        <w:noBreakHyphen/>
        <w:t>month implementation period</w:t>
      </w:r>
      <w:r w:rsidR="006E2603">
        <w:t xml:space="preserve"> </w:t>
      </w:r>
      <w:r w:rsidRPr="003B3677">
        <w:t>give the market sufficient time to adapt</w:t>
      </w:r>
      <w:r w:rsidR="00DD09F7">
        <w:t>,</w:t>
      </w:r>
      <w:r w:rsidR="00A40005">
        <w:t xml:space="preserve"> </w:t>
      </w:r>
      <w:r w:rsidR="009846CC">
        <w:t xml:space="preserve">including commercial real estate transactions which typically have longer lead-in periods. </w:t>
      </w:r>
      <w:r w:rsidR="00A40005">
        <w:t>Once implemented, government should then introduce the conversion process by secondary legislation.</w:t>
      </w:r>
    </w:p>
    <w:p w:rsidR="003B3677" w:rsidRPr="003B3677" w:rsidP="003B3677">
      <w:pPr>
        <w:rPr>
          <w:lang w:eastAsia="en-GB"/>
        </w:rPr>
      </w:pPr>
      <w:r>
        <w:rPr>
          <w:lang w:eastAsia="en-GB"/>
        </w:rPr>
        <w:t>Moving to</w:t>
      </w:r>
      <w:r w:rsidRPr="003B3677">
        <w:rPr>
          <w:lang w:eastAsia="en-GB"/>
        </w:rPr>
        <w:t xml:space="preserve"> commonhold prematurely risks creating operational disruption across the housing system, undermining the </w:t>
      </w:r>
      <w:r w:rsidR="00C2677A">
        <w:rPr>
          <w:lang w:eastAsia="en-GB"/>
        </w:rPr>
        <w:t>g</w:t>
      </w:r>
      <w:r w:rsidRPr="003B3677">
        <w:rPr>
          <w:lang w:eastAsia="en-GB"/>
        </w:rPr>
        <w:t xml:space="preserve">overnment’s ambition to deliver 1.5 million </w:t>
      </w:r>
      <w:r w:rsidRPr="003B3677" w:rsidR="00FC3C67">
        <w:rPr>
          <w:lang w:eastAsia="en-GB"/>
        </w:rPr>
        <w:t>homes,</w:t>
      </w:r>
      <w:r w:rsidRPr="003B3677">
        <w:rPr>
          <w:lang w:eastAsia="en-GB"/>
        </w:rPr>
        <w:t xml:space="preserve"> and potentially weakening wider goals to support sustainable homeownership and economic growth.</w:t>
      </w:r>
    </w:p>
    <w:p w:rsidR="001821CE" w:rsidP="001821CE">
      <w:pPr>
        <w:numPr>
          <w:ilvl w:val="0"/>
          <w:numId w:val="14"/>
        </w:numPr>
        <w:rPr>
          <w:b/>
          <w:bCs/>
        </w:rPr>
      </w:pPr>
      <w:r w:rsidRPr="001821CE">
        <w:rPr>
          <w:b/>
          <w:bCs/>
        </w:rPr>
        <w:t>How would the provisions in the draft Bill interact with existing legislation, including the Leasehold and Freehold Reform Act 2024? Might there be any unintended consequences and, if so, how should those risks be mitigated? </w:t>
      </w:r>
    </w:p>
    <w:p w:rsidR="00CB3F30" w:rsidRPr="00B305F6" w:rsidP="00EF1698">
      <w:r>
        <w:t>No answer</w:t>
      </w:r>
    </w:p>
    <w:p w:rsidR="001821CE" w:rsidP="001821CE">
      <w:pPr>
        <w:numPr>
          <w:ilvl w:val="0"/>
          <w:numId w:val="14"/>
        </w:numPr>
        <w:rPr>
          <w:b/>
          <w:bCs/>
        </w:rPr>
      </w:pPr>
      <w:r w:rsidRPr="001821CE">
        <w:rPr>
          <w:b/>
          <w:bCs/>
        </w:rPr>
        <w:t>How have delays to the implementation of the Leasehold and Freehold Reform Act 2024 informed the provisions of the draft Bill? What lessons have been learnt to ensure the new legislation may be implemented without delay? </w:t>
      </w:r>
    </w:p>
    <w:p w:rsidR="00CB3F30" w:rsidRPr="00B305F6" w:rsidP="00EF1698">
      <w:r>
        <w:t>No answer</w:t>
      </w:r>
    </w:p>
    <w:p w:rsidR="001821CE" w:rsidRPr="001821CE" w:rsidP="001821CE">
      <w:pPr>
        <w:numPr>
          <w:ilvl w:val="0"/>
          <w:numId w:val="14"/>
        </w:numPr>
        <w:rPr>
          <w:b/>
          <w:bCs/>
        </w:rPr>
      </w:pPr>
      <w:r w:rsidRPr="001821CE">
        <w:rPr>
          <w:b/>
          <w:bCs/>
        </w:rPr>
        <w:t>Are there any additions you would like to see to the draft Bill? </w:t>
      </w:r>
    </w:p>
    <w:p w:rsidR="00244032" w:rsidP="00B305F6">
      <w:r>
        <w:t>No answer.</w:t>
      </w:r>
    </w:p>
    <w:p w:rsidR="0016000C" w:rsidP="00B305F6"/>
    <w:p w:rsidR="007E73AB" w:rsidRPr="007E73AB" w:rsidP="00B305F6">
      <w:pPr>
        <w:rPr>
          <w:i/>
          <w:iCs/>
        </w:rPr>
      </w:pPr>
      <w:r>
        <w:rPr>
          <w:i/>
          <w:iCs/>
        </w:rPr>
        <w:t>February 2026</w:t>
      </w:r>
    </w:p>
    <w:sectPr w:rsidSect="002C1A8D">
      <w:pgSz w:w="11906" w:h="16838"/>
      <w:pgMar w:top="1418"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45644A"/>
    <w:multiLevelType w:val="multilevel"/>
    <w:tmpl w:val="DDEE9F0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5D15EF"/>
    <w:multiLevelType w:val="multilevel"/>
    <w:tmpl w:val="DDEE9F0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B0566B4"/>
    <w:multiLevelType w:val="multilevel"/>
    <w:tmpl w:val="DDEE9F0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B8B5C04"/>
    <w:multiLevelType w:val="multilevel"/>
    <w:tmpl w:val="AFBAF084"/>
    <w:styleLink w:val="CurrentList1"/>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
    <w:nsid w:val="28D521D6"/>
    <w:multiLevelType w:val="hybridMultilevel"/>
    <w:tmpl w:val="8F22B6B6"/>
    <w:lvl w:ilvl="0">
      <w:start w:val="1"/>
      <w:numFmt w:val="bullet"/>
      <w:lvlText w:val="4"/>
      <w:lvlJc w:val="left"/>
      <w:pPr>
        <w:ind w:left="340" w:hanging="340"/>
      </w:pPr>
      <w:rPr>
        <w:rFonts w:ascii="Webdings" w:hAnsi="Webdings" w:hint="default"/>
        <w:color w:val="ED6E5C" w:themeColor="accent1"/>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30155CA3"/>
    <w:multiLevelType w:val="hybridMultilevel"/>
    <w:tmpl w:val="23FE25A6"/>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6">
    <w:nsid w:val="38485C62"/>
    <w:multiLevelType w:val="multilevel"/>
    <w:tmpl w:val="AFB05E08"/>
    <w:styleLink w:val="CurrentList2"/>
    <w:lvl w:ilvl="0">
      <w:start w:val="1"/>
      <w:numFmt w:val="bullet"/>
      <w:lvlText w:val="4"/>
      <w:lvlJc w:val="left"/>
      <w:pPr>
        <w:ind w:left="360" w:hanging="360"/>
      </w:pPr>
      <w:rPr>
        <w:rFonts w:ascii="Webdings" w:hAnsi="Webding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7">
    <w:nsid w:val="45D4115C"/>
    <w:multiLevelType w:val="multilevel"/>
    <w:tmpl w:val="545806DC"/>
    <w:styleLink w:val="CurrentList3"/>
    <w:lvl w:ilvl="0">
      <w:start w:val="1"/>
      <w:numFmt w:val="bullet"/>
      <w:lvlText w:val="4"/>
      <w:lvlJc w:val="left"/>
      <w:pPr>
        <w:ind w:left="360" w:hanging="360"/>
      </w:pPr>
      <w:rPr>
        <w:rFonts w:ascii="Webdings" w:hAnsi="Webdings" w:hint="default"/>
        <w:color w:val="ED6E5C" w:themeColor="accent1"/>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8">
    <w:nsid w:val="47A24DCC"/>
    <w:multiLevelType w:val="hybridMultilevel"/>
    <w:tmpl w:val="D17E8D30"/>
    <w:lvl w:ilvl="0">
      <w:start w:val="1"/>
      <w:numFmt w:val="bullet"/>
      <w:pStyle w:val="ListParagraph"/>
      <w:lvlText w:val="4"/>
      <w:lvlJc w:val="left"/>
      <w:pPr>
        <w:ind w:left="340" w:hanging="340"/>
      </w:pPr>
      <w:rPr>
        <w:rFonts w:ascii="Webdings" w:hAnsi="Webdings" w:hint="default"/>
        <w:color w:val="ED6E5C" w:themeColor="accent1"/>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9">
    <w:nsid w:val="492428A2"/>
    <w:multiLevelType w:val="hybridMultilevel"/>
    <w:tmpl w:val="0FCAF39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52C22175"/>
    <w:multiLevelType w:val="multilevel"/>
    <w:tmpl w:val="8F22B6B6"/>
    <w:styleLink w:val="CurrentList4"/>
    <w:lvl w:ilvl="0">
      <w:start w:val="1"/>
      <w:numFmt w:val="bullet"/>
      <w:lvlText w:val="4"/>
      <w:lvlJc w:val="left"/>
      <w:pPr>
        <w:ind w:left="340" w:hanging="340"/>
      </w:pPr>
      <w:rPr>
        <w:rFonts w:ascii="Webdings" w:hAnsi="Webdings" w:hint="default"/>
        <w:color w:val="ED6E5C" w:themeColor="accen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nsid w:val="5406253B"/>
    <w:multiLevelType w:val="multilevel"/>
    <w:tmpl w:val="DDEE9F0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3021D79"/>
    <w:multiLevelType w:val="multilevel"/>
    <w:tmpl w:val="DDEE9F0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BB07174"/>
    <w:multiLevelType w:val="hybridMultilevel"/>
    <w:tmpl w:val="CC6AB120"/>
    <w:lvl w:ilvl="0">
      <w:start w:val="0"/>
      <w:numFmt w:val="bullet"/>
      <w:lvlText w:val=""/>
      <w:lvlJc w:val="left"/>
      <w:pPr>
        <w:ind w:left="720" w:hanging="360"/>
      </w:pPr>
      <w:rPr>
        <w:rFonts w:ascii="Symbol" w:hAnsi="Symbol" w:eastAsiaTheme="minorHAnsi"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7E403E51"/>
    <w:multiLevelType w:val="multilevel"/>
    <w:tmpl w:val="DDEE9F0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8"/>
  </w:num>
  <w:num w:numId="3">
    <w:abstractNumId w:val="9"/>
  </w:num>
  <w:num w:numId="4">
    <w:abstractNumId w:val="3"/>
  </w:num>
  <w:num w:numId="5">
    <w:abstractNumId w:val="6"/>
  </w:num>
  <w:num w:numId="6">
    <w:abstractNumId w:val="7"/>
  </w:num>
  <w:num w:numId="7">
    <w:abstractNumId w:val="4"/>
  </w:num>
  <w:num w:numId="8">
    <w:abstractNumId w:val="10"/>
  </w:num>
  <w:num w:numId="9">
    <w:abstractNumId w:val="12"/>
  </w:num>
  <w:num w:numId="10">
    <w:abstractNumId w:val="14"/>
  </w:num>
  <w:num w:numId="11">
    <w:abstractNumId w:val="11"/>
  </w:num>
  <w:num w:numId="12">
    <w:abstractNumId w:val="2"/>
  </w:num>
  <w:num w:numId="13">
    <w:abstractNumId w:val="0"/>
  </w:num>
  <w:num w:numId="14">
    <w:abstractNumId w:val="1"/>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gutterAtTop/>
  <w:proofState w:spelling="clean" w:grammar="clean"/>
  <w:stylePaneFormatFilter w:val="1004" w:allStyles="0" w:alternateStyleNames="0" w:clearFormatting="1" w:customStyles="0" w:directFormattingOnNumbering="0" w:directFormattingOnParagraphs="0" w:directFormattingOnRuns="0" w:directFormattingOnTables="0" w:headingStyles="0" w:latentStyles="1"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hAnsi="Arial" w:eastAsiaTheme="minorHAnsi" w:cs="Arial"/>
        <w:kern w:val="2"/>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sid w:val="004C1B91"/>
    <w:pPr>
      <w:suppressAutoHyphens/>
      <w:autoSpaceDE w:val="0"/>
      <w:autoSpaceDN w:val="0"/>
      <w:adjustRightInd w:val="0"/>
      <w:spacing w:after="160" w:line="288" w:lineRule="auto"/>
      <w:textAlignment w:val="center"/>
    </w:pPr>
  </w:style>
  <w:style w:type="paragraph" w:styleId="Heading1">
    <w:name w:val="heading 1"/>
    <w:basedOn w:val="Normal"/>
    <w:next w:val="Normal"/>
    <w:link w:val="Heading1Char"/>
    <w:uiPriority w:val="9"/>
    <w:qFormat/>
    <w:rsid w:val="008F0B0F"/>
    <w:pPr>
      <w:spacing w:before="100" w:beforeAutospacing="1" w:after="120"/>
      <w:outlineLvl w:val="0"/>
    </w:pPr>
    <w:rPr>
      <w:b/>
      <w:bCs/>
      <w:color w:val="041E42"/>
      <w:kern w:val="0"/>
      <w:sz w:val="64"/>
      <w:szCs w:val="64"/>
    </w:rPr>
  </w:style>
  <w:style w:type="paragraph" w:styleId="Heading2">
    <w:name w:val="heading 2"/>
    <w:basedOn w:val="Normal"/>
    <w:next w:val="Normal"/>
    <w:link w:val="Heading2Char"/>
    <w:uiPriority w:val="9"/>
    <w:unhideWhenUsed/>
    <w:qFormat/>
    <w:rsid w:val="008F0B0F"/>
    <w:pPr>
      <w:spacing w:before="100" w:beforeAutospacing="1" w:after="120"/>
      <w:outlineLvl w:val="1"/>
    </w:pPr>
    <w:rPr>
      <w:b/>
      <w:bCs/>
      <w:color w:val="ED6E5C" w:themeColor="accent1"/>
      <w:spacing w:val="-3"/>
      <w:kern w:val="0"/>
      <w:sz w:val="44"/>
      <w:szCs w:val="44"/>
    </w:rPr>
  </w:style>
  <w:style w:type="paragraph" w:styleId="Heading3">
    <w:name w:val="heading 3"/>
    <w:basedOn w:val="Heading2"/>
    <w:next w:val="Normal"/>
    <w:link w:val="Heading3Char"/>
    <w:uiPriority w:val="9"/>
    <w:unhideWhenUsed/>
    <w:qFormat/>
    <w:rsid w:val="008F0B0F"/>
    <w:pPr>
      <w:outlineLvl w:val="2"/>
    </w:pPr>
    <w:rPr>
      <w:color w:val="041E41" w:themeColor="text2"/>
      <w:sz w:val="32"/>
      <w:szCs w:val="32"/>
    </w:rPr>
  </w:style>
  <w:style w:type="paragraph" w:styleId="Heading4">
    <w:name w:val="heading 4"/>
    <w:basedOn w:val="Normal"/>
    <w:next w:val="Normal"/>
    <w:link w:val="Heading4Char"/>
    <w:uiPriority w:val="9"/>
    <w:unhideWhenUsed/>
    <w:rsid w:val="008634AF"/>
    <w:pPr>
      <w:keepNext/>
      <w:keepLines/>
      <w:spacing w:before="40" w:after="0"/>
      <w:outlineLvl w:val="3"/>
    </w:pPr>
    <w:rPr>
      <w:rFonts w:asciiTheme="majorHAnsi" w:eastAsiaTheme="majorEastAsia" w:hAnsiTheme="majorHAnsi" w:cstheme="majorBidi"/>
      <w:iCs/>
      <w:color w:val="041E41" w:themeColor="text2"/>
    </w:rPr>
  </w:style>
  <w:style w:type="paragraph" w:styleId="Heading5">
    <w:name w:val="heading 5"/>
    <w:basedOn w:val="Normal"/>
    <w:next w:val="Normal"/>
    <w:link w:val="Heading5Char"/>
    <w:uiPriority w:val="9"/>
    <w:semiHidden/>
    <w:unhideWhenUsed/>
    <w:qFormat/>
    <w:rsid w:val="008634AF"/>
    <w:pPr>
      <w:keepNext/>
      <w:keepLines/>
      <w:spacing w:before="40" w:after="0"/>
      <w:outlineLvl w:val="4"/>
    </w:pPr>
    <w:rPr>
      <w:rFonts w:asciiTheme="majorHAnsi" w:eastAsiaTheme="majorEastAsia" w:hAnsiTheme="majorHAnsi" w:cstheme="majorBidi"/>
      <w:color w:val="041E41" w:themeColor="text2"/>
    </w:rPr>
  </w:style>
  <w:style w:type="paragraph" w:styleId="Heading6">
    <w:name w:val="heading 6"/>
    <w:basedOn w:val="Normal"/>
    <w:next w:val="Normal"/>
    <w:link w:val="Heading6Char"/>
    <w:uiPriority w:val="9"/>
    <w:semiHidden/>
    <w:unhideWhenUsed/>
    <w:qFormat/>
    <w:rsid w:val="008634AF"/>
    <w:pPr>
      <w:keepNext/>
      <w:keepLines/>
      <w:spacing w:before="40" w:after="0"/>
      <w:outlineLvl w:val="5"/>
    </w:pPr>
    <w:rPr>
      <w:rFonts w:asciiTheme="majorHAnsi" w:eastAsiaTheme="majorEastAsia" w:hAnsiTheme="majorHAnsi" w:cstheme="majorBidi"/>
      <w:color w:val="041E41" w:themeColor="text2"/>
    </w:rPr>
  </w:style>
  <w:style w:type="paragraph" w:styleId="Heading7">
    <w:name w:val="heading 7"/>
    <w:basedOn w:val="Normal"/>
    <w:next w:val="Normal"/>
    <w:link w:val="Heading7Char"/>
    <w:uiPriority w:val="9"/>
    <w:semiHidden/>
    <w:unhideWhenUsed/>
    <w:qFormat/>
    <w:rsid w:val="008634AF"/>
    <w:pPr>
      <w:keepNext/>
      <w:keepLines/>
      <w:spacing w:before="40" w:after="0"/>
      <w:outlineLvl w:val="6"/>
    </w:pPr>
    <w:rPr>
      <w:rFonts w:asciiTheme="majorHAnsi" w:eastAsiaTheme="majorEastAsia" w:hAnsiTheme="majorHAnsi" w:cstheme="majorBidi"/>
      <w:i/>
      <w:iCs/>
      <w:color w:val="041E41" w:themeColor="text2"/>
    </w:rPr>
  </w:style>
  <w:style w:type="paragraph" w:styleId="Heading8">
    <w:name w:val="heading 8"/>
    <w:basedOn w:val="Normal"/>
    <w:next w:val="Normal"/>
    <w:link w:val="Heading8Char"/>
    <w:uiPriority w:val="9"/>
    <w:semiHidden/>
    <w:unhideWhenUsed/>
    <w:qFormat/>
    <w:rsid w:val="008634AF"/>
    <w:pPr>
      <w:keepNext/>
      <w:keepLines/>
      <w:spacing w:before="40" w:after="0"/>
      <w:outlineLvl w:val="7"/>
    </w:pPr>
    <w:rPr>
      <w:rFonts w:asciiTheme="majorHAnsi" w:eastAsiaTheme="majorEastAsia" w:hAnsiTheme="majorHAnsi" w:cstheme="majorBidi"/>
      <w:color w:val="041E41" w:themeColor="text2"/>
      <w:sz w:val="21"/>
      <w:szCs w:val="21"/>
    </w:rPr>
  </w:style>
  <w:style w:type="paragraph" w:styleId="Heading9">
    <w:name w:val="heading 9"/>
    <w:basedOn w:val="Normal"/>
    <w:next w:val="Normal"/>
    <w:link w:val="Heading9Char"/>
    <w:uiPriority w:val="9"/>
    <w:semiHidden/>
    <w:unhideWhenUsed/>
    <w:qFormat/>
    <w:rsid w:val="008634AF"/>
    <w:pPr>
      <w:keepNext/>
      <w:keepLines/>
      <w:spacing w:before="40" w:after="0"/>
      <w:outlineLvl w:val="8"/>
    </w:pPr>
    <w:rPr>
      <w:rFonts w:asciiTheme="majorHAnsi" w:eastAsiaTheme="majorEastAsia" w:hAnsiTheme="majorHAnsi" w:cstheme="majorBidi"/>
      <w:i/>
      <w:iCs/>
      <w:color w:val="041E41" w:themeColor="text2"/>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0B0F"/>
    <w:rPr>
      <w:b/>
      <w:bCs/>
      <w:color w:val="041E42"/>
      <w:kern w:val="0"/>
      <w:sz w:val="64"/>
      <w:szCs w:val="64"/>
    </w:rPr>
  </w:style>
  <w:style w:type="character" w:customStyle="1" w:styleId="Heading3Char">
    <w:name w:val="Heading 3 Char"/>
    <w:basedOn w:val="DefaultParagraphFont"/>
    <w:link w:val="Heading3"/>
    <w:uiPriority w:val="9"/>
    <w:rsid w:val="008F0B0F"/>
    <w:rPr>
      <w:b/>
      <w:bCs/>
      <w:color w:val="041E41" w:themeColor="text2"/>
      <w:spacing w:val="-3"/>
      <w:kern w:val="0"/>
      <w:sz w:val="32"/>
      <w:szCs w:val="32"/>
    </w:rPr>
  </w:style>
  <w:style w:type="paragraph" w:customStyle="1" w:styleId="Notes">
    <w:name w:val="Notes"/>
    <w:basedOn w:val="Normal"/>
    <w:rsid w:val="00AA7ED9"/>
    <w:pPr>
      <w:spacing w:line="240" w:lineRule="auto"/>
    </w:pPr>
    <w:rPr>
      <w:sz w:val="18"/>
    </w:rPr>
  </w:style>
  <w:style w:type="paragraph" w:styleId="Header">
    <w:name w:val="header"/>
    <w:basedOn w:val="Normal"/>
    <w:link w:val="HeaderChar"/>
    <w:uiPriority w:val="99"/>
    <w:unhideWhenUsed/>
    <w:rsid w:val="00272F3D"/>
    <w:pPr>
      <w:tabs>
        <w:tab w:val="center" w:pos="4513"/>
        <w:tab w:val="right" w:pos="9026"/>
      </w:tabs>
      <w:spacing w:after="0" w:line="240" w:lineRule="auto"/>
    </w:pPr>
  </w:style>
  <w:style w:type="character" w:styleId="Strong">
    <w:name w:val="Strong"/>
    <w:basedOn w:val="DefaultParagraphFont"/>
    <w:uiPriority w:val="22"/>
    <w:qFormat/>
    <w:rsid w:val="00485C6C"/>
    <w:rPr>
      <w:b/>
      <w:bCs/>
    </w:rPr>
  </w:style>
  <w:style w:type="paragraph" w:styleId="Subtitle">
    <w:name w:val="Subtitle"/>
    <w:basedOn w:val="Normal"/>
    <w:next w:val="Normal"/>
    <w:link w:val="SubtitleChar"/>
    <w:uiPriority w:val="11"/>
    <w:qFormat/>
    <w:rsid w:val="00E24A69"/>
    <w:pPr>
      <w:spacing w:after="360"/>
    </w:pPr>
    <w:rPr>
      <w:color w:val="041E42"/>
      <w:kern w:val="0"/>
      <w:sz w:val="30"/>
      <w:szCs w:val="30"/>
    </w:rPr>
  </w:style>
  <w:style w:type="character" w:customStyle="1" w:styleId="SubtitleChar">
    <w:name w:val="Subtitle Char"/>
    <w:basedOn w:val="DefaultParagraphFont"/>
    <w:link w:val="Subtitle"/>
    <w:uiPriority w:val="11"/>
    <w:rsid w:val="00E24A69"/>
    <w:rPr>
      <w:color w:val="041E42"/>
      <w:kern w:val="0"/>
      <w:sz w:val="30"/>
      <w:szCs w:val="30"/>
    </w:rPr>
  </w:style>
  <w:style w:type="character" w:customStyle="1" w:styleId="Heading2Char">
    <w:name w:val="Heading 2 Char"/>
    <w:basedOn w:val="DefaultParagraphFont"/>
    <w:link w:val="Heading2"/>
    <w:uiPriority w:val="9"/>
    <w:rsid w:val="008F0B0F"/>
    <w:rPr>
      <w:b/>
      <w:bCs/>
      <w:color w:val="ED6E5C" w:themeColor="accent1"/>
      <w:spacing w:val="-3"/>
      <w:kern w:val="0"/>
      <w:sz w:val="44"/>
      <w:szCs w:val="44"/>
    </w:rPr>
  </w:style>
  <w:style w:type="character" w:styleId="IntenseReference">
    <w:name w:val="Intense Reference"/>
    <w:basedOn w:val="DefaultParagraphFont"/>
    <w:uiPriority w:val="32"/>
    <w:rsid w:val="001D13D6"/>
    <w:rPr>
      <w:b/>
      <w:bCs/>
      <w:smallCaps/>
      <w:color w:val="4B64AC" w:themeColor="background2"/>
      <w:spacing w:val="5"/>
    </w:rPr>
  </w:style>
  <w:style w:type="character" w:customStyle="1" w:styleId="HeaderChar">
    <w:name w:val="Header Char"/>
    <w:basedOn w:val="DefaultParagraphFont"/>
    <w:link w:val="Header"/>
    <w:uiPriority w:val="99"/>
    <w:rsid w:val="00272F3D"/>
    <w:rPr>
      <w:rFonts w:ascii="Arial" w:hAnsi="Arial" w:cs="Arial"/>
    </w:rPr>
  </w:style>
  <w:style w:type="character" w:styleId="IntenseEmphasis">
    <w:name w:val="Intense Emphasis"/>
    <w:basedOn w:val="DefaultParagraphFont"/>
    <w:uiPriority w:val="21"/>
    <w:rsid w:val="001D13D6"/>
    <w:rPr>
      <w:i/>
      <w:iCs/>
      <w:color w:val="4B64AC" w:themeColor="background2"/>
    </w:rPr>
  </w:style>
  <w:style w:type="paragraph" w:styleId="IntenseQuote">
    <w:name w:val="Intense Quote"/>
    <w:basedOn w:val="Normal"/>
    <w:next w:val="Normal"/>
    <w:link w:val="IntenseQuoteChar"/>
    <w:uiPriority w:val="30"/>
    <w:rsid w:val="001D13D6"/>
    <w:pPr>
      <w:pBdr>
        <w:top w:val="single" w:sz="4" w:space="10" w:color="ED6E5C" w:themeColor="accent1"/>
        <w:bottom w:val="single" w:sz="4" w:space="10" w:color="ED6E5C" w:themeColor="accent1"/>
      </w:pBdr>
      <w:spacing w:before="360" w:after="360"/>
      <w:ind w:left="864" w:right="864"/>
      <w:jc w:val="center"/>
    </w:pPr>
    <w:rPr>
      <w:i/>
      <w:iCs/>
      <w:color w:val="4B64AC" w:themeColor="background2"/>
    </w:rPr>
  </w:style>
  <w:style w:type="character" w:customStyle="1" w:styleId="IntenseQuoteChar">
    <w:name w:val="Intense Quote Char"/>
    <w:basedOn w:val="DefaultParagraphFont"/>
    <w:link w:val="IntenseQuote"/>
    <w:uiPriority w:val="30"/>
    <w:rsid w:val="001D13D6"/>
    <w:rPr>
      <w:rFonts w:ascii="Arial" w:hAnsi="Arial" w:cs="Arial"/>
      <w:i/>
      <w:iCs/>
      <w:color w:val="4B64AC" w:themeColor="background2"/>
    </w:rPr>
  </w:style>
  <w:style w:type="paragraph" w:styleId="ListParagraph">
    <w:name w:val="List Paragraph"/>
    <w:basedOn w:val="Normal"/>
    <w:uiPriority w:val="34"/>
    <w:qFormat/>
    <w:rsid w:val="00277D02"/>
    <w:pPr>
      <w:numPr>
        <w:numId w:val="2"/>
      </w:numPr>
    </w:pPr>
  </w:style>
  <w:style w:type="character" w:styleId="FollowedHyperlink">
    <w:name w:val="FollowedHyperlink"/>
    <w:basedOn w:val="DefaultParagraphFont"/>
    <w:uiPriority w:val="99"/>
    <w:semiHidden/>
    <w:unhideWhenUsed/>
    <w:rsid w:val="00272F3D"/>
    <w:rPr>
      <w:color w:val="4B64AC" w:themeColor="background2"/>
      <w:u w:val="single"/>
    </w:rPr>
  </w:style>
  <w:style w:type="paragraph" w:styleId="Footer">
    <w:name w:val="footer"/>
    <w:basedOn w:val="Normal"/>
    <w:link w:val="FooterChar"/>
    <w:uiPriority w:val="99"/>
    <w:unhideWhenUsed/>
    <w:rsid w:val="00E24A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4A69"/>
  </w:style>
  <w:style w:type="character" w:styleId="Emphasis">
    <w:name w:val="Emphasis"/>
    <w:basedOn w:val="DefaultParagraphFont"/>
    <w:uiPriority w:val="20"/>
    <w:rsid w:val="00E448A5"/>
    <w:rPr>
      <w:i/>
      <w:iCs/>
    </w:rPr>
  </w:style>
  <w:style w:type="character" w:styleId="PageNumber">
    <w:name w:val="page number"/>
    <w:basedOn w:val="DefaultParagraphFont"/>
    <w:uiPriority w:val="99"/>
    <w:semiHidden/>
    <w:unhideWhenUsed/>
    <w:rsid w:val="00E448A5"/>
  </w:style>
  <w:style w:type="character" w:styleId="Hyperlink">
    <w:name w:val="Hyperlink"/>
    <w:basedOn w:val="DefaultParagraphFont"/>
    <w:uiPriority w:val="99"/>
    <w:qFormat/>
    <w:rsid w:val="00E24A69"/>
    <w:rPr>
      <w:b/>
      <w:bCs/>
      <w:color w:val="4B64AC" w:themeColor="background2"/>
      <w:u w:val="thick"/>
    </w:rPr>
  </w:style>
  <w:style w:type="table" w:styleId="TableGrid">
    <w:name w:val="Table Grid"/>
    <w:basedOn w:val="TableNormal"/>
    <w:uiPriority w:val="39"/>
    <w:rsid w:val="00DE0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
    <w:name w:val="Grid Table 4 Accent 1"/>
    <w:basedOn w:val="TableNormal"/>
    <w:uiPriority w:val="49"/>
    <w:rsid w:val="00DE0D18"/>
    <w:tblPr>
      <w:tblStyleRowBandSize w:val="1"/>
      <w:tblStyleColBandSize w:val="1"/>
      <w:tblBorders>
        <w:top w:val="single" w:sz="4" w:space="0" w:color="F4A79D" w:themeColor="accent1" w:themeTint="99"/>
        <w:left w:val="single" w:sz="4" w:space="0" w:color="F4A79D" w:themeColor="accent1" w:themeTint="99"/>
        <w:bottom w:val="single" w:sz="4" w:space="0" w:color="F4A79D" w:themeColor="accent1" w:themeTint="99"/>
        <w:right w:val="single" w:sz="4" w:space="0" w:color="F4A79D" w:themeColor="accent1" w:themeTint="99"/>
        <w:insideH w:val="single" w:sz="4" w:space="0" w:color="F4A79D" w:themeColor="accent1" w:themeTint="99"/>
        <w:insideV w:val="single" w:sz="4" w:space="0" w:color="F4A79D" w:themeColor="accent1" w:themeTint="99"/>
      </w:tblBorders>
    </w:tblPr>
    <w:tblStylePr w:type="firstRow">
      <w:rPr>
        <w:b/>
        <w:bCs/>
        <w:color w:val="FFFFFF" w:themeColor="background1"/>
      </w:rPr>
      <w:tblPr/>
      <w:tcPr>
        <w:tcBorders>
          <w:top w:val="single" w:sz="4" w:space="0" w:color="ED6E5C" w:themeColor="accent1"/>
          <w:left w:val="single" w:sz="4" w:space="0" w:color="ED6E5C" w:themeColor="accent1"/>
          <w:bottom w:val="single" w:sz="4" w:space="0" w:color="ED6E5C" w:themeColor="accent1"/>
          <w:right w:val="single" w:sz="4" w:space="0" w:color="ED6E5C" w:themeColor="accent1"/>
          <w:insideH w:val="nil"/>
          <w:insideV w:val="nil"/>
        </w:tcBorders>
        <w:shd w:val="clear" w:color="auto" w:fill="ED6E5C" w:themeFill="accent1"/>
      </w:tcPr>
    </w:tblStylePr>
    <w:tblStylePr w:type="lastRow">
      <w:rPr>
        <w:b/>
        <w:bCs/>
      </w:rPr>
      <w:tblPr/>
      <w:tcPr>
        <w:tcBorders>
          <w:top w:val="double" w:sz="4" w:space="0" w:color="ED6E5C" w:themeColor="accent1"/>
        </w:tcBorders>
      </w:tcPr>
    </w:tblStylePr>
    <w:tblStylePr w:type="firstCol">
      <w:rPr>
        <w:b/>
        <w:bCs/>
      </w:rPr>
    </w:tblStylePr>
    <w:tblStylePr w:type="lastCol">
      <w:rPr>
        <w:b/>
        <w:bCs/>
      </w:rPr>
    </w:tblStylePr>
    <w:tblStylePr w:type="band1Vert">
      <w:tblPr/>
      <w:tcPr>
        <w:shd w:val="clear" w:color="auto" w:fill="FBE1DE" w:themeFill="accent1" w:themeFillTint="33"/>
      </w:tcPr>
    </w:tblStylePr>
    <w:tblStylePr w:type="band1Horz">
      <w:tblPr/>
      <w:tcPr>
        <w:shd w:val="clear" w:color="auto" w:fill="FBE1DE" w:themeFill="accent1" w:themeFillTint="33"/>
      </w:tcPr>
    </w:tblStylePr>
  </w:style>
  <w:style w:type="table" w:customStyle="1" w:styleId="GridTable2Accent1">
    <w:name w:val="Grid Table 2 Accent 1"/>
    <w:basedOn w:val="TableNormal"/>
    <w:uiPriority w:val="47"/>
    <w:rsid w:val="00DE0D18"/>
    <w:tblPr>
      <w:tblStyleRowBandSize w:val="1"/>
      <w:tblStyleColBandSize w:val="1"/>
      <w:tblBorders>
        <w:top w:val="single" w:sz="2" w:space="0" w:color="F4A79D" w:themeColor="accent1" w:themeTint="99"/>
        <w:bottom w:val="single" w:sz="2" w:space="0" w:color="F4A79D" w:themeColor="accent1" w:themeTint="99"/>
        <w:insideH w:val="single" w:sz="2" w:space="0" w:color="F4A79D" w:themeColor="accent1" w:themeTint="99"/>
        <w:insideV w:val="single" w:sz="2" w:space="0" w:color="F4A79D" w:themeColor="accent1" w:themeTint="99"/>
      </w:tblBorders>
    </w:tblPr>
    <w:tblStylePr w:type="firstRow">
      <w:rPr>
        <w:b/>
        <w:bCs/>
      </w:rPr>
      <w:tblPr/>
      <w:tcPr>
        <w:tcBorders>
          <w:top w:val="nil"/>
          <w:bottom w:val="single" w:sz="12" w:space="0" w:color="F4A79D" w:themeColor="accent1" w:themeTint="99"/>
          <w:insideH w:val="nil"/>
          <w:insideV w:val="nil"/>
        </w:tcBorders>
        <w:shd w:val="clear" w:color="auto" w:fill="FFFFFF" w:themeFill="background1"/>
      </w:tcPr>
    </w:tblStylePr>
    <w:tblStylePr w:type="lastRow">
      <w:rPr>
        <w:b/>
        <w:bCs/>
      </w:rPr>
      <w:tblPr/>
      <w:tcPr>
        <w:tcBorders>
          <w:top w:val="double" w:sz="2" w:space="0" w:color="F4A79D"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1DE" w:themeFill="accent1" w:themeFillTint="33"/>
      </w:tcPr>
    </w:tblStylePr>
    <w:tblStylePr w:type="band1Horz">
      <w:tblPr/>
      <w:tcPr>
        <w:shd w:val="clear" w:color="auto" w:fill="FBE1DE" w:themeFill="accent1" w:themeFillTint="33"/>
      </w:tcPr>
    </w:tblStylePr>
  </w:style>
  <w:style w:type="numbering" w:customStyle="1" w:styleId="CurrentList1">
    <w:name w:val="Current List1"/>
    <w:uiPriority w:val="99"/>
    <w:rsid w:val="00DE0D18"/>
    <w:pPr>
      <w:numPr>
        <w:numId w:val="4"/>
      </w:numPr>
    </w:pPr>
  </w:style>
  <w:style w:type="numbering" w:customStyle="1" w:styleId="CurrentList2">
    <w:name w:val="Current List2"/>
    <w:uiPriority w:val="99"/>
    <w:rsid w:val="00DE0D18"/>
    <w:pPr>
      <w:numPr>
        <w:numId w:val="5"/>
      </w:numPr>
    </w:pPr>
  </w:style>
  <w:style w:type="table" w:customStyle="1" w:styleId="GridTable2">
    <w:name w:val="Grid Table 2"/>
    <w:basedOn w:val="TableNormal"/>
    <w:uiPriority w:val="47"/>
    <w:rsid w:val="00DE0D18"/>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5DarkAccent1">
    <w:name w:val="Grid Table 5 Dark Accent 1"/>
    <w:basedOn w:val="TableNormal"/>
    <w:uiPriority w:val="50"/>
    <w:rsid w:val="0045393D"/>
    <w:rPr>
      <w:sz w:val="20"/>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1DE" w:themeFill="accent1" w:themeFillTint="33"/>
      <w:vAlign w:val="center"/>
    </w:tcPr>
    <w:tblStylePr w:type="firstRow">
      <w:pPr>
        <w:wordWrap/>
        <w:spacing w:line="240" w:lineRule="auto"/>
        <w:jc w:val="left"/>
      </w:pPr>
      <w:rPr>
        <w:rFonts w:asciiTheme="majorHAnsi" w:hAnsiTheme="majorHAnsi"/>
        <w:b/>
        <w:bCs/>
        <w:color w:val="FFFFFF" w:themeColor="background1"/>
        <w:sz w:val="20"/>
      </w:rPr>
      <w:tblPr/>
      <w:tcPr>
        <w:shd w:val="clear" w:color="auto" w:fill="ED6E5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6E5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6E5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6E5C" w:themeFill="accent1"/>
      </w:tcPr>
    </w:tblStylePr>
    <w:tblStylePr w:type="band1Vert">
      <w:tblPr/>
      <w:tcPr>
        <w:shd w:val="clear" w:color="auto" w:fill="F7C4BD" w:themeFill="accent1" w:themeFillTint="66"/>
      </w:tcPr>
    </w:tblStylePr>
    <w:tblStylePr w:type="band1Horz">
      <w:tblPr/>
      <w:tcPr>
        <w:shd w:val="clear" w:color="auto" w:fill="F7C4BD" w:themeFill="accent1" w:themeFillTint="66"/>
      </w:tcPr>
    </w:tblStylePr>
  </w:style>
  <w:style w:type="table" w:customStyle="1" w:styleId="PlainTable5">
    <w:name w:val="Plain Table 5"/>
    <w:basedOn w:val="TableNormal"/>
    <w:uiPriority w:val="45"/>
    <w:rsid w:val="0045393D"/>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4">
    <w:name w:val="Plain Table 4"/>
    <w:basedOn w:val="TableNormal"/>
    <w:uiPriority w:val="44"/>
    <w:rsid w:val="0045393D"/>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ListTable3Accent2">
    <w:name w:val="List Table 3 Accent 2"/>
    <w:basedOn w:val="TableNormal"/>
    <w:uiPriority w:val="48"/>
    <w:rsid w:val="000B673D"/>
    <w:tblPr>
      <w:tblStyleRowBandSize w:val="1"/>
      <w:tblStyleColBandSize w:val="1"/>
      <w:tblBorders>
        <w:top w:val="single" w:sz="4" w:space="0" w:color="5CD3B5" w:themeColor="accent2"/>
        <w:left w:val="single" w:sz="4" w:space="0" w:color="5CD3B5" w:themeColor="accent2"/>
        <w:bottom w:val="single" w:sz="4" w:space="0" w:color="5CD3B5" w:themeColor="accent2"/>
        <w:right w:val="single" w:sz="4" w:space="0" w:color="5CD3B5" w:themeColor="accent2"/>
      </w:tblBorders>
    </w:tblPr>
    <w:tblStylePr w:type="firstRow">
      <w:rPr>
        <w:b/>
        <w:bCs/>
        <w:color w:val="FFFFFF" w:themeColor="background1"/>
      </w:rPr>
      <w:tblPr/>
      <w:tcPr>
        <w:shd w:val="clear" w:color="auto" w:fill="5CD3B5" w:themeFill="accent2"/>
      </w:tcPr>
    </w:tblStylePr>
    <w:tblStylePr w:type="lastRow">
      <w:rPr>
        <w:b/>
        <w:bCs/>
      </w:rPr>
      <w:tblPr/>
      <w:tcPr>
        <w:tcBorders>
          <w:top w:val="double" w:sz="4" w:space="0" w:color="5CD3B5"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CD3B5" w:themeColor="accent2"/>
          <w:right w:val="single" w:sz="4" w:space="0" w:color="5CD3B5" w:themeColor="accent2"/>
        </w:tcBorders>
      </w:tcPr>
    </w:tblStylePr>
    <w:tblStylePr w:type="band1Horz">
      <w:tblPr/>
      <w:tcPr>
        <w:tcBorders>
          <w:top w:val="single" w:sz="4" w:space="0" w:color="5CD3B5" w:themeColor="accent2"/>
          <w:bottom w:val="single" w:sz="4" w:space="0" w:color="5CD3B5"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CD3B5" w:themeColor="accent2"/>
          <w:left w:val="nil"/>
        </w:tcBorders>
      </w:tcPr>
    </w:tblStylePr>
    <w:tblStylePr w:type="swCell">
      <w:tblPr/>
      <w:tcPr>
        <w:tcBorders>
          <w:top w:val="double" w:sz="4" w:space="0" w:color="5CD3B5" w:themeColor="accent2"/>
          <w:right w:val="nil"/>
        </w:tcBorders>
      </w:tcPr>
    </w:tblStylePr>
  </w:style>
  <w:style w:type="table" w:styleId="TableProfessional">
    <w:name w:val="Table Professional"/>
    <w:basedOn w:val="TableNormal"/>
    <w:uiPriority w:val="99"/>
    <w:semiHidden/>
    <w:unhideWhenUsed/>
    <w:rsid w:val="0045393D"/>
    <w:pPr>
      <w:suppressAutoHyphens/>
      <w:autoSpaceDE w:val="0"/>
      <w:autoSpaceDN w:val="0"/>
      <w:adjustRightInd w:val="0"/>
      <w:spacing w:after="170" w:line="300" w:lineRule="atLeast"/>
      <w:textAlignment w:val="center"/>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shd w:val="solid" w:color="000000" w:fill="FFFFFF"/>
      </w:tcPr>
    </w:tblStylePr>
  </w:style>
  <w:style w:type="numbering" w:customStyle="1" w:styleId="CurrentList3">
    <w:name w:val="Current List3"/>
    <w:uiPriority w:val="99"/>
    <w:rsid w:val="0084518E"/>
    <w:pPr>
      <w:numPr>
        <w:numId w:val="6"/>
      </w:numPr>
    </w:pPr>
  </w:style>
  <w:style w:type="paragraph" w:styleId="Title">
    <w:name w:val="Title"/>
    <w:basedOn w:val="Normal"/>
    <w:next w:val="Normal"/>
    <w:link w:val="TitleChar"/>
    <w:uiPriority w:val="10"/>
    <w:qFormat/>
    <w:rsid w:val="00263B41"/>
    <w:pPr>
      <w:spacing w:after="0" w:line="216" w:lineRule="auto"/>
      <w:contextualSpacing/>
    </w:pPr>
    <w:rPr>
      <w:rFonts w:asciiTheme="majorHAnsi" w:eastAsiaTheme="majorEastAsia" w:hAnsiTheme="majorHAnsi" w:cstheme="majorBidi"/>
      <w:b/>
      <w:bCs/>
      <w:color w:val="041E41" w:themeColor="text2"/>
      <w:spacing w:val="-10"/>
      <w:kern w:val="28"/>
      <w:sz w:val="120"/>
      <w:szCs w:val="120"/>
    </w:rPr>
  </w:style>
  <w:style w:type="character" w:customStyle="1" w:styleId="TitleChar">
    <w:name w:val="Title Char"/>
    <w:basedOn w:val="DefaultParagraphFont"/>
    <w:link w:val="Title"/>
    <w:uiPriority w:val="10"/>
    <w:rsid w:val="00263B41"/>
    <w:rPr>
      <w:rFonts w:asciiTheme="majorHAnsi" w:eastAsiaTheme="majorEastAsia" w:hAnsiTheme="majorHAnsi" w:cstheme="majorBidi"/>
      <w:b/>
      <w:bCs/>
      <w:color w:val="041E41" w:themeColor="text2"/>
      <w:spacing w:val="-10"/>
      <w:kern w:val="28"/>
      <w:sz w:val="120"/>
      <w:szCs w:val="120"/>
    </w:rPr>
  </w:style>
  <w:style w:type="character" w:styleId="BookTitle">
    <w:name w:val="Book Title"/>
    <w:basedOn w:val="DefaultParagraphFont"/>
    <w:uiPriority w:val="33"/>
    <w:rsid w:val="00263B41"/>
    <w:rPr>
      <w:b/>
      <w:bCs/>
      <w:i/>
      <w:iCs/>
      <w:spacing w:val="5"/>
    </w:rPr>
  </w:style>
  <w:style w:type="character" w:customStyle="1" w:styleId="Heading4Char">
    <w:name w:val="Heading 4 Char"/>
    <w:basedOn w:val="DefaultParagraphFont"/>
    <w:link w:val="Heading4"/>
    <w:uiPriority w:val="9"/>
    <w:rsid w:val="008634AF"/>
    <w:rPr>
      <w:rFonts w:asciiTheme="majorHAnsi" w:eastAsiaTheme="majorEastAsia" w:hAnsiTheme="majorHAnsi" w:cstheme="majorBidi"/>
      <w:iCs/>
      <w:color w:val="041E41" w:themeColor="text2"/>
    </w:rPr>
  </w:style>
  <w:style w:type="paragraph" w:customStyle="1" w:styleId="SubtitleCover">
    <w:name w:val="Subtitle Cover"/>
    <w:basedOn w:val="Subtitle"/>
    <w:qFormat/>
    <w:rsid w:val="0033275A"/>
    <w:pPr>
      <w:spacing w:line="216" w:lineRule="auto"/>
    </w:pPr>
    <w:rPr>
      <w:sz w:val="48"/>
    </w:rPr>
  </w:style>
  <w:style w:type="paragraph" w:customStyle="1" w:styleId="DateBar">
    <w:name w:val="Date Bar"/>
    <w:basedOn w:val="Normal"/>
    <w:qFormat/>
    <w:rsid w:val="00C26ECA"/>
    <w:pPr>
      <w:jc w:val="center"/>
    </w:pPr>
    <w:rPr>
      <w:color w:val="FFFFFF" w:themeColor="background1"/>
      <w:sz w:val="28"/>
      <w:szCs w:val="28"/>
    </w:rPr>
  </w:style>
  <w:style w:type="paragraph" w:styleId="TOC1">
    <w:name w:val="toc 1"/>
    <w:basedOn w:val="Normal"/>
    <w:next w:val="Normal"/>
    <w:autoRedefine/>
    <w:uiPriority w:val="39"/>
    <w:unhideWhenUsed/>
    <w:rsid w:val="00C642CA"/>
    <w:pPr>
      <w:tabs>
        <w:tab w:val="right" w:leader="dot" w:pos="9016"/>
      </w:tabs>
      <w:spacing w:after="100"/>
    </w:pPr>
    <w:rPr>
      <w:b/>
      <w:noProof/>
      <w:color w:val="041E41" w:themeColor="text2"/>
      <w:sz w:val="36"/>
    </w:rPr>
  </w:style>
  <w:style w:type="paragraph" w:styleId="TOC2">
    <w:name w:val="toc 2"/>
    <w:basedOn w:val="Normal"/>
    <w:next w:val="Normal"/>
    <w:autoRedefine/>
    <w:uiPriority w:val="39"/>
    <w:unhideWhenUsed/>
    <w:rsid w:val="00C642CA"/>
    <w:pPr>
      <w:spacing w:after="100"/>
      <w:ind w:left="227"/>
    </w:pPr>
    <w:rPr>
      <w:b/>
      <w:color w:val="ED6E5C" w:themeColor="accent1"/>
      <w:sz w:val="32"/>
    </w:rPr>
  </w:style>
  <w:style w:type="paragraph" w:styleId="TOC3">
    <w:name w:val="toc 3"/>
    <w:basedOn w:val="Normal"/>
    <w:next w:val="Normal"/>
    <w:autoRedefine/>
    <w:uiPriority w:val="39"/>
    <w:unhideWhenUsed/>
    <w:rsid w:val="00C642CA"/>
    <w:pPr>
      <w:spacing w:after="100"/>
      <w:ind w:left="454"/>
    </w:pPr>
    <w:rPr>
      <w:color w:val="041E41" w:themeColor="text2"/>
      <w:sz w:val="28"/>
    </w:rPr>
  </w:style>
  <w:style w:type="paragraph" w:styleId="TOC4">
    <w:name w:val="toc 4"/>
    <w:basedOn w:val="Normal"/>
    <w:next w:val="Normal"/>
    <w:autoRedefine/>
    <w:uiPriority w:val="39"/>
    <w:semiHidden/>
    <w:unhideWhenUsed/>
    <w:rsid w:val="00D64E52"/>
    <w:pPr>
      <w:spacing w:after="100"/>
      <w:ind w:left="680"/>
    </w:pPr>
    <w:rPr>
      <w:color w:val="041E41" w:themeColor="text2"/>
      <w:sz w:val="28"/>
    </w:rPr>
  </w:style>
  <w:style w:type="paragraph" w:styleId="TOC5">
    <w:name w:val="toc 5"/>
    <w:basedOn w:val="Normal"/>
    <w:next w:val="Normal"/>
    <w:autoRedefine/>
    <w:uiPriority w:val="39"/>
    <w:semiHidden/>
    <w:unhideWhenUsed/>
    <w:rsid w:val="00D64E52"/>
    <w:pPr>
      <w:spacing w:after="100"/>
      <w:ind w:left="907"/>
    </w:pPr>
    <w:rPr>
      <w:color w:val="041E41" w:themeColor="text2"/>
      <w:sz w:val="28"/>
    </w:rPr>
  </w:style>
  <w:style w:type="paragraph" w:styleId="TOC6">
    <w:name w:val="toc 6"/>
    <w:basedOn w:val="Normal"/>
    <w:next w:val="Normal"/>
    <w:autoRedefine/>
    <w:uiPriority w:val="39"/>
    <w:semiHidden/>
    <w:unhideWhenUsed/>
    <w:rsid w:val="00D64E52"/>
    <w:pPr>
      <w:spacing w:after="100"/>
      <w:ind w:left="1134"/>
    </w:pPr>
    <w:rPr>
      <w:color w:val="041E41" w:themeColor="text2"/>
      <w:sz w:val="28"/>
    </w:rPr>
  </w:style>
  <w:style w:type="paragraph" w:styleId="TOC7">
    <w:name w:val="toc 7"/>
    <w:basedOn w:val="Normal"/>
    <w:next w:val="Normal"/>
    <w:autoRedefine/>
    <w:uiPriority w:val="39"/>
    <w:semiHidden/>
    <w:unhideWhenUsed/>
    <w:rsid w:val="00D64E52"/>
    <w:pPr>
      <w:spacing w:after="100"/>
      <w:ind w:left="1361"/>
    </w:pPr>
    <w:rPr>
      <w:color w:val="041E41" w:themeColor="text2"/>
      <w:sz w:val="28"/>
    </w:rPr>
  </w:style>
  <w:style w:type="paragraph" w:styleId="TOC8">
    <w:name w:val="toc 8"/>
    <w:basedOn w:val="Normal"/>
    <w:next w:val="Normal"/>
    <w:autoRedefine/>
    <w:uiPriority w:val="39"/>
    <w:semiHidden/>
    <w:unhideWhenUsed/>
    <w:rsid w:val="00D64E52"/>
    <w:pPr>
      <w:spacing w:after="100"/>
      <w:ind w:left="1588"/>
    </w:pPr>
    <w:rPr>
      <w:color w:val="041E41" w:themeColor="text2"/>
      <w:sz w:val="28"/>
    </w:rPr>
  </w:style>
  <w:style w:type="paragraph" w:styleId="TOC9">
    <w:name w:val="toc 9"/>
    <w:basedOn w:val="Normal"/>
    <w:next w:val="Normal"/>
    <w:autoRedefine/>
    <w:uiPriority w:val="39"/>
    <w:semiHidden/>
    <w:unhideWhenUsed/>
    <w:rsid w:val="00D64E52"/>
    <w:pPr>
      <w:spacing w:after="100"/>
      <w:ind w:left="1814"/>
    </w:pPr>
    <w:rPr>
      <w:color w:val="041E41" w:themeColor="text2"/>
      <w:sz w:val="28"/>
    </w:rPr>
  </w:style>
  <w:style w:type="numbering" w:customStyle="1" w:styleId="CurrentList4">
    <w:name w:val="Current List4"/>
    <w:uiPriority w:val="99"/>
    <w:rsid w:val="00625E4F"/>
    <w:pPr>
      <w:numPr>
        <w:numId w:val="8"/>
      </w:numPr>
    </w:pPr>
  </w:style>
  <w:style w:type="table" w:customStyle="1" w:styleId="ListTable4Accent6">
    <w:name w:val="List Table 4 Accent 6"/>
    <w:basedOn w:val="TableNormal"/>
    <w:uiPriority w:val="49"/>
    <w:rsid w:val="00735C08"/>
    <w:tblPr>
      <w:tblStyleRowBandSize w:val="1"/>
      <w:tblStyleColBandSize w:val="1"/>
      <w:tblBorders>
        <w:top w:val="single" w:sz="4" w:space="0" w:color="FFDB60" w:themeColor="accent6" w:themeTint="99"/>
        <w:left w:val="single" w:sz="4" w:space="0" w:color="FFDB60" w:themeColor="accent6" w:themeTint="99"/>
        <w:bottom w:val="single" w:sz="4" w:space="0" w:color="FFDB60" w:themeColor="accent6" w:themeTint="99"/>
        <w:right w:val="single" w:sz="4" w:space="0" w:color="FFDB60" w:themeColor="accent6" w:themeTint="99"/>
        <w:insideH w:val="single" w:sz="4" w:space="0" w:color="FFDB60" w:themeColor="accent6" w:themeTint="99"/>
      </w:tblBorders>
    </w:tblPr>
    <w:tblStylePr w:type="firstRow">
      <w:rPr>
        <w:b/>
        <w:bCs/>
        <w:color w:val="FFFFFF" w:themeColor="background1"/>
      </w:rPr>
      <w:tblPr/>
      <w:tcPr>
        <w:tcBorders>
          <w:top w:val="single" w:sz="4" w:space="0" w:color="F5BF00" w:themeColor="accent6"/>
          <w:left w:val="single" w:sz="4" w:space="0" w:color="F5BF00" w:themeColor="accent6"/>
          <w:bottom w:val="single" w:sz="4" w:space="0" w:color="F5BF00" w:themeColor="accent6"/>
          <w:right w:val="single" w:sz="4" w:space="0" w:color="F5BF00" w:themeColor="accent6"/>
          <w:insideH w:val="nil"/>
        </w:tcBorders>
        <w:shd w:val="clear" w:color="auto" w:fill="F5BF00" w:themeFill="accent6"/>
      </w:tcPr>
    </w:tblStylePr>
    <w:tblStylePr w:type="lastRow">
      <w:rPr>
        <w:b/>
        <w:bCs/>
      </w:rPr>
      <w:tblPr/>
      <w:tcPr>
        <w:tcBorders>
          <w:top w:val="double" w:sz="4" w:space="0" w:color="FFDB60" w:themeColor="accent6" w:themeTint="99"/>
        </w:tcBorders>
      </w:tcPr>
    </w:tblStylePr>
    <w:tblStylePr w:type="firstCol">
      <w:rPr>
        <w:b/>
        <w:bCs/>
      </w:rPr>
    </w:tblStylePr>
    <w:tblStylePr w:type="lastCol">
      <w:rPr>
        <w:b/>
        <w:bCs/>
      </w:rPr>
    </w:tblStylePr>
    <w:tblStylePr w:type="band1Vert">
      <w:tblPr/>
      <w:tcPr>
        <w:shd w:val="clear" w:color="auto" w:fill="FFF3CA" w:themeFill="accent6" w:themeFillTint="33"/>
      </w:tcPr>
    </w:tblStylePr>
    <w:tblStylePr w:type="band1Horz">
      <w:tblPr/>
      <w:tcPr>
        <w:shd w:val="clear" w:color="auto" w:fill="FFF3CA" w:themeFill="accent6" w:themeFillTint="33"/>
      </w:tcPr>
    </w:tblStylePr>
  </w:style>
  <w:style w:type="character" w:customStyle="1" w:styleId="Heading5Char">
    <w:name w:val="Heading 5 Char"/>
    <w:basedOn w:val="DefaultParagraphFont"/>
    <w:link w:val="Heading5"/>
    <w:uiPriority w:val="9"/>
    <w:semiHidden/>
    <w:rsid w:val="008634AF"/>
    <w:rPr>
      <w:rFonts w:asciiTheme="majorHAnsi" w:eastAsiaTheme="majorEastAsia" w:hAnsiTheme="majorHAnsi" w:cstheme="majorBidi"/>
      <w:color w:val="041E41" w:themeColor="text2"/>
    </w:rPr>
  </w:style>
  <w:style w:type="character" w:customStyle="1" w:styleId="Heading6Char">
    <w:name w:val="Heading 6 Char"/>
    <w:basedOn w:val="DefaultParagraphFont"/>
    <w:link w:val="Heading6"/>
    <w:uiPriority w:val="9"/>
    <w:semiHidden/>
    <w:rsid w:val="008634AF"/>
    <w:rPr>
      <w:rFonts w:asciiTheme="majorHAnsi" w:eastAsiaTheme="majorEastAsia" w:hAnsiTheme="majorHAnsi" w:cstheme="majorBidi"/>
      <w:color w:val="041E41" w:themeColor="text2"/>
    </w:rPr>
  </w:style>
  <w:style w:type="character" w:customStyle="1" w:styleId="Heading7Char">
    <w:name w:val="Heading 7 Char"/>
    <w:basedOn w:val="DefaultParagraphFont"/>
    <w:link w:val="Heading7"/>
    <w:uiPriority w:val="9"/>
    <w:semiHidden/>
    <w:rsid w:val="008634AF"/>
    <w:rPr>
      <w:rFonts w:asciiTheme="majorHAnsi" w:eastAsiaTheme="majorEastAsia" w:hAnsiTheme="majorHAnsi" w:cstheme="majorBidi"/>
      <w:i/>
      <w:iCs/>
      <w:color w:val="041E41" w:themeColor="text2"/>
    </w:rPr>
  </w:style>
  <w:style w:type="character" w:customStyle="1" w:styleId="Heading8Char">
    <w:name w:val="Heading 8 Char"/>
    <w:basedOn w:val="DefaultParagraphFont"/>
    <w:link w:val="Heading8"/>
    <w:uiPriority w:val="9"/>
    <w:semiHidden/>
    <w:rsid w:val="008634AF"/>
    <w:rPr>
      <w:rFonts w:asciiTheme="majorHAnsi" w:eastAsiaTheme="majorEastAsia" w:hAnsiTheme="majorHAnsi" w:cstheme="majorBidi"/>
      <w:color w:val="041E41" w:themeColor="text2"/>
      <w:sz w:val="21"/>
      <w:szCs w:val="21"/>
    </w:rPr>
  </w:style>
  <w:style w:type="character" w:customStyle="1" w:styleId="Heading9Char">
    <w:name w:val="Heading 9 Char"/>
    <w:basedOn w:val="DefaultParagraphFont"/>
    <w:link w:val="Heading9"/>
    <w:uiPriority w:val="9"/>
    <w:semiHidden/>
    <w:rsid w:val="008634AF"/>
    <w:rPr>
      <w:rFonts w:asciiTheme="majorHAnsi" w:eastAsiaTheme="majorEastAsia" w:hAnsiTheme="majorHAnsi" w:cstheme="majorBidi"/>
      <w:i/>
      <w:iCs/>
      <w:color w:val="041E41" w:themeColor="text2"/>
      <w:sz w:val="21"/>
      <w:szCs w:val="21"/>
    </w:rPr>
  </w:style>
  <w:style w:type="paragraph" w:styleId="TOCHeading">
    <w:name w:val="TOC Heading"/>
    <w:basedOn w:val="Heading1"/>
    <w:next w:val="Normal"/>
    <w:uiPriority w:val="39"/>
    <w:semiHidden/>
    <w:unhideWhenUsed/>
    <w:qFormat/>
    <w:rsid w:val="008634AF"/>
    <w:pPr>
      <w:keepNext/>
      <w:keepLines/>
      <w:spacing w:before="240" w:after="0"/>
      <w:outlineLvl w:val="9"/>
    </w:pPr>
    <w:rPr>
      <w:rFonts w:asciiTheme="majorHAnsi" w:eastAsiaTheme="majorEastAsia" w:hAnsiTheme="majorHAnsi" w:cstheme="majorBidi"/>
      <w:b w:val="0"/>
      <w:bCs w:val="0"/>
      <w:color w:val="ED6E5C" w:themeColor="accent1"/>
      <w:kern w:val="2"/>
      <w:sz w:val="32"/>
      <w:szCs w:val="32"/>
    </w:rPr>
  </w:style>
  <w:style w:type="paragraph" w:styleId="BlockText">
    <w:name w:val="Block Text"/>
    <w:basedOn w:val="Normal"/>
    <w:uiPriority w:val="99"/>
    <w:semiHidden/>
    <w:unhideWhenUsed/>
    <w:rsid w:val="008634AF"/>
    <w:pPr>
      <w:pBdr>
        <w:top w:val="single" w:sz="2" w:space="10" w:color="ED6E5C" w:themeColor="accent1"/>
        <w:left w:val="single" w:sz="2" w:space="10" w:color="ED6E5C" w:themeColor="accent1"/>
        <w:bottom w:val="single" w:sz="2" w:space="10" w:color="ED6E5C" w:themeColor="accent1"/>
        <w:right w:val="single" w:sz="2" w:space="10" w:color="ED6E5C" w:themeColor="accent1"/>
      </w:pBdr>
      <w:ind w:left="1152" w:right="1152"/>
    </w:pPr>
    <w:rPr>
      <w:rFonts w:asciiTheme="minorHAnsi" w:eastAsiaTheme="minorEastAsia" w:hAnsiTheme="minorHAnsi" w:cstheme="minorBidi"/>
      <w:i/>
      <w:iCs/>
      <w:color w:val="ED6E5C" w:themeColor="accent1"/>
    </w:rPr>
  </w:style>
  <w:style w:type="table" w:customStyle="1" w:styleId="UKFTable">
    <w:name w:val="UKF Table"/>
    <w:basedOn w:val="TableNormal"/>
    <w:uiPriority w:val="99"/>
    <w:rsid w:val="0050312B"/>
    <w:pPr>
      <w:spacing w:before="100" w:beforeAutospacing="1" w:after="100" w:afterAutospacing="1"/>
    </w:pPr>
    <w:rPr>
      <w:sz w:val="20"/>
    </w:rPr>
    <w:tblPr>
      <w:tblStyleRowBandSize w:val="1"/>
      <w:tblBorders>
        <w:insideH w:val="single" w:sz="4" w:space="0" w:color="5CD3B5" w:themeColor="accent2"/>
        <w:insideV w:val="single" w:sz="4" w:space="0" w:color="5CD3B5" w:themeColor="accent2"/>
      </w:tblBorders>
      <w:tblCellMar>
        <w:top w:w="57" w:type="dxa"/>
        <w:bottom w:w="57" w:type="dxa"/>
      </w:tblCellMar>
    </w:tblPr>
    <w:tblStylePr w:type="firstRow">
      <w:pPr>
        <w:wordWrap/>
        <w:spacing w:before="100" w:beforeLines="0" w:beforeAutospacing="1" w:after="100" w:afterLines="0" w:afterAutospacing="1" w:line="240" w:lineRule="auto"/>
        <w:jc w:val="left"/>
      </w:pPr>
      <w:rPr>
        <w:rFonts w:asciiTheme="minorHAnsi" w:hAnsiTheme="minorHAnsi"/>
        <w:b/>
        <w:color w:val="041E41" w:themeColor="text2"/>
        <w:sz w:val="24"/>
      </w:rPr>
      <w:tblPr/>
      <w:tcPr>
        <w:tcBorders>
          <w:insideH w:val="single" w:sz="4" w:space="0" w:color="FFFFFF" w:themeColor="background1"/>
          <w:insideV w:val="single" w:sz="4" w:space="0" w:color="FFFFFF" w:themeColor="background1"/>
        </w:tcBorders>
        <w:shd w:val="clear" w:color="auto" w:fill="5CD3B5" w:themeFill="accent2"/>
        <w:vAlign w:val="center"/>
      </w:tcPr>
    </w:tblStylePr>
    <w:tblStylePr w:type="band1Horz">
      <w:tblPr/>
      <w:tcPr>
        <w:shd w:val="clear" w:color="auto" w:fill="DEF6F0" w:themeFill="accent2" w:themeFillTint="33"/>
      </w:tcPr>
    </w:tblStylePr>
  </w:style>
  <w:style w:type="paragraph" w:customStyle="1" w:styleId="TableListParagraph">
    <w:name w:val="Table List Paragraph"/>
    <w:basedOn w:val="ListParagraph"/>
    <w:qFormat/>
    <w:rsid w:val="0050312B"/>
    <w:pPr>
      <w:numPr>
        <w:numId w:val="0"/>
      </w:numPr>
      <w:spacing w:before="100" w:beforeAutospacing="1" w:after="0"/>
      <w:ind w:left="340" w:hanging="340"/>
    </w:pPr>
    <w:rPr>
      <w:bCs/>
      <w:color w:val="041E41" w:themeColor="text2"/>
      <w:sz w:val="20"/>
    </w:rPr>
  </w:style>
  <w:style w:type="paragraph" w:customStyle="1" w:styleId="MainHeader">
    <w:name w:val="Main Header"/>
    <w:basedOn w:val="BodyTextNew"/>
    <w:next w:val="Subheader"/>
    <w:autoRedefine/>
    <w:qFormat/>
    <w:rsid w:val="00244032"/>
    <w:rPr>
      <w:rFonts w:ascii="Arial" w:hAnsi="Arial" w:eastAsiaTheme="minorHAnsi" w:cs="Arial"/>
      <w:b/>
      <w:caps/>
      <w:sz w:val="52"/>
      <w:szCs w:val="72"/>
      <w:lang w:eastAsia="en-US"/>
    </w:rPr>
  </w:style>
  <w:style w:type="paragraph" w:customStyle="1" w:styleId="Subheader">
    <w:name w:val="Sub header"/>
    <w:basedOn w:val="MainHeader"/>
    <w:next w:val="BodyTextNew"/>
    <w:autoRedefine/>
    <w:qFormat/>
    <w:rsid w:val="00244032"/>
    <w:rPr>
      <w:b w:val="0"/>
      <w:caps w:val="0"/>
      <w:color w:val="5CD4B5"/>
      <w:sz w:val="36"/>
      <w:szCs w:val="36"/>
    </w:rPr>
  </w:style>
  <w:style w:type="paragraph" w:customStyle="1" w:styleId="BodyTextNew">
    <w:name w:val="Body Text New"/>
    <w:basedOn w:val="Normal"/>
    <w:link w:val="BodyTextNewChar"/>
    <w:autoRedefine/>
    <w:qFormat/>
    <w:rsid w:val="00244032"/>
    <w:pPr>
      <w:suppressAutoHyphens w:val="0"/>
      <w:autoSpaceDE/>
      <w:autoSpaceDN/>
      <w:adjustRightInd/>
      <w:spacing w:after="0" w:line="360" w:lineRule="auto"/>
      <w:contextualSpacing/>
      <w:textAlignment w:val="auto"/>
    </w:pPr>
    <w:rPr>
      <w:rFonts w:asciiTheme="minorHAnsi" w:eastAsiaTheme="minorEastAsia" w:hAnsiTheme="minorHAnsi" w:cstheme="minorBidi"/>
      <w:color w:val="041E41" w:themeColor="text2"/>
      <w:kern w:val="0"/>
      <w:sz w:val="22"/>
      <w:szCs w:val="22"/>
      <w:lang w:eastAsia="zh-CN"/>
    </w:rPr>
  </w:style>
  <w:style w:type="character" w:customStyle="1" w:styleId="BodyTextNewChar">
    <w:name w:val="Body Text New Char"/>
    <w:basedOn w:val="DefaultParagraphFont"/>
    <w:link w:val="BodyTextNew"/>
    <w:rsid w:val="00244032"/>
    <w:rPr>
      <w:rFonts w:asciiTheme="minorHAnsi" w:eastAsiaTheme="minorEastAsia" w:hAnsiTheme="minorHAnsi" w:cstheme="minorBidi"/>
      <w:color w:val="041E41" w:themeColor="text2"/>
      <w:kern w:val="0"/>
      <w:sz w:val="22"/>
      <w:szCs w:val="22"/>
      <w:lang w:eastAsia="zh-CN"/>
    </w:rPr>
  </w:style>
  <w:style w:type="paragraph" w:styleId="Quote">
    <w:name w:val="Quote"/>
    <w:basedOn w:val="Normal"/>
    <w:next w:val="Normal"/>
    <w:link w:val="QuoteChar"/>
    <w:uiPriority w:val="29"/>
    <w:rsid w:val="001821CE"/>
    <w:pPr>
      <w:spacing w:before="160"/>
      <w:jc w:val="center"/>
    </w:pPr>
    <w:rPr>
      <w:i/>
      <w:iCs/>
      <w:color w:val="404040" w:themeColor="text1" w:themeTint="BF"/>
    </w:rPr>
  </w:style>
  <w:style w:type="character" w:customStyle="1" w:styleId="QuoteChar">
    <w:name w:val="Quote Char"/>
    <w:basedOn w:val="DefaultParagraphFont"/>
    <w:link w:val="Quote"/>
    <w:uiPriority w:val="29"/>
    <w:rsid w:val="001821CE"/>
    <w:rPr>
      <w:i/>
      <w:iCs/>
      <w:color w:val="404040" w:themeColor="text1" w:themeTint="BF"/>
    </w:rPr>
  </w:style>
  <w:style w:type="paragraph" w:styleId="NormalWeb">
    <w:name w:val="Normal (Web)"/>
    <w:basedOn w:val="Normal"/>
    <w:uiPriority w:val="99"/>
    <w:semiHidden/>
    <w:unhideWhenUsed/>
    <w:rsid w:val="005B30E0"/>
    <w:pPr>
      <w:suppressAutoHyphens w:val="0"/>
      <w:autoSpaceDE/>
      <w:autoSpaceDN/>
      <w:adjustRightInd/>
      <w:spacing w:before="100" w:beforeAutospacing="1" w:after="100" w:afterAutospacing="1" w:line="240" w:lineRule="auto"/>
      <w:textAlignment w:val="auto"/>
    </w:pPr>
    <w:rPr>
      <w:rFonts w:ascii="Times New Roman" w:eastAsia="Times New Roman" w:hAnsi="Times New Roman" w:cs="Times New Roman"/>
      <w:kern w:val="0"/>
      <w:lang w:eastAsia="en-GB"/>
    </w:rPr>
  </w:style>
  <w:style w:type="character" w:customStyle="1" w:styleId="UnresolvedMention">
    <w:name w:val="Unresolved Mention"/>
    <w:basedOn w:val="DefaultParagraphFont"/>
    <w:uiPriority w:val="99"/>
    <w:semiHidden/>
    <w:unhideWhenUsed/>
    <w:rsid w:val="004843E9"/>
    <w:rPr>
      <w:color w:val="605E5C"/>
      <w:shd w:val="clear" w:color="auto" w:fill="E1DFDD"/>
    </w:rPr>
  </w:style>
  <w:style w:type="paragraph" w:styleId="Revision">
    <w:name w:val="Revision"/>
    <w:hidden/>
    <w:uiPriority w:val="99"/>
    <w:semiHidden/>
    <w:rsid w:val="00CA108F"/>
  </w:style>
  <w:style w:type="character" w:styleId="CommentReference">
    <w:name w:val="annotation reference"/>
    <w:basedOn w:val="DefaultParagraphFont"/>
    <w:uiPriority w:val="99"/>
    <w:semiHidden/>
    <w:unhideWhenUsed/>
    <w:rsid w:val="00394335"/>
    <w:rPr>
      <w:sz w:val="16"/>
      <w:szCs w:val="16"/>
    </w:rPr>
  </w:style>
  <w:style w:type="paragraph" w:styleId="CommentText">
    <w:name w:val="annotation text"/>
    <w:basedOn w:val="Normal"/>
    <w:link w:val="CommentTextChar"/>
    <w:uiPriority w:val="99"/>
    <w:unhideWhenUsed/>
    <w:rsid w:val="00394335"/>
    <w:pPr>
      <w:spacing w:line="240" w:lineRule="auto"/>
    </w:pPr>
    <w:rPr>
      <w:sz w:val="20"/>
      <w:szCs w:val="20"/>
    </w:rPr>
  </w:style>
  <w:style w:type="character" w:customStyle="1" w:styleId="CommentTextChar">
    <w:name w:val="Comment Text Char"/>
    <w:basedOn w:val="DefaultParagraphFont"/>
    <w:link w:val="CommentText"/>
    <w:uiPriority w:val="99"/>
    <w:rsid w:val="00394335"/>
    <w:rPr>
      <w:sz w:val="20"/>
      <w:szCs w:val="20"/>
    </w:rPr>
  </w:style>
  <w:style w:type="paragraph" w:styleId="CommentSubject">
    <w:name w:val="annotation subject"/>
    <w:basedOn w:val="CommentText"/>
    <w:next w:val="CommentText"/>
    <w:link w:val="CommentSubjectChar"/>
    <w:uiPriority w:val="99"/>
    <w:semiHidden/>
    <w:unhideWhenUsed/>
    <w:rsid w:val="007D6721"/>
    <w:rPr>
      <w:b/>
      <w:bCs/>
    </w:rPr>
  </w:style>
  <w:style w:type="character" w:customStyle="1" w:styleId="CommentSubjectChar">
    <w:name w:val="Comment Subject Char"/>
    <w:basedOn w:val="CommentTextChar"/>
    <w:link w:val="CommentSubject"/>
    <w:uiPriority w:val="99"/>
    <w:semiHidden/>
    <w:rsid w:val="007D6721"/>
    <w:rPr>
      <w:b/>
      <w:bCs/>
      <w:sz w:val="20"/>
      <w:szCs w:val="20"/>
    </w:rPr>
  </w:style>
  <w:style w:type="character" w:customStyle="1" w:styleId="Mention">
    <w:name w:val="Mention"/>
    <w:basedOn w:val="DefaultParagraphFont"/>
    <w:uiPriority w:val="99"/>
    <w:unhideWhenUsed/>
    <w:rsid w:val="00BB6B9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customXml" Target="../customXml/item6.xml" /></Relationships>
</file>

<file path=word/theme/theme1.xml><?xml version="1.0" encoding="utf-8"?>
<a:theme xmlns:a="http://schemas.openxmlformats.org/drawingml/2006/main" name="Office Theme">
  <a:themeElements>
    <a:clrScheme name="UK Finance Rebrand">
      <a:dk1>
        <a:srgbClr val="000000"/>
      </a:dk1>
      <a:lt1>
        <a:srgbClr val="FFFFFF"/>
      </a:lt1>
      <a:dk2>
        <a:srgbClr val="041E41"/>
      </a:dk2>
      <a:lt2>
        <a:srgbClr val="4B64AC"/>
      </a:lt2>
      <a:accent1>
        <a:srgbClr val="ED6E5C"/>
      </a:accent1>
      <a:accent2>
        <a:srgbClr val="5CD3B5"/>
      </a:accent2>
      <a:accent3>
        <a:srgbClr val="2AA7E1"/>
      </a:accent3>
      <a:accent4>
        <a:srgbClr val="612680"/>
      </a:accent4>
      <a:accent5>
        <a:srgbClr val="C72038"/>
      </a:accent5>
      <a:accent6>
        <a:srgbClr val="F5BF00"/>
      </a:accent6>
      <a:hlink>
        <a:srgbClr val="4B64AC"/>
      </a:hlink>
      <a:folHlink>
        <a:srgbClr val="5CD3B5"/>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taskpanes.xml><?xml version="1.0" encoding="utf-8"?>
<wetp:taskpanes xmlns:wetp="http://schemas.microsoft.com/office/webextensions/taskpanes/2010/11">
  <wetp:taskpane dockstate="right" visibility="0" width="0" row="0">
    <wetp:webextensionref xmlns:r="http://schemas.openxmlformats.org/officeDocument/2006/relationships" r:id="rId1"/>
  </wetp:taskpane>
</wetp:taskpanes>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a160097-f9a4-47a2-9b12-b18df77a0bea" xsi:nil="true"/>
    <TaxCatchAll xmlns="4600776d-0a3c-44b4-bff2-0ceaafb13046">
      <Value>2</Value>
      <Value>191</Value>
    </TaxCatchAll>
    <BCC xmlns="4600776d-0a3c-44b4-bff2-0ceaafb13046" xsi:nil="true"/>
    <DateSent xmlns="4600776d-0a3c-44b4-bff2-0ceaafb13046" xsi:nil="true"/>
    <RecordNumber xmlns="4600776d-0a3c-44b4-bff2-0ceaafb13046" xsi:nil="true"/>
    <To xmlns="4600776d-0a3c-44b4-bff2-0ceaafb13046" xsi:nil="true"/>
    <HasAttachments xmlns="4600776d-0a3c-44b4-bff2-0ceaafb13046">false</HasAttachments>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Submitter xmlns="4600776d-0a3c-44b4-bff2-0ceaafb13046">
      <UserInfo>
        <DisplayName/>
        <AccountId xsi:nil="true"/>
        <AccountType/>
      </UserInfo>
    </Submitter>
    <CC xmlns="4600776d-0a3c-44b4-bff2-0ceaafb13046" xsi:nil="true"/>
    <j6c5b17cd04246da82e5604daf08bc68 xmlns="4600776d-0a3c-44b4-bff2-0ceaafb13046">
      <Terms xmlns="http://schemas.microsoft.com/office/infopath/2007/PartnerControls"/>
    </j6c5b17cd04246da82e5604daf08bc68>
    <ConversationID xmlns="4600776d-0a3c-44b4-bff2-0ceaafb13046" xsi:nil="true"/>
    <DateReceived xmlns="4600776d-0a3c-44b4-bff2-0ceaafb13046" xsi:nil="true"/>
    <TransfertoArchives xmlns="4600776d-0a3c-44b4-bff2-0ceaafb13046">false</TransfertoArchives>
    <From1 xmlns="4600776d-0a3c-44b4-bff2-0ceaafb13046" xsi:nil="true"/>
    <cd0fc526a5c840319a97fd94028e9904 xmlns="4600776d-0a3c-44b4-bff2-0ceaafb13046">
      <Terms xmlns="http://schemas.microsoft.com/office/infopath/2007/PartnerControls"/>
    </cd0fc526a5c840319a97fd94028e9904>
    <Fingerprint xmlns="4600776d-0a3c-44b4-bff2-0ceaafb13046" xsi:nil="true"/>
    <ConversationTopic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ateandTime xmlns="ca160097-f9a4-47a2-9b12-b18df77a0bea" xsi:nil="true"/>
    <TobePublished xmlns="ca160097-f9a4-47a2-9b12-b18df77a0bea" xsi:nil="true"/>
  </documentManagement>
</p:properties>
</file>

<file path=customXml/item2.xml><?xml version="1.0" encoding="utf-8"?>
<?mso-contentType ?>
<SharedContentType xmlns="Microsoft.SharePoint.Taxonomy.ContentTypeSync" SourceId="eb37f91c-4bb8-4ab3-bc5a-cd8753815459" ContentTypeId="0x010100E384AEB62CB4B84C9B739A3C1591DDDF" PreviousValue="false"/>
</file>

<file path=customXml/item3.xml><?xml version="1.0" encoding="utf-8"?>
<?mso-contentType ?>
<spe:Receivers xmlns:spe="http://schemas.microsoft.com/sharepoint/events"/>
</file>

<file path=customXml/item4.xml><?xml version="1.0" encoding="utf-8"?>
<ct:contentTypeSchema xmlns:ct="http://schemas.microsoft.com/office/2006/metadata/contentType" xmlns:ma="http://schemas.microsoft.com/office/2006/metadata/properties/metaAttributes" ct:_="" ma:_="" ma:contentTypeName="E-mail Submission" ma:contentTypeID="0x010100E384AEB62CB4B84C9B739A3C1591DDDF0006CC08233285194CA392640DC3C9B143" ma:contentTypeVersion="29" ma:contentTypeDescription="This content type has been created to support the use of Repstor's Affinity product. Please contact the IRMS team for more information." ma:contentTypeScope="" ma:versionID="2375678de77b4acd383748f6c8bfb3ab">
  <xsd:schema xmlns:xsd="http://www.w3.org/2001/XMLSchema" xmlns:xs="http://www.w3.org/2001/XMLSchema" xmlns:p="http://schemas.microsoft.com/office/2006/metadata/properties" xmlns:ns3="4600776d-0a3c-44b4-bff2-0ceaafb13046" xmlns:ns4="ca160097-f9a4-47a2-9b12-b18df77a0bea" targetNamespace="http://schemas.microsoft.com/office/2006/metadata/properties" ma:root="true" ma:fieldsID="52bb72bb0f55de70b24f590394fefc9b" ns3:_="" ns4:_="">
    <xsd:import namespace="4600776d-0a3c-44b4-bff2-0ceaafb13046"/>
    <xsd:import namespace="ca160097-f9a4-47a2-9b12-b18df77a0bea"/>
    <xsd:element name="properties">
      <xsd:complexType>
        <xsd:sequence>
          <xsd:element name="documentManagement">
            <xsd:complexType>
              <xsd:all>
                <xsd:element ref="ns3:To" minOccurs="0"/>
                <xsd:element ref="ns3:From1" minOccurs="0"/>
                <xsd:element ref="ns3:CC" minOccurs="0"/>
                <xsd:element ref="ns3:BCC" minOccurs="0"/>
                <xsd:element ref="ns3:DateSent" minOccurs="0"/>
                <xsd:element ref="ns3:DateReceived" minOccurs="0"/>
                <xsd:element ref="ns3:ConversationTopic" minOccurs="0"/>
                <xsd:element ref="ns3:ConversationID" minOccurs="0"/>
                <xsd:element ref="ns3:HasAttachments" minOccurs="0"/>
                <xsd:element ref="ns3:Submitter" minOccurs="0"/>
                <xsd:element ref="ns3:Fingerprint" minOccurs="0"/>
                <xsd:element ref="ns3:c4838c65c76546ae93d5703426802f7f" minOccurs="0"/>
                <xsd:element ref="ns3:TaxCatchAll" minOccurs="0"/>
                <xsd:element ref="ns3:TaxCatchAllLabel" minOccurs="0"/>
                <xsd:element ref="ns3:j6c5b17cd04246da82e5604daf08bc68" minOccurs="0"/>
                <xsd:element ref="ns3:g3ef09377e3444258679b6035a1ff93a" minOccurs="0"/>
                <xsd:element ref="ns3:cd0fc526a5c840319a97fd94028e9904" minOccurs="0"/>
                <xsd:element ref="ns3:k5b153ee974a4a57a7568e533217f2cb" minOccurs="0"/>
                <xsd:element ref="ns3:TransfertoArchives" minOccurs="0"/>
                <xsd:element ref="ns3:RecordNumber" minOccurs="0"/>
                <xsd:element ref="ns4:DateandTime" minOccurs="0"/>
                <xsd:element ref="ns4:lcf76f155ced4ddcb4097134ff3c332f" minOccurs="0"/>
                <xsd:element ref="ns4:TobePublish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To" ma:index="3" nillable="true" ma:displayName="To" ma:internalName="To">
      <xsd:simpleType>
        <xsd:restriction base="dms:Note">
          <xsd:maxLength value="255"/>
        </xsd:restriction>
      </xsd:simpleType>
    </xsd:element>
    <xsd:element name="From1" ma:index="4" nillable="true" ma:displayName="From" ma:internalName="From1">
      <xsd:simpleType>
        <xsd:restriction base="dms:Text">
          <xsd:maxLength value="255"/>
        </xsd:restriction>
      </xsd:simpleType>
    </xsd:element>
    <xsd:element name="CC" ma:index="5" nillable="true" ma:displayName="CC" ma:internalName="CC">
      <xsd:simpleType>
        <xsd:restriction base="dms:Note">
          <xsd:maxLength value="255"/>
        </xsd:restriction>
      </xsd:simpleType>
    </xsd:element>
    <xsd:element name="BCC" ma:index="6" nillable="true" ma:displayName="BCC" ma:internalName="BCC">
      <xsd:simpleType>
        <xsd:restriction base="dms:Note">
          <xsd:maxLength value="255"/>
        </xsd:restriction>
      </xsd:simpleType>
    </xsd:element>
    <xsd:element name="DateSent" ma:index="7" nillable="true" ma:displayName="Date Sent" ma:format="DateTime" ma:indexed="true" ma:internalName="DateSent">
      <xsd:simpleType>
        <xsd:restriction base="dms:DateTime"/>
      </xsd:simpleType>
    </xsd:element>
    <xsd:element name="DateReceived" ma:index="8" nillable="true" ma:displayName="Date Received" ma:format="DateTime" ma:internalName="DateReceived">
      <xsd:simpleType>
        <xsd:restriction base="dms:DateTime"/>
      </xsd:simpleType>
    </xsd:element>
    <xsd:element name="ConversationTopic" ma:index="9" nillable="true" ma:displayName="ConversationTopic" ma:internalName="ConversationTopic">
      <xsd:simpleType>
        <xsd:restriction base="dms:Text">
          <xsd:maxLength value="255"/>
        </xsd:restriction>
      </xsd:simpleType>
    </xsd:element>
    <xsd:element name="ConversationID" ma:index="10" nillable="true" ma:displayName="ConversationID" ma:internalName="ConversationID">
      <xsd:simpleType>
        <xsd:restriction base="dms:Text">
          <xsd:maxLength value="255"/>
        </xsd:restriction>
      </xsd:simpleType>
    </xsd:element>
    <xsd:element name="HasAttachments" ma:index="11" nillable="true" ma:displayName="Has Attachments" ma:default="0" ma:internalName="HasAttachments">
      <xsd:simpleType>
        <xsd:restriction base="dms:Boolean"/>
      </xsd:simpleType>
    </xsd:element>
    <xsd:element name="Submitter" ma:index="12" nillable="true" ma:displayName="Submitter" ma:list="UserInfo" ma:SearchPeopleOnly="false" ma:SharePointGroup="0" ma:internalName="Submitter"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ingerprint" ma:index="13" nillable="true" ma:displayName="Fingerprint" ma:hidden="true" ma:internalName="Fingerprint" ma:readOnly="false">
      <xsd:simpleType>
        <xsd:restriction base="dms:Text">
          <xsd:maxLength value="255"/>
        </xsd:restriction>
      </xsd:simpleType>
    </xsd:element>
    <xsd:element name="c4838c65c76546ae93d5703426802f7f" ma:index="20"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1" nillable="true" ma:displayName="Taxonomy Catch All Column" ma:description="" ma:hidden="true" ma:list="{16fe675c-0843-4115-a495-0e880fdbd303}"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22" nillable="true" ma:displayName="Taxonomy Catch All Column1" ma:description="" ma:hidden="true" ma:list="{16fe675c-0843-4115-a495-0e880fdbd303}"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4"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26"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28"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0"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ransfertoArchives" ma:index="32" nillable="true" ma:displayName="Transfer to Archives" ma:default="0" ma:internalName="TransfertoArchives">
      <xsd:simpleType>
        <xsd:restriction base="dms:Boolean"/>
      </xsd:simpleType>
    </xsd:element>
    <xsd:element name="RecordNumber" ma:index="33" nillable="true" ma:displayName="Record Number" ma:indexed="true" ma:internalName="Record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a160097-f9a4-47a2-9b12-b18df77a0bea" elementFormDefault="qualified">
    <xsd:import namespace="http://schemas.microsoft.com/office/2006/documentManagement/types"/>
    <xsd:import namespace="http://schemas.microsoft.com/office/infopath/2007/PartnerControls"/>
    <xsd:element name="DateandTime" ma:index="34" nillable="true" ma:displayName="Date and Time" ma:format="DateOnly" ma:internalName="DateandTime">
      <xsd:simpleType>
        <xsd:restriction base="dms:DateTime"/>
      </xsd:simpleType>
    </xsd:element>
    <xsd:element name="lcf76f155ced4ddcb4097134ff3c332f" ma:index="35" nillable="true" ma:displayName="Image Tags_0" ma:hidden="true" ma:internalName="lcf76f155ced4ddcb4097134ff3c332f">
      <xsd:simpleType>
        <xsd:restriction base="dms:Note"/>
      </xsd:simpleType>
    </xsd:element>
    <xsd:element name="TobePublished" ma:index="36" nillable="true" ma:displayName="To be Published" ma:format="Dropdown" ma:internalName="TobePublishe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ma:index="2"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49E42E7-8A75-47D8-9904-0532303304DB}">
  <ds:schemaRefs>
    <ds:schemaRef ds:uri="http://schemas.microsoft.com/office/2006/metadata/properties"/>
    <ds:schemaRef ds:uri="http://schemas.microsoft.com/office/infopath/2007/PartnerControls"/>
    <ds:schemaRef ds:uri="2171b2ce-ee17-41a0-aafe-eceb6e450c04"/>
    <ds:schemaRef ds:uri="5adfc309-0171-4a1e-8ce8-5c266ab05f6f"/>
  </ds:schemaRefs>
</ds:datastoreItem>
</file>

<file path=customXml/itemProps2.xml><?xml version="1.0" encoding="utf-8"?>
<ds:datastoreItem xmlns:ds="http://schemas.openxmlformats.org/officeDocument/2006/customXml" ds:itemID="{46C9DBE0-F0CE-49E6-8455-C5F76FD9F0FE}">
  <ds:schemaRefs/>
</ds:datastoreItem>
</file>

<file path=customXml/itemProps3.xml><?xml version="1.0" encoding="utf-8"?>
<ds:datastoreItem xmlns:ds="http://schemas.openxmlformats.org/officeDocument/2006/customXml" ds:itemID="{1F9BC37B-6E57-4B88-BD2C-706A34047DA1}">
  <ds:schemaRefs/>
</ds:datastoreItem>
</file>

<file path=customXml/itemProps4.xml><?xml version="1.0" encoding="utf-8"?>
<ds:datastoreItem xmlns:ds="http://schemas.openxmlformats.org/officeDocument/2006/customXml" ds:itemID="{B225C049-291F-4BDE-B596-6168D48ACAE7}">
  <ds:schemaRefs/>
</ds:datastoreItem>
</file>

<file path=customXml/itemProps5.xml><?xml version="1.0" encoding="utf-8"?>
<ds:datastoreItem xmlns:ds="http://schemas.openxmlformats.org/officeDocument/2006/customXml" ds:itemID="{DDD6174E-4689-8646-B9A9-DF47178B308D}">
  <ds:schemaRefs>
    <ds:schemaRef ds:uri="http://schemas.openxmlformats.org/officeDocument/2006/bibliography"/>
  </ds:schemaRefs>
</ds:datastoreItem>
</file>

<file path=customXml/itemProps6.xml><?xml version="1.0" encoding="utf-8"?>
<ds:datastoreItem xmlns:ds="http://schemas.openxmlformats.org/officeDocument/2006/customXml" ds:itemID="{C890DEA2-21F4-4E28-84CA-BBE6209C391C}">
  <ds:schemaRefs>
    <ds:schemaRef ds:uri="http://schemas.microsoft.com/sharepoint/v3/contenttype/forms"/>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 id="{698453b5-5ff5-45ea-8b80-71e82b0a2887}"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CLR0249</dc:title>
  <cp:revision>0</cp:revision>
</cp:coreProperties>
</file>