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D4A02" w:rsidP="004F4C41">
      <w:pPr>
        <w:jc w:val="center"/>
        <w:rPr>
          <w:rFonts w:ascii="Arial Narrow" w:hAnsi="Arial Narrow" w:cstheme="minorHAnsi"/>
          <w:b/>
          <w:bCs/>
          <w:sz w:val="30"/>
          <w:szCs w:val="30"/>
        </w:rPr>
      </w:pPr>
      <w:r>
        <w:rPr>
          <w:rFonts w:ascii="Arial Narrow" w:hAnsi="Arial Narrow" w:cstheme="minorHAnsi"/>
          <w:b/>
          <w:bCs/>
          <w:sz w:val="30"/>
          <w:szCs w:val="30"/>
        </w:rPr>
        <w:t xml:space="preserve">Written evidence </w:t>
      </w:r>
      <w:r w:rsidR="00014F1E">
        <w:rPr>
          <w:rFonts w:ascii="Arial Narrow" w:hAnsi="Arial Narrow" w:cstheme="minorHAnsi"/>
          <w:b/>
          <w:bCs/>
          <w:sz w:val="30"/>
          <w:szCs w:val="30"/>
        </w:rPr>
        <w:t>submitted by Free Leaseholders [CLR 246]</w:t>
      </w:r>
    </w:p>
    <w:p w:rsidR="00C87AC7" w:rsidRPr="006D4A02" w:rsidP="00C87AC7">
      <w:pPr>
        <w:jc w:val="center"/>
        <w:rPr>
          <w:rFonts w:ascii="Arial Narrow" w:hAnsi="Arial Narrow" w:cstheme="minorHAnsi"/>
          <w:b/>
          <w:bCs/>
          <w:sz w:val="30"/>
          <w:szCs w:val="30"/>
        </w:rPr>
      </w:pPr>
    </w:p>
    <w:p w:rsidR="00B67BEB" w:rsidP="009C481A">
      <w:pPr>
        <w:rPr>
          <w:rFonts w:ascii="Times New Roman" w:hAnsi="Times New Roman" w:cs="Times New Roman"/>
          <w:i/>
          <w:iCs/>
          <w:sz w:val="30"/>
          <w:szCs w:val="30"/>
        </w:rPr>
      </w:pPr>
    </w:p>
    <w:p w:rsidR="004C49F3" w:rsidRPr="009E7E8D" w:rsidP="00F861A8">
      <w:pPr>
        <w:jc w:val="both"/>
        <w:rPr>
          <w:rFonts w:ascii="Calibri Light" w:hAnsi="Calibri Light" w:cs="Calibri Light"/>
          <w:sz w:val="23"/>
          <w:szCs w:val="23"/>
        </w:rPr>
      </w:pPr>
      <w:r w:rsidRPr="009E7E8D">
        <w:rPr>
          <w:rFonts w:ascii="Calibri Light" w:hAnsi="Calibri Light" w:cs="Calibri Light"/>
          <w:sz w:val="23"/>
          <w:szCs w:val="23"/>
        </w:rPr>
        <w:t xml:space="preserve">As the </w:t>
      </w:r>
      <w:r w:rsidRPr="009E7E8D" w:rsidR="00220AC3">
        <w:rPr>
          <w:rFonts w:ascii="Calibri Light" w:hAnsi="Calibri Light" w:cs="Calibri Light"/>
          <w:sz w:val="23"/>
          <w:szCs w:val="23"/>
        </w:rPr>
        <w:t xml:space="preserve">grassroots </w:t>
      </w:r>
      <w:r w:rsidRPr="009E7E8D">
        <w:rPr>
          <w:rFonts w:ascii="Calibri Light" w:hAnsi="Calibri Light" w:cs="Calibri Light"/>
          <w:sz w:val="23"/>
          <w:szCs w:val="23"/>
        </w:rPr>
        <w:t xml:space="preserve">campaign to end leasehold for good, we are </w:t>
      </w:r>
      <w:r w:rsidRPr="009E7E8D" w:rsidR="00880E75">
        <w:rPr>
          <w:rFonts w:ascii="Calibri Light" w:hAnsi="Calibri Light" w:cs="Calibri Light"/>
          <w:sz w:val="23"/>
          <w:szCs w:val="23"/>
        </w:rPr>
        <w:t>dismayed</w:t>
      </w:r>
      <w:r w:rsidRPr="009E7E8D" w:rsidR="0031367F">
        <w:rPr>
          <w:rFonts w:ascii="Calibri Light" w:hAnsi="Calibri Light" w:cs="Calibri Light"/>
          <w:sz w:val="23"/>
          <w:szCs w:val="23"/>
        </w:rPr>
        <w:t xml:space="preserve"> </w:t>
      </w:r>
      <w:r w:rsidRPr="009E7E8D">
        <w:rPr>
          <w:rFonts w:ascii="Calibri Light" w:hAnsi="Calibri Light" w:cs="Calibri Light"/>
          <w:sz w:val="23"/>
          <w:szCs w:val="23"/>
        </w:rPr>
        <w:t>that the government’s draft Commonhold</w:t>
      </w:r>
      <w:r w:rsidR="00080060">
        <w:rPr>
          <w:rFonts w:ascii="Calibri Light" w:hAnsi="Calibri Light" w:cs="Calibri Light"/>
          <w:sz w:val="23"/>
          <w:szCs w:val="23"/>
        </w:rPr>
        <w:t xml:space="preserve"> and Leasehold</w:t>
      </w:r>
      <w:r w:rsidRPr="009E7E8D">
        <w:rPr>
          <w:rFonts w:ascii="Calibri Light" w:hAnsi="Calibri Light" w:cs="Calibri Light"/>
          <w:sz w:val="23"/>
          <w:szCs w:val="23"/>
        </w:rPr>
        <w:t xml:space="preserve"> Reform Bill, published on 27 January 2026, reneges on the Labour </w:t>
      </w:r>
      <w:r w:rsidRPr="009E7E8D" w:rsidR="007D0828">
        <w:rPr>
          <w:rFonts w:ascii="Calibri Light" w:hAnsi="Calibri Light" w:cs="Calibri Light"/>
          <w:sz w:val="23"/>
          <w:szCs w:val="23"/>
        </w:rPr>
        <w:t xml:space="preserve">Party </w:t>
      </w:r>
      <w:r w:rsidRPr="009E7E8D">
        <w:rPr>
          <w:rFonts w:ascii="Calibri Light" w:hAnsi="Calibri Light" w:cs="Calibri Light"/>
          <w:sz w:val="23"/>
          <w:szCs w:val="23"/>
        </w:rPr>
        <w:t>manifesto and King’s Speech promise to “bring the feudal leasehold system to an end”.</w:t>
      </w:r>
    </w:p>
    <w:p w:rsidR="004C49F3" w:rsidRPr="009E7E8D" w:rsidP="00F861A8">
      <w:pPr>
        <w:jc w:val="both"/>
        <w:rPr>
          <w:rFonts w:ascii="Calibri Light" w:hAnsi="Calibri Light" w:cs="Calibri Light"/>
          <w:sz w:val="23"/>
          <w:szCs w:val="23"/>
        </w:rPr>
      </w:pPr>
    </w:p>
    <w:p w:rsidR="008E6673" w:rsidRPr="009E7E8D" w:rsidP="00F861A8">
      <w:pPr>
        <w:jc w:val="both"/>
        <w:rPr>
          <w:rFonts w:ascii="Calibri Light" w:hAnsi="Calibri Light" w:cs="Calibri Light"/>
          <w:sz w:val="23"/>
          <w:szCs w:val="23"/>
        </w:rPr>
      </w:pPr>
      <w:r w:rsidRPr="009E7E8D">
        <w:rPr>
          <w:rFonts w:ascii="Calibri Light" w:hAnsi="Calibri Light" w:cs="Calibri Light"/>
          <w:sz w:val="23"/>
          <w:szCs w:val="23"/>
        </w:rPr>
        <w:t xml:space="preserve">Not only does </w:t>
      </w:r>
      <w:r w:rsidRPr="009E7E8D" w:rsidR="004C49F3">
        <w:rPr>
          <w:rFonts w:ascii="Calibri Light" w:hAnsi="Calibri Light" w:cs="Calibri Light"/>
          <w:sz w:val="23"/>
          <w:szCs w:val="23"/>
        </w:rPr>
        <w:t>the proposed legislation</w:t>
      </w:r>
      <w:r w:rsidRPr="009E7E8D">
        <w:rPr>
          <w:rFonts w:ascii="Calibri Light" w:hAnsi="Calibri Light" w:cs="Calibri Light"/>
          <w:sz w:val="23"/>
          <w:szCs w:val="23"/>
        </w:rPr>
        <w:t xml:space="preserve"> fail to meet this core objective, but it also violates a further Labour manifesto and King’s Speech </w:t>
      </w:r>
      <w:r w:rsidRPr="009E7E8D" w:rsidR="00485B22">
        <w:rPr>
          <w:rFonts w:ascii="Calibri Light" w:hAnsi="Calibri Light" w:cs="Calibri Light"/>
          <w:sz w:val="23"/>
          <w:szCs w:val="23"/>
        </w:rPr>
        <w:t>promise</w:t>
      </w:r>
      <w:r w:rsidRPr="009E7E8D">
        <w:rPr>
          <w:rFonts w:ascii="Calibri Light" w:hAnsi="Calibri Light" w:cs="Calibri Light"/>
          <w:sz w:val="23"/>
          <w:szCs w:val="23"/>
        </w:rPr>
        <w:t xml:space="preserve"> to enact the remaining Law Commission recommendations on enfranchisement and Right to Manage. </w:t>
      </w:r>
    </w:p>
    <w:p w:rsidR="008E6673" w:rsidRPr="009E7E8D" w:rsidP="00F861A8">
      <w:pPr>
        <w:jc w:val="both"/>
        <w:rPr>
          <w:rFonts w:ascii="Calibri Light" w:hAnsi="Calibri Light" w:cs="Calibri Light"/>
          <w:sz w:val="23"/>
          <w:szCs w:val="23"/>
        </w:rPr>
      </w:pPr>
    </w:p>
    <w:p w:rsidR="004F43EF" w:rsidP="00F861A8">
      <w:pPr>
        <w:jc w:val="both"/>
        <w:rPr>
          <w:rFonts w:ascii="Calibri Light" w:hAnsi="Calibri Light" w:cs="Calibri Light"/>
          <w:sz w:val="23"/>
          <w:szCs w:val="23"/>
        </w:rPr>
      </w:pPr>
      <w:r w:rsidRPr="009E7E8D">
        <w:rPr>
          <w:rFonts w:ascii="Calibri Light" w:hAnsi="Calibri Light" w:cs="Calibri Light"/>
          <w:sz w:val="23"/>
          <w:szCs w:val="23"/>
        </w:rPr>
        <w:t xml:space="preserve">We argue that those recommendations, the result of years of taxpayer-funded research and public consultation and published in extensive reports in 2020, should serve as a foundation upon which more </w:t>
      </w:r>
      <w:r w:rsidRPr="009E7E8D" w:rsidR="00985136">
        <w:rPr>
          <w:rFonts w:ascii="Calibri Light" w:hAnsi="Calibri Light" w:cs="Calibri Light"/>
          <w:sz w:val="23"/>
          <w:szCs w:val="23"/>
        </w:rPr>
        <w:t>ambitious</w:t>
      </w:r>
      <w:r w:rsidRPr="009E7E8D">
        <w:rPr>
          <w:rFonts w:ascii="Calibri Light" w:hAnsi="Calibri Light" w:cs="Calibri Light"/>
          <w:sz w:val="23"/>
          <w:szCs w:val="23"/>
        </w:rPr>
        <w:t xml:space="preserve"> measures can and should be developed.</w:t>
      </w:r>
      <w:r w:rsidR="004D1AF1">
        <w:rPr>
          <w:rFonts w:ascii="Calibri Light" w:hAnsi="Calibri Light" w:cs="Calibri Light"/>
          <w:sz w:val="23"/>
          <w:szCs w:val="23"/>
        </w:rPr>
        <w:t xml:space="preserve"> </w:t>
      </w:r>
      <w:r w:rsidRPr="009E7E8D" w:rsidR="00210BA9">
        <w:rPr>
          <w:rFonts w:ascii="Calibri Light" w:hAnsi="Calibri Light" w:cs="Calibri Light"/>
          <w:sz w:val="23"/>
          <w:szCs w:val="23"/>
        </w:rPr>
        <w:t xml:space="preserve">The wealth erosion and </w:t>
      </w:r>
      <w:r w:rsidRPr="009E7E8D" w:rsidR="00F85AE7">
        <w:rPr>
          <w:rFonts w:ascii="Calibri Light" w:hAnsi="Calibri Light" w:cs="Calibri Light"/>
          <w:sz w:val="23"/>
          <w:szCs w:val="23"/>
        </w:rPr>
        <w:t>suffering</w:t>
      </w:r>
      <w:r w:rsidRPr="009E7E8D" w:rsidR="00210BA9">
        <w:rPr>
          <w:rFonts w:ascii="Calibri Light" w:hAnsi="Calibri Light" w:cs="Calibri Light"/>
          <w:sz w:val="23"/>
          <w:szCs w:val="23"/>
        </w:rPr>
        <w:t xml:space="preserve"> experienced by ordinary people and families </w:t>
      </w:r>
      <w:r w:rsidRPr="009E7E8D" w:rsidR="004B52CD">
        <w:rPr>
          <w:rFonts w:ascii="Calibri Light" w:hAnsi="Calibri Light" w:cs="Calibri Light"/>
          <w:sz w:val="23"/>
          <w:szCs w:val="23"/>
        </w:rPr>
        <w:t xml:space="preserve">across </w:t>
      </w:r>
      <w:r w:rsidRPr="009E7E8D" w:rsidR="00D1501D">
        <w:rPr>
          <w:rFonts w:ascii="Calibri Light" w:hAnsi="Calibri Light" w:cs="Calibri Light"/>
          <w:sz w:val="23"/>
          <w:szCs w:val="23"/>
        </w:rPr>
        <w:t>England and Wales</w:t>
      </w:r>
      <w:r w:rsidRPr="009E7E8D" w:rsidR="004B52CD">
        <w:rPr>
          <w:rFonts w:ascii="Calibri Light" w:hAnsi="Calibri Light" w:cs="Calibri Light"/>
          <w:sz w:val="23"/>
          <w:szCs w:val="23"/>
        </w:rPr>
        <w:t xml:space="preserve"> </w:t>
      </w:r>
      <w:r w:rsidRPr="009E7E8D" w:rsidR="00210BA9">
        <w:rPr>
          <w:rFonts w:ascii="Calibri Light" w:hAnsi="Calibri Light" w:cs="Calibri Light"/>
          <w:sz w:val="23"/>
          <w:szCs w:val="23"/>
        </w:rPr>
        <w:t>as a result of extractive third-party freeholders</w:t>
      </w:r>
      <w:r w:rsidRPr="009E7E8D" w:rsidR="00131008">
        <w:rPr>
          <w:rFonts w:ascii="Calibri Light" w:hAnsi="Calibri Light" w:cs="Calibri Light"/>
          <w:sz w:val="23"/>
          <w:szCs w:val="23"/>
        </w:rPr>
        <w:t xml:space="preserve"> and their</w:t>
      </w:r>
      <w:r w:rsidRPr="009E7E8D" w:rsidR="00862B6F">
        <w:rPr>
          <w:rFonts w:ascii="Calibri Light" w:hAnsi="Calibri Light" w:cs="Calibri Light"/>
          <w:sz w:val="23"/>
          <w:szCs w:val="23"/>
        </w:rPr>
        <w:t xml:space="preserve"> managing</w:t>
      </w:r>
      <w:r w:rsidRPr="009E7E8D" w:rsidR="00131008">
        <w:rPr>
          <w:rFonts w:ascii="Calibri Light" w:hAnsi="Calibri Light" w:cs="Calibri Light"/>
          <w:sz w:val="23"/>
          <w:szCs w:val="23"/>
        </w:rPr>
        <w:t xml:space="preserve"> agents</w:t>
      </w:r>
      <w:r w:rsidRPr="009E7E8D" w:rsidR="00210BA9">
        <w:rPr>
          <w:rFonts w:ascii="Calibri Light" w:hAnsi="Calibri Light" w:cs="Calibri Light"/>
          <w:sz w:val="23"/>
          <w:szCs w:val="23"/>
        </w:rPr>
        <w:t xml:space="preserve"> </w:t>
      </w:r>
      <w:r w:rsidR="008777FB">
        <w:rPr>
          <w:rFonts w:ascii="Calibri Light" w:hAnsi="Calibri Light" w:cs="Calibri Light"/>
          <w:sz w:val="23"/>
          <w:szCs w:val="23"/>
        </w:rPr>
        <w:t xml:space="preserve">in leasehold </w:t>
      </w:r>
      <w:r w:rsidRPr="009E7E8D" w:rsidR="00210BA9">
        <w:rPr>
          <w:rFonts w:ascii="Calibri Light" w:hAnsi="Calibri Light" w:cs="Calibri Light"/>
          <w:sz w:val="23"/>
          <w:szCs w:val="23"/>
        </w:rPr>
        <w:t xml:space="preserve">make such action imperative. </w:t>
      </w:r>
    </w:p>
    <w:p w:rsidR="004F43EF" w:rsidP="00F861A8">
      <w:pPr>
        <w:jc w:val="both"/>
        <w:rPr>
          <w:rFonts w:ascii="Calibri Light" w:hAnsi="Calibri Light" w:cs="Calibri Light"/>
          <w:sz w:val="23"/>
          <w:szCs w:val="23"/>
        </w:rPr>
      </w:pPr>
    </w:p>
    <w:p w:rsidR="00B617AC" w:rsidP="00F861A8">
      <w:pPr>
        <w:jc w:val="both"/>
        <w:rPr>
          <w:rFonts w:ascii="Calibri Light" w:hAnsi="Calibri Light" w:cs="Calibri Light"/>
          <w:sz w:val="23"/>
          <w:szCs w:val="23"/>
        </w:rPr>
      </w:pPr>
      <w:r w:rsidRPr="009E7E8D">
        <w:rPr>
          <w:rFonts w:ascii="Calibri Light" w:hAnsi="Calibri Light" w:cs="Calibri Light"/>
          <w:sz w:val="23"/>
          <w:szCs w:val="23"/>
        </w:rPr>
        <w:t xml:space="preserve">It is inexcusable for the draft Commonhold </w:t>
      </w:r>
      <w:r w:rsidR="00DD2E3F">
        <w:rPr>
          <w:rFonts w:ascii="Calibri Light" w:hAnsi="Calibri Light" w:cs="Calibri Light"/>
          <w:sz w:val="23"/>
          <w:szCs w:val="23"/>
        </w:rPr>
        <w:t xml:space="preserve">and Leasehold </w:t>
      </w:r>
      <w:r w:rsidRPr="009E7E8D">
        <w:rPr>
          <w:rFonts w:ascii="Calibri Light" w:hAnsi="Calibri Light" w:cs="Calibri Light"/>
          <w:sz w:val="23"/>
          <w:szCs w:val="23"/>
        </w:rPr>
        <w:t xml:space="preserve">Reform Bill to omit those </w:t>
      </w:r>
      <w:r w:rsidR="000946AF">
        <w:rPr>
          <w:rFonts w:ascii="Calibri Light" w:hAnsi="Calibri Light" w:cs="Calibri Light"/>
          <w:sz w:val="23"/>
          <w:szCs w:val="23"/>
        </w:rPr>
        <w:t xml:space="preserve">Law Commission </w:t>
      </w:r>
      <w:r w:rsidRPr="009E7E8D">
        <w:rPr>
          <w:rFonts w:ascii="Calibri Light" w:hAnsi="Calibri Light" w:cs="Calibri Light"/>
          <w:sz w:val="23"/>
          <w:szCs w:val="23"/>
        </w:rPr>
        <w:t xml:space="preserve">recommendations while offering </w:t>
      </w:r>
      <w:r w:rsidRPr="004E67FF">
        <w:rPr>
          <w:rFonts w:ascii="Calibri Light" w:hAnsi="Calibri Light" w:cs="Calibri Light"/>
          <w:sz w:val="23"/>
          <w:szCs w:val="23"/>
        </w:rPr>
        <w:t xml:space="preserve">nothing stronger in their place, reflecting deliberate political choices </w:t>
      </w:r>
      <w:r w:rsidRPr="004E67FF">
        <w:rPr>
          <w:rFonts w:ascii="Calibri Light" w:hAnsi="Calibri Light" w:cs="Calibri Light"/>
          <w:sz w:val="23"/>
          <w:szCs w:val="23"/>
        </w:rPr>
        <w:t>that prioritise corporate interests to the detriment of leaseholders and the broader economy and housing market.</w:t>
      </w:r>
    </w:p>
    <w:p w:rsidR="00B617AC" w:rsidP="00F861A8">
      <w:pPr>
        <w:jc w:val="both"/>
        <w:rPr>
          <w:rFonts w:ascii="Calibri Light" w:hAnsi="Calibri Light" w:cs="Calibri Light"/>
          <w:sz w:val="23"/>
          <w:szCs w:val="23"/>
        </w:rPr>
      </w:pPr>
    </w:p>
    <w:p w:rsidR="007F7E0B" w:rsidRPr="009E7E8D" w:rsidP="00F861A8">
      <w:pPr>
        <w:jc w:val="both"/>
        <w:rPr>
          <w:rFonts w:ascii="Calibri Light" w:hAnsi="Calibri Light" w:cs="Calibri Light"/>
          <w:sz w:val="23"/>
          <w:szCs w:val="23"/>
        </w:rPr>
      </w:pPr>
      <w:r w:rsidRPr="009E7E8D">
        <w:rPr>
          <w:rFonts w:ascii="Calibri Light" w:hAnsi="Calibri Light" w:cs="Calibri Light"/>
          <w:sz w:val="23"/>
          <w:szCs w:val="23"/>
        </w:rPr>
        <w:t>The Labour government</w:t>
      </w:r>
      <w:r w:rsidR="00E954B9">
        <w:rPr>
          <w:rFonts w:ascii="Calibri Light" w:hAnsi="Calibri Light" w:cs="Calibri Light"/>
          <w:sz w:val="23"/>
          <w:szCs w:val="23"/>
        </w:rPr>
        <w:t>’s</w:t>
      </w:r>
      <w:r w:rsidRPr="009E7E8D">
        <w:rPr>
          <w:rFonts w:ascii="Calibri Light" w:hAnsi="Calibri Light" w:cs="Calibri Light"/>
          <w:sz w:val="23"/>
          <w:szCs w:val="23"/>
        </w:rPr>
        <w:t xml:space="preserve"> decision to b</w:t>
      </w:r>
      <w:r w:rsidRPr="009E7E8D" w:rsidR="005C538C">
        <w:rPr>
          <w:rFonts w:ascii="Calibri Light" w:hAnsi="Calibri Light" w:cs="Calibri Light"/>
          <w:sz w:val="23"/>
          <w:szCs w:val="23"/>
        </w:rPr>
        <w:t xml:space="preserve">ring forward legislation shorn of </w:t>
      </w:r>
      <w:r w:rsidRPr="009E7E8D" w:rsidR="00E9538E">
        <w:rPr>
          <w:rFonts w:ascii="Calibri Light" w:hAnsi="Calibri Light" w:cs="Calibri Light"/>
          <w:sz w:val="23"/>
          <w:szCs w:val="23"/>
        </w:rPr>
        <w:t>heavily-trailed</w:t>
      </w:r>
      <w:r w:rsidRPr="009E7E8D" w:rsidR="005C538C">
        <w:rPr>
          <w:rFonts w:ascii="Calibri Light" w:hAnsi="Calibri Light" w:cs="Calibri Light"/>
          <w:sz w:val="23"/>
          <w:szCs w:val="23"/>
        </w:rPr>
        <w:t xml:space="preserve"> reforms </w:t>
      </w:r>
      <w:r w:rsidRPr="009E7E8D" w:rsidR="001962F1">
        <w:rPr>
          <w:rFonts w:ascii="Calibri Light" w:hAnsi="Calibri Light" w:cs="Calibri Light"/>
          <w:sz w:val="23"/>
          <w:szCs w:val="23"/>
        </w:rPr>
        <w:t>that would</w:t>
      </w:r>
      <w:r w:rsidRPr="009E7E8D" w:rsidR="00DF187C">
        <w:rPr>
          <w:rFonts w:ascii="Calibri Light" w:hAnsi="Calibri Light" w:cs="Calibri Light"/>
          <w:sz w:val="23"/>
          <w:szCs w:val="23"/>
        </w:rPr>
        <w:t xml:space="preserve"> </w:t>
      </w:r>
      <w:r w:rsidRPr="009E7E8D" w:rsidR="005C538C">
        <w:rPr>
          <w:rFonts w:ascii="Calibri Light" w:hAnsi="Calibri Light" w:cs="Calibri Light"/>
          <w:sz w:val="23"/>
          <w:szCs w:val="23"/>
        </w:rPr>
        <w:t xml:space="preserve">benefit leaseholders </w:t>
      </w:r>
      <w:r w:rsidRPr="009E7E8D" w:rsidR="007702FA">
        <w:rPr>
          <w:rFonts w:ascii="Calibri Light" w:hAnsi="Calibri Light" w:cs="Calibri Light"/>
          <w:sz w:val="23"/>
          <w:szCs w:val="23"/>
        </w:rPr>
        <w:t>mirrors the behaviour of</w:t>
      </w:r>
      <w:r w:rsidRPr="009E7E8D" w:rsidR="005C538C">
        <w:rPr>
          <w:rFonts w:ascii="Calibri Light" w:hAnsi="Calibri Light" w:cs="Calibri Light"/>
          <w:sz w:val="23"/>
          <w:szCs w:val="23"/>
        </w:rPr>
        <w:t xml:space="preserve"> the </w:t>
      </w:r>
      <w:r w:rsidR="00FF401A">
        <w:rPr>
          <w:rFonts w:ascii="Calibri Light" w:hAnsi="Calibri Light" w:cs="Calibri Light"/>
          <w:sz w:val="23"/>
          <w:szCs w:val="23"/>
        </w:rPr>
        <w:t>last</w:t>
      </w:r>
      <w:r w:rsidRPr="009E7E8D" w:rsidR="005C538C">
        <w:rPr>
          <w:rFonts w:ascii="Calibri Light" w:hAnsi="Calibri Light" w:cs="Calibri Light"/>
          <w:sz w:val="23"/>
          <w:szCs w:val="23"/>
        </w:rPr>
        <w:t xml:space="preserve"> </w:t>
      </w:r>
      <w:r w:rsidRPr="009E7E8D" w:rsidR="000402F3">
        <w:rPr>
          <w:rFonts w:ascii="Calibri Light" w:hAnsi="Calibri Light" w:cs="Calibri Light"/>
          <w:sz w:val="23"/>
          <w:szCs w:val="23"/>
        </w:rPr>
        <w:t xml:space="preserve">Conservative </w:t>
      </w:r>
      <w:r w:rsidRPr="009E7E8D" w:rsidR="005C538C">
        <w:rPr>
          <w:rFonts w:ascii="Calibri Light" w:hAnsi="Calibri Light" w:cs="Calibri Light"/>
          <w:sz w:val="23"/>
          <w:szCs w:val="23"/>
        </w:rPr>
        <w:t>government and represent</w:t>
      </w:r>
      <w:r w:rsidRPr="009E7E8D" w:rsidR="00570FCF">
        <w:rPr>
          <w:rFonts w:ascii="Calibri Light" w:hAnsi="Calibri Light" w:cs="Calibri Light"/>
          <w:sz w:val="23"/>
          <w:szCs w:val="23"/>
        </w:rPr>
        <w:t>s</w:t>
      </w:r>
      <w:r w:rsidRPr="009E7E8D" w:rsidR="005C538C">
        <w:rPr>
          <w:rFonts w:ascii="Calibri Light" w:hAnsi="Calibri Light" w:cs="Calibri Light"/>
          <w:sz w:val="23"/>
          <w:szCs w:val="23"/>
        </w:rPr>
        <w:t xml:space="preserve"> systemic</w:t>
      </w:r>
      <w:r w:rsidRPr="009E7E8D" w:rsidR="00F67300">
        <w:rPr>
          <w:rFonts w:ascii="Calibri Light" w:hAnsi="Calibri Light" w:cs="Calibri Light"/>
          <w:sz w:val="23"/>
          <w:szCs w:val="23"/>
        </w:rPr>
        <w:t xml:space="preserve"> state</w:t>
      </w:r>
      <w:r w:rsidRPr="009E7E8D" w:rsidR="005C538C">
        <w:rPr>
          <w:rFonts w:ascii="Calibri Light" w:hAnsi="Calibri Light" w:cs="Calibri Light"/>
          <w:sz w:val="23"/>
          <w:szCs w:val="23"/>
        </w:rPr>
        <w:t xml:space="preserve"> failure, whereby Number 10 and the Treasury </w:t>
      </w:r>
      <w:r w:rsidRPr="009E7E8D" w:rsidR="00E5236E">
        <w:rPr>
          <w:rFonts w:ascii="Calibri Light" w:hAnsi="Calibri Light" w:cs="Calibri Light"/>
          <w:sz w:val="23"/>
          <w:szCs w:val="23"/>
        </w:rPr>
        <w:t xml:space="preserve">appear </w:t>
      </w:r>
      <w:r w:rsidRPr="009E7E8D" w:rsidR="005C538C">
        <w:rPr>
          <w:rFonts w:ascii="Calibri Light" w:hAnsi="Calibri Light" w:cs="Calibri Light"/>
          <w:sz w:val="23"/>
          <w:szCs w:val="23"/>
        </w:rPr>
        <w:t>captured by the freeholder lobby and compel the housing department, as the weaker party, to advance legislation that “is enacting only a select number of Law Commission recommendations … render[ing] the process of holistic and coherent leasehold and commonhold reform more challenging”.</w:t>
      </w:r>
      <w:r>
        <w:rPr>
          <w:rStyle w:val="FootnoteReference"/>
          <w:rFonts w:ascii="Calibri Light" w:hAnsi="Calibri Light" w:cs="Calibri Light"/>
          <w:sz w:val="23"/>
          <w:szCs w:val="23"/>
        </w:rPr>
        <w:footnoteReference w:id="2"/>
      </w:r>
      <w:r w:rsidRPr="009E7E8D" w:rsidR="00F01D06">
        <w:rPr>
          <w:rFonts w:ascii="Calibri Light" w:hAnsi="Calibri Light" w:cs="Calibri Light"/>
          <w:sz w:val="23"/>
          <w:szCs w:val="23"/>
        </w:rPr>
        <w:t xml:space="preserve"> </w:t>
      </w:r>
    </w:p>
    <w:p w:rsidR="007F7E0B" w:rsidRPr="009E7E8D" w:rsidP="00F861A8">
      <w:pPr>
        <w:jc w:val="both"/>
        <w:rPr>
          <w:rFonts w:ascii="Calibri Light" w:hAnsi="Calibri Light" w:cs="Calibri Light"/>
          <w:sz w:val="23"/>
          <w:szCs w:val="23"/>
        </w:rPr>
      </w:pPr>
    </w:p>
    <w:p w:rsidR="0062447E" w:rsidP="00F861A8">
      <w:pPr>
        <w:jc w:val="both"/>
        <w:rPr>
          <w:rFonts w:ascii="Calibri Light" w:hAnsi="Calibri Light" w:cs="Calibri Light"/>
          <w:sz w:val="23"/>
          <w:szCs w:val="23"/>
        </w:rPr>
      </w:pPr>
      <w:r w:rsidRPr="009E7E8D">
        <w:rPr>
          <w:rFonts w:ascii="Calibri Light" w:hAnsi="Calibri Light" w:cs="Calibri Light"/>
          <w:sz w:val="23"/>
          <w:szCs w:val="23"/>
        </w:rPr>
        <w:t xml:space="preserve">Those </w:t>
      </w:r>
      <w:r w:rsidRPr="009E7E8D" w:rsidR="00670F8A">
        <w:rPr>
          <w:rFonts w:ascii="Calibri Light" w:hAnsi="Calibri Light" w:cs="Calibri Light"/>
          <w:sz w:val="23"/>
          <w:szCs w:val="23"/>
        </w:rPr>
        <w:t xml:space="preserve">were the </w:t>
      </w:r>
      <w:r w:rsidRPr="009E7E8D">
        <w:rPr>
          <w:rFonts w:ascii="Calibri Light" w:hAnsi="Calibri Light" w:cs="Calibri Light"/>
          <w:sz w:val="23"/>
          <w:szCs w:val="23"/>
        </w:rPr>
        <w:t xml:space="preserve">words used by Housing Minister </w:t>
      </w:r>
      <w:r w:rsidRPr="009E7E8D" w:rsidR="00290975">
        <w:rPr>
          <w:rFonts w:ascii="Calibri Light" w:hAnsi="Calibri Light" w:cs="Calibri Light"/>
          <w:sz w:val="23"/>
          <w:szCs w:val="23"/>
        </w:rPr>
        <w:t xml:space="preserve">Matthew </w:t>
      </w:r>
      <w:r w:rsidRPr="009E7E8D">
        <w:rPr>
          <w:rFonts w:ascii="Calibri Light" w:hAnsi="Calibri Light" w:cs="Calibri Light"/>
          <w:sz w:val="23"/>
          <w:szCs w:val="23"/>
        </w:rPr>
        <w:t>Pennycook in November 2024</w:t>
      </w:r>
      <w:r w:rsidRPr="009E7E8D" w:rsidR="00761E24">
        <w:rPr>
          <w:rFonts w:ascii="Calibri Light" w:hAnsi="Calibri Light" w:cs="Calibri Light"/>
          <w:sz w:val="23"/>
          <w:szCs w:val="23"/>
        </w:rPr>
        <w:t>,</w:t>
      </w:r>
      <w:r w:rsidRPr="009E7E8D" w:rsidR="004A78D8">
        <w:rPr>
          <w:rFonts w:ascii="Calibri Light" w:hAnsi="Calibri Light" w:cs="Calibri Light"/>
          <w:sz w:val="23"/>
          <w:szCs w:val="23"/>
        </w:rPr>
        <w:t xml:space="preserve"> when assessing the Leasehold and Freehold Reform Act 2024</w:t>
      </w:r>
      <w:r w:rsidRPr="009E7E8D" w:rsidR="00761E24">
        <w:rPr>
          <w:rFonts w:ascii="Calibri Light" w:hAnsi="Calibri Light" w:cs="Calibri Light"/>
          <w:sz w:val="23"/>
          <w:szCs w:val="23"/>
        </w:rPr>
        <w:t xml:space="preserve"> (</w:t>
      </w:r>
      <w:r w:rsidRPr="009E7E8D" w:rsidR="000C3759">
        <w:rPr>
          <w:rFonts w:ascii="Calibri Light" w:hAnsi="Calibri Light" w:cs="Calibri Light"/>
          <w:sz w:val="23"/>
          <w:szCs w:val="23"/>
        </w:rPr>
        <w:t xml:space="preserve">legislation </w:t>
      </w:r>
      <w:r w:rsidRPr="009E7E8D" w:rsidR="004A78D8">
        <w:rPr>
          <w:rFonts w:ascii="Calibri Light" w:hAnsi="Calibri Light" w:cs="Calibri Light"/>
          <w:sz w:val="23"/>
          <w:szCs w:val="23"/>
        </w:rPr>
        <w:t xml:space="preserve">only made possible </w:t>
      </w:r>
      <w:r w:rsidRPr="009E7E8D" w:rsidR="000C3759">
        <w:rPr>
          <w:rFonts w:ascii="Calibri Light" w:hAnsi="Calibri Light" w:cs="Calibri Light"/>
          <w:sz w:val="23"/>
          <w:szCs w:val="23"/>
        </w:rPr>
        <w:t>due to</w:t>
      </w:r>
      <w:r w:rsidRPr="009E7E8D" w:rsidR="004A78D8">
        <w:rPr>
          <w:rFonts w:ascii="Calibri Light" w:hAnsi="Calibri Light" w:cs="Calibri Light"/>
          <w:sz w:val="23"/>
          <w:szCs w:val="23"/>
        </w:rPr>
        <w:t xml:space="preserve"> strong Labour support</w:t>
      </w:r>
      <w:r w:rsidRPr="009E7E8D" w:rsidR="000C3759">
        <w:rPr>
          <w:rFonts w:ascii="Calibri Light" w:hAnsi="Calibri Light" w:cs="Calibri Light"/>
          <w:sz w:val="23"/>
          <w:szCs w:val="23"/>
        </w:rPr>
        <w:t xml:space="preserve"> in the pre-election wash-up</w:t>
      </w:r>
      <w:r w:rsidRPr="009E7E8D" w:rsidR="00761E24">
        <w:rPr>
          <w:rFonts w:ascii="Calibri Light" w:hAnsi="Calibri Light" w:cs="Calibri Light"/>
          <w:sz w:val="23"/>
          <w:szCs w:val="23"/>
        </w:rPr>
        <w:t>)</w:t>
      </w:r>
      <w:r w:rsidRPr="009E7E8D" w:rsidR="004A78D8">
        <w:rPr>
          <w:rFonts w:ascii="Calibri Light" w:hAnsi="Calibri Light" w:cs="Calibri Light"/>
          <w:sz w:val="23"/>
          <w:szCs w:val="23"/>
        </w:rPr>
        <w:t xml:space="preserve">. </w:t>
      </w:r>
      <w:r w:rsidR="00A07492">
        <w:rPr>
          <w:rFonts w:ascii="Calibri Light" w:hAnsi="Calibri Light" w:cs="Calibri Light"/>
          <w:sz w:val="23"/>
          <w:szCs w:val="23"/>
        </w:rPr>
        <w:t>Minister</w:t>
      </w:r>
      <w:r w:rsidRPr="009E7E8D" w:rsidR="00B83930">
        <w:rPr>
          <w:rFonts w:ascii="Calibri Light" w:hAnsi="Calibri Light" w:cs="Calibri Light"/>
          <w:sz w:val="23"/>
          <w:szCs w:val="23"/>
        </w:rPr>
        <w:t xml:space="preserve"> </w:t>
      </w:r>
      <w:r w:rsidRPr="009E7E8D" w:rsidR="004A78D8">
        <w:rPr>
          <w:rFonts w:ascii="Calibri Light" w:hAnsi="Calibri Light" w:cs="Calibri Light"/>
          <w:sz w:val="23"/>
          <w:szCs w:val="23"/>
        </w:rPr>
        <w:t>Pennycook was right to make this criticism, and Labour in opposition consistently challenged both the foot-dragging of successive Conservative governments and their odd pick and mix approach to implementing the Law Commission reforms.</w:t>
      </w:r>
    </w:p>
    <w:p w:rsidR="0062447E" w:rsidP="00F861A8">
      <w:pPr>
        <w:jc w:val="both"/>
        <w:rPr>
          <w:rFonts w:ascii="Calibri Light" w:hAnsi="Calibri Light" w:cs="Calibri Light"/>
          <w:sz w:val="23"/>
          <w:szCs w:val="23"/>
        </w:rPr>
      </w:pPr>
    </w:p>
    <w:p w:rsidR="00924E55" w:rsidP="00F861A8">
      <w:pPr>
        <w:jc w:val="both"/>
        <w:rPr>
          <w:rFonts w:ascii="Calibri Light" w:hAnsi="Calibri Light" w:cs="Calibri Light"/>
          <w:sz w:val="23"/>
          <w:szCs w:val="23"/>
        </w:rPr>
      </w:pPr>
      <w:r w:rsidRPr="003A0702">
        <w:rPr>
          <w:rFonts w:ascii="Calibri Light" w:hAnsi="Calibri Light" w:cs="Calibri Light"/>
          <w:sz w:val="23"/>
          <w:szCs w:val="23"/>
        </w:rPr>
        <w:t xml:space="preserve">It is therefore most surprising that, having been elected on a platform of “change” and with a clear mandate to extinguish leasehold in a mass shift to commonhold, this Labour government appears to be continuing the same </w:t>
      </w:r>
      <w:r w:rsidR="006A4FD0">
        <w:rPr>
          <w:rFonts w:ascii="Calibri Light" w:hAnsi="Calibri Light" w:cs="Calibri Light"/>
          <w:sz w:val="23"/>
          <w:szCs w:val="23"/>
        </w:rPr>
        <w:t>limited and fearful</w:t>
      </w:r>
      <w:r w:rsidRPr="003A0702">
        <w:rPr>
          <w:rFonts w:ascii="Calibri Light" w:hAnsi="Calibri Light" w:cs="Calibri Light"/>
          <w:sz w:val="23"/>
          <w:szCs w:val="23"/>
        </w:rPr>
        <w:t xml:space="preserve"> approach as the Conservatives they replaced.</w:t>
      </w:r>
      <w:r w:rsidR="0086695D">
        <w:rPr>
          <w:rFonts w:ascii="Calibri Light" w:hAnsi="Calibri Light" w:cs="Calibri Light"/>
          <w:sz w:val="23"/>
          <w:szCs w:val="23"/>
        </w:rPr>
        <w:t xml:space="preserve"> </w:t>
      </w:r>
      <w:r w:rsidRPr="001A7B6B" w:rsidR="001A7B6B">
        <w:rPr>
          <w:rFonts w:ascii="Calibri Light" w:hAnsi="Calibri Light" w:cs="Calibri Light"/>
          <w:sz w:val="23"/>
          <w:szCs w:val="23"/>
        </w:rPr>
        <w:t xml:space="preserve">This submission to the Commons Housing Select Committee assumes that, regrettably, the government will not adopt a Scottish-style approach </w:t>
      </w:r>
      <w:r w:rsidR="000A320A">
        <w:rPr>
          <w:rFonts w:ascii="Calibri Light" w:hAnsi="Calibri Light" w:cs="Calibri Light"/>
          <w:sz w:val="23"/>
          <w:szCs w:val="23"/>
        </w:rPr>
        <w:t>in</w:t>
      </w:r>
      <w:r w:rsidRPr="001A7B6B" w:rsidR="001A7B6B">
        <w:rPr>
          <w:rFonts w:ascii="Calibri Light" w:hAnsi="Calibri Light" w:cs="Calibri Light"/>
          <w:sz w:val="23"/>
          <w:szCs w:val="23"/>
        </w:rPr>
        <w:t xml:space="preserve"> introducing a sunset clause for existing residential leasehold interests, by which point all such properties would convert to commonhold. Nor is it expected that the government will establish a deadline by which freeholders and third-party landlords would lose their rights to control leaseholders</w:t>
      </w:r>
      <w:r w:rsidR="001A7B6B">
        <w:rPr>
          <w:rFonts w:ascii="Calibri Light" w:hAnsi="Calibri Light" w:cs="Calibri Light"/>
          <w:sz w:val="23"/>
          <w:szCs w:val="23"/>
        </w:rPr>
        <w:t>’</w:t>
      </w:r>
      <w:r w:rsidRPr="001A7B6B" w:rsidR="001A7B6B">
        <w:rPr>
          <w:rFonts w:ascii="Calibri Light" w:hAnsi="Calibri Light" w:cs="Calibri Light"/>
          <w:sz w:val="23"/>
          <w:szCs w:val="23"/>
        </w:rPr>
        <w:t xml:space="preserve"> service charges through the rollout of Right to Manage </w:t>
      </w:r>
      <w:r w:rsidRPr="007F017D" w:rsidR="007F017D">
        <w:rPr>
          <w:rFonts w:ascii="Calibri Light" w:hAnsi="Calibri Light" w:cs="Calibri Light"/>
          <w:sz w:val="23"/>
          <w:szCs w:val="23"/>
        </w:rPr>
        <w:t>or any successor scheme placing block management firmly under democratic resident control.</w:t>
      </w:r>
      <w:r w:rsidR="001A7B6B">
        <w:rPr>
          <w:rFonts w:ascii="Calibri Light" w:hAnsi="Calibri Light" w:cs="Calibri Light"/>
          <w:sz w:val="23"/>
          <w:szCs w:val="23"/>
        </w:rPr>
        <w:t xml:space="preserve"> </w:t>
      </w:r>
    </w:p>
    <w:p w:rsidR="00924E55" w:rsidP="00F861A8">
      <w:pPr>
        <w:jc w:val="both"/>
        <w:rPr>
          <w:rFonts w:ascii="Calibri Light" w:hAnsi="Calibri Light" w:cs="Calibri Light"/>
          <w:sz w:val="23"/>
          <w:szCs w:val="23"/>
        </w:rPr>
      </w:pPr>
    </w:p>
    <w:p w:rsidR="00467301" w:rsidP="00F861A8">
      <w:pPr>
        <w:jc w:val="both"/>
        <w:rPr>
          <w:rFonts w:ascii="Calibri Light" w:hAnsi="Calibri Light" w:cs="Calibri Light"/>
          <w:sz w:val="23"/>
          <w:szCs w:val="23"/>
        </w:rPr>
      </w:pPr>
      <w:r w:rsidRPr="00467301">
        <w:rPr>
          <w:rFonts w:ascii="Calibri Light" w:hAnsi="Calibri Light" w:cs="Calibri Light"/>
          <w:sz w:val="23"/>
          <w:szCs w:val="23"/>
        </w:rPr>
        <w:t xml:space="preserve">In light of this, </w:t>
      </w:r>
      <w:r w:rsidR="00372509">
        <w:rPr>
          <w:rFonts w:ascii="Calibri Light" w:hAnsi="Calibri Light" w:cs="Calibri Light"/>
          <w:sz w:val="23"/>
          <w:szCs w:val="23"/>
        </w:rPr>
        <w:t>th</w:t>
      </w:r>
      <w:r w:rsidR="000241D8">
        <w:rPr>
          <w:rFonts w:ascii="Calibri Light" w:hAnsi="Calibri Light" w:cs="Calibri Light"/>
          <w:sz w:val="23"/>
          <w:szCs w:val="23"/>
        </w:rPr>
        <w:t>e</w:t>
      </w:r>
      <w:r w:rsidR="00372509">
        <w:rPr>
          <w:rFonts w:ascii="Calibri Light" w:hAnsi="Calibri Light" w:cs="Calibri Light"/>
          <w:sz w:val="23"/>
          <w:szCs w:val="23"/>
        </w:rPr>
        <w:t xml:space="preserve"> </w:t>
      </w:r>
      <w:r w:rsidR="00616234">
        <w:rPr>
          <w:rFonts w:ascii="Calibri Light" w:hAnsi="Calibri Light" w:cs="Calibri Light"/>
          <w:sz w:val="23"/>
          <w:szCs w:val="23"/>
        </w:rPr>
        <w:t>submission</w:t>
      </w:r>
      <w:r w:rsidRPr="00467301">
        <w:rPr>
          <w:rFonts w:ascii="Calibri Light" w:hAnsi="Calibri Light" w:cs="Calibri Light"/>
          <w:sz w:val="23"/>
          <w:szCs w:val="23"/>
        </w:rPr>
        <w:t xml:space="preserve"> proposes policies </w:t>
      </w:r>
      <w:r w:rsidR="002A6339">
        <w:rPr>
          <w:rFonts w:ascii="Calibri Light" w:hAnsi="Calibri Light" w:cs="Calibri Light"/>
          <w:sz w:val="23"/>
          <w:szCs w:val="23"/>
        </w:rPr>
        <w:t>for</w:t>
      </w:r>
      <w:r w:rsidRPr="00467301">
        <w:rPr>
          <w:rFonts w:ascii="Calibri Light" w:hAnsi="Calibri Light" w:cs="Calibri Light"/>
          <w:sz w:val="23"/>
          <w:szCs w:val="23"/>
        </w:rPr>
        <w:t xml:space="preserve"> a “glidepath to commonhold”</w:t>
      </w:r>
      <w:r>
        <w:rPr>
          <w:rFonts w:ascii="Calibri Light" w:hAnsi="Calibri Light" w:cs="Calibri Light"/>
          <w:sz w:val="23"/>
          <w:szCs w:val="23"/>
        </w:rPr>
        <w:t>,</w:t>
      </w:r>
      <w:r w:rsidRPr="00467301">
        <w:rPr>
          <w:rFonts w:ascii="Calibri Light" w:hAnsi="Calibri Light" w:cs="Calibri Light"/>
          <w:sz w:val="23"/>
          <w:szCs w:val="23"/>
        </w:rPr>
        <w:t xml:space="preserve"> encouraging flat-owners’ self-governance by removing the barriers to Right to Manage</w:t>
      </w:r>
      <w:r>
        <w:rPr>
          <w:rFonts w:ascii="Calibri Light" w:hAnsi="Calibri Light" w:cs="Calibri Light"/>
          <w:sz w:val="23"/>
          <w:szCs w:val="23"/>
        </w:rPr>
        <w:t xml:space="preserve"> – </w:t>
      </w:r>
      <w:r w:rsidRPr="00467301">
        <w:rPr>
          <w:rFonts w:ascii="Calibri Light" w:hAnsi="Calibri Light" w:cs="Calibri Light"/>
          <w:sz w:val="23"/>
          <w:szCs w:val="23"/>
        </w:rPr>
        <w:t>which often builds confidence before the necessary funds are raised to purchase the freehold</w:t>
      </w:r>
      <w:r>
        <w:rPr>
          <w:rFonts w:ascii="Calibri Light" w:hAnsi="Calibri Light" w:cs="Calibri Light"/>
          <w:sz w:val="23"/>
          <w:szCs w:val="23"/>
        </w:rPr>
        <w:t xml:space="preserve"> – </w:t>
      </w:r>
      <w:r w:rsidRPr="00467301">
        <w:rPr>
          <w:rFonts w:ascii="Calibri Light" w:hAnsi="Calibri Light" w:cs="Calibri Light"/>
          <w:sz w:val="23"/>
          <w:szCs w:val="23"/>
        </w:rPr>
        <w:t xml:space="preserve">while liberalising and simplifying collective enfranchisement, the necessary precursor to commonhold conversion. </w:t>
      </w:r>
      <w:r w:rsidRPr="00545E39" w:rsidR="00545E39">
        <w:rPr>
          <w:rFonts w:ascii="Calibri Light" w:hAnsi="Calibri Light" w:cs="Calibri Light"/>
          <w:sz w:val="23"/>
          <w:szCs w:val="23"/>
        </w:rPr>
        <w:t>These measures, among other initiatives not detailed here for brevity or because they are still under development, aim to curb the influence of third-party freeholders and progressively transition leasehold properties to ownership structures controlled by the flat-owners themselves.</w:t>
      </w:r>
    </w:p>
    <w:p w:rsidR="00545E39" w:rsidP="00F861A8">
      <w:pPr>
        <w:jc w:val="both"/>
        <w:rPr>
          <w:rFonts w:ascii="Calibri Light" w:hAnsi="Calibri Light" w:cs="Calibri Light"/>
          <w:sz w:val="23"/>
          <w:szCs w:val="23"/>
        </w:rPr>
      </w:pPr>
    </w:p>
    <w:p w:rsidR="006C131A" w:rsidP="00F861A8">
      <w:pPr>
        <w:jc w:val="both"/>
        <w:rPr>
          <w:rFonts w:ascii="Calibri Light" w:hAnsi="Calibri Light" w:cs="Calibri Light"/>
          <w:sz w:val="23"/>
          <w:szCs w:val="23"/>
        </w:rPr>
      </w:pPr>
      <w:r w:rsidRPr="00757431">
        <w:rPr>
          <w:rFonts w:ascii="Calibri Light" w:hAnsi="Calibri Light" w:cs="Calibri Light"/>
          <w:sz w:val="23"/>
          <w:szCs w:val="23"/>
        </w:rPr>
        <w:t xml:space="preserve">Before </w:t>
      </w:r>
      <w:r w:rsidRPr="00757431" w:rsidR="00BC0228">
        <w:rPr>
          <w:rFonts w:ascii="Calibri Light" w:hAnsi="Calibri Light" w:cs="Calibri Light"/>
          <w:sz w:val="23"/>
          <w:szCs w:val="23"/>
        </w:rPr>
        <w:t xml:space="preserve">explaining </w:t>
      </w:r>
      <w:r w:rsidRPr="00757431">
        <w:rPr>
          <w:rFonts w:ascii="Calibri Light" w:hAnsi="Calibri Light" w:cs="Calibri Light"/>
          <w:sz w:val="23"/>
          <w:szCs w:val="23"/>
        </w:rPr>
        <w:t>why</w:t>
      </w:r>
      <w:r w:rsidRPr="00757431" w:rsidR="00BC0228">
        <w:rPr>
          <w:rFonts w:ascii="Calibri Light" w:hAnsi="Calibri Light" w:cs="Calibri Light"/>
          <w:sz w:val="23"/>
          <w:szCs w:val="23"/>
        </w:rPr>
        <w:t>, in policy terms,</w:t>
      </w:r>
      <w:r w:rsidRPr="00757431">
        <w:rPr>
          <w:rFonts w:ascii="Calibri Light" w:hAnsi="Calibri Light" w:cs="Calibri Light"/>
          <w:sz w:val="23"/>
          <w:szCs w:val="23"/>
        </w:rPr>
        <w:t xml:space="preserve"> the draft Bill cannot proceed in its current form</w:t>
      </w:r>
      <w:r w:rsidRPr="00757431" w:rsidR="00BC0228">
        <w:rPr>
          <w:rFonts w:ascii="Calibri Light" w:hAnsi="Calibri Light" w:cs="Calibri Light"/>
          <w:sz w:val="23"/>
          <w:szCs w:val="23"/>
        </w:rPr>
        <w:t xml:space="preserve">, we will provide a brief overview of the </w:t>
      </w:r>
      <w:r w:rsidR="00B070FD">
        <w:rPr>
          <w:rFonts w:ascii="Calibri Light" w:hAnsi="Calibri Light" w:cs="Calibri Light"/>
          <w:sz w:val="23"/>
          <w:szCs w:val="23"/>
        </w:rPr>
        <w:t>devastating</w:t>
      </w:r>
      <w:r w:rsidR="00C23217">
        <w:rPr>
          <w:rFonts w:ascii="Calibri Light" w:hAnsi="Calibri Light" w:cs="Calibri Light"/>
          <w:sz w:val="23"/>
          <w:szCs w:val="23"/>
        </w:rPr>
        <w:t xml:space="preserve"> </w:t>
      </w:r>
      <w:r w:rsidRPr="00757431" w:rsidR="00BC0228">
        <w:rPr>
          <w:rFonts w:ascii="Calibri Light" w:hAnsi="Calibri Light" w:cs="Calibri Light"/>
          <w:sz w:val="23"/>
          <w:szCs w:val="23"/>
        </w:rPr>
        <w:t xml:space="preserve">economic </w:t>
      </w:r>
      <w:r w:rsidR="00F95BAD">
        <w:rPr>
          <w:rFonts w:ascii="Calibri Light" w:hAnsi="Calibri Light" w:cs="Calibri Light"/>
          <w:sz w:val="23"/>
          <w:szCs w:val="23"/>
        </w:rPr>
        <w:t>and human c</w:t>
      </w:r>
      <w:r w:rsidRPr="00757431" w:rsidR="00BC0228">
        <w:rPr>
          <w:rFonts w:ascii="Calibri Light" w:hAnsi="Calibri Light" w:cs="Calibri Light"/>
          <w:sz w:val="23"/>
          <w:szCs w:val="23"/>
        </w:rPr>
        <w:t>osts of leasehold</w:t>
      </w:r>
      <w:r w:rsidRPr="00757431" w:rsidR="009B3AC3">
        <w:rPr>
          <w:rFonts w:ascii="Calibri Light" w:hAnsi="Calibri Light" w:cs="Calibri Light"/>
          <w:sz w:val="23"/>
          <w:szCs w:val="23"/>
        </w:rPr>
        <w:t>.</w:t>
      </w:r>
    </w:p>
    <w:p w:rsidR="0062447E" w:rsidP="00F861A8">
      <w:pPr>
        <w:jc w:val="both"/>
        <w:rPr>
          <w:rFonts w:ascii="Calibri Light" w:hAnsi="Calibri Light" w:cs="Calibri Light"/>
          <w:sz w:val="23"/>
          <w:szCs w:val="23"/>
        </w:rPr>
      </w:pPr>
    </w:p>
    <w:p w:rsidR="0062447E" w:rsidP="00F861A8">
      <w:pPr>
        <w:jc w:val="both"/>
        <w:rPr>
          <w:rFonts w:ascii="Calibri Light" w:hAnsi="Calibri Light" w:cs="Calibri Light"/>
          <w:sz w:val="23"/>
          <w:szCs w:val="23"/>
        </w:rPr>
      </w:pPr>
      <w:r w:rsidRPr="00CB0ABE">
        <w:rPr>
          <w:rFonts w:ascii="Calibri Light" w:hAnsi="Calibri Light" w:cs="Calibri Light"/>
          <w:sz w:val="23"/>
          <w:szCs w:val="23"/>
        </w:rPr>
        <w:t xml:space="preserve">In 2023, flat leaseholders were estimated to have paid </w:t>
      </w:r>
      <w:r w:rsidR="00E6473D">
        <w:rPr>
          <w:rFonts w:ascii="Calibri Light" w:hAnsi="Calibri Light" w:cs="Calibri Light"/>
          <w:sz w:val="23"/>
          <w:szCs w:val="23"/>
        </w:rPr>
        <w:t xml:space="preserve">out </w:t>
      </w:r>
      <w:r w:rsidRPr="00CB0ABE">
        <w:rPr>
          <w:rFonts w:ascii="Calibri Light" w:hAnsi="Calibri Light" w:cs="Calibri Light"/>
          <w:sz w:val="23"/>
          <w:szCs w:val="23"/>
        </w:rPr>
        <w:t xml:space="preserve">£7.6 billion in service charges. It’s nearly impossible to achieve meaningful economic growth when an ever-growing portion of people’s income is </w:t>
      </w:r>
      <w:r w:rsidR="00BA2FB3">
        <w:rPr>
          <w:rFonts w:ascii="Calibri Light" w:hAnsi="Calibri Light" w:cs="Calibri Light"/>
          <w:sz w:val="23"/>
          <w:szCs w:val="23"/>
        </w:rPr>
        <w:t>being surrendered</w:t>
      </w:r>
      <w:r w:rsidRPr="00CB0ABE">
        <w:rPr>
          <w:rFonts w:ascii="Calibri Light" w:hAnsi="Calibri Light" w:cs="Calibri Light"/>
          <w:sz w:val="23"/>
          <w:szCs w:val="23"/>
        </w:rPr>
        <w:t xml:space="preserve"> </w:t>
      </w:r>
      <w:r w:rsidR="00BA2FB3">
        <w:rPr>
          <w:rFonts w:ascii="Calibri Light" w:hAnsi="Calibri Light" w:cs="Calibri Light"/>
          <w:sz w:val="23"/>
          <w:szCs w:val="23"/>
        </w:rPr>
        <w:t>to</w:t>
      </w:r>
      <w:r w:rsidRPr="00CB0ABE">
        <w:rPr>
          <w:rFonts w:ascii="Calibri Light" w:hAnsi="Calibri Light" w:cs="Calibri Light"/>
          <w:sz w:val="23"/>
          <w:szCs w:val="23"/>
        </w:rPr>
        <w:t xml:space="preserve"> non-productive housing costs</w:t>
      </w:r>
      <w:r>
        <w:rPr>
          <w:rFonts w:ascii="Calibri Light" w:hAnsi="Calibri Light" w:cs="Calibri Light"/>
          <w:sz w:val="23"/>
          <w:szCs w:val="23"/>
        </w:rPr>
        <w:t xml:space="preserve"> – </w:t>
      </w:r>
      <w:r w:rsidRPr="00CB0ABE">
        <w:rPr>
          <w:rFonts w:ascii="Calibri Light" w:hAnsi="Calibri Light" w:cs="Calibri Light"/>
          <w:sz w:val="23"/>
          <w:szCs w:val="23"/>
        </w:rPr>
        <w:t>and specifically those arising from leasehol</w:t>
      </w:r>
      <w:r w:rsidR="000B4B24">
        <w:rPr>
          <w:rFonts w:ascii="Calibri Light" w:hAnsi="Calibri Light" w:cs="Calibri Light"/>
          <w:sz w:val="23"/>
          <w:szCs w:val="23"/>
        </w:rPr>
        <w:t>d</w:t>
      </w:r>
      <w:r w:rsidRPr="00CB0ABE">
        <w:rPr>
          <w:rFonts w:ascii="Calibri Light" w:hAnsi="Calibri Light" w:cs="Calibri Light"/>
          <w:sz w:val="23"/>
          <w:szCs w:val="23"/>
        </w:rPr>
        <w:t>, an entirely unnecessary rent</w:t>
      </w:r>
      <w:r w:rsidR="005F7FF3">
        <w:rPr>
          <w:rFonts w:ascii="Calibri Light" w:hAnsi="Calibri Light" w:cs="Calibri Light"/>
          <w:sz w:val="23"/>
          <w:szCs w:val="23"/>
        </w:rPr>
        <w:t xml:space="preserve"> </w:t>
      </w:r>
      <w:r w:rsidRPr="00CB0ABE">
        <w:rPr>
          <w:rFonts w:ascii="Calibri Light" w:hAnsi="Calibri Light" w:cs="Calibri Light"/>
          <w:sz w:val="23"/>
          <w:szCs w:val="23"/>
        </w:rPr>
        <w:t>extraction industry</w:t>
      </w:r>
      <w:r>
        <w:rPr>
          <w:rFonts w:ascii="Calibri Light" w:hAnsi="Calibri Light" w:cs="Calibri Light"/>
          <w:sz w:val="23"/>
          <w:szCs w:val="23"/>
        </w:rPr>
        <w:t xml:space="preserve"> – </w:t>
      </w:r>
      <w:r w:rsidRPr="00CB0ABE">
        <w:rPr>
          <w:rFonts w:ascii="Calibri Light" w:hAnsi="Calibri Light" w:cs="Calibri Light"/>
          <w:sz w:val="23"/>
          <w:szCs w:val="23"/>
        </w:rPr>
        <w:t>rather than being invested in the real economy</w:t>
      </w:r>
      <w:r w:rsidR="00A2447F">
        <w:rPr>
          <w:rFonts w:ascii="Calibri Light" w:hAnsi="Calibri Light" w:cs="Calibri Light"/>
          <w:sz w:val="23"/>
          <w:szCs w:val="23"/>
        </w:rPr>
        <w:t>.</w:t>
      </w:r>
    </w:p>
    <w:p w:rsidR="0062447E" w:rsidP="00F861A8">
      <w:pPr>
        <w:jc w:val="both"/>
        <w:rPr>
          <w:rFonts w:ascii="Calibri Light" w:hAnsi="Calibri Light" w:cs="Calibri Light"/>
          <w:sz w:val="23"/>
          <w:szCs w:val="23"/>
        </w:rPr>
      </w:pPr>
    </w:p>
    <w:p w:rsidR="008513D9" w:rsidRPr="008513D9" w:rsidP="008513D9">
      <w:pPr>
        <w:jc w:val="both"/>
        <w:rPr>
          <w:rFonts w:ascii="Calibri Light" w:hAnsi="Calibri Light" w:cs="Calibri Light"/>
          <w:sz w:val="23"/>
          <w:szCs w:val="23"/>
        </w:rPr>
      </w:pPr>
      <w:r>
        <w:rPr>
          <w:rFonts w:ascii="Calibri Light" w:hAnsi="Calibri Light" w:cs="Calibri Light"/>
          <w:sz w:val="23"/>
          <w:szCs w:val="23"/>
        </w:rPr>
        <w:t>Leasehold robs people of the dignity, autonomy and control associated with homeownership</w:t>
      </w:r>
      <w:r w:rsidR="003D6247">
        <w:rPr>
          <w:rFonts w:ascii="Calibri Light" w:hAnsi="Calibri Light" w:cs="Calibri Light"/>
          <w:sz w:val="23"/>
          <w:szCs w:val="23"/>
        </w:rPr>
        <w:t xml:space="preserve">, but </w:t>
      </w:r>
      <w:r>
        <w:rPr>
          <w:rFonts w:ascii="Calibri Light" w:hAnsi="Calibri Light" w:cs="Calibri Light"/>
          <w:sz w:val="23"/>
          <w:szCs w:val="23"/>
        </w:rPr>
        <w:t xml:space="preserve">which is available in flats in most other countries under schemes broadly analogous to commonhold. </w:t>
      </w:r>
      <w:r w:rsidRPr="002D48EC" w:rsidR="002D48EC">
        <w:rPr>
          <w:rFonts w:ascii="Calibri Light" w:hAnsi="Calibri Light" w:cs="Calibri Light"/>
          <w:sz w:val="23"/>
          <w:szCs w:val="23"/>
        </w:rPr>
        <w:t>According to polling conducted last year by Opinium for Free Leaseholders, 43% of leaseholders said the leasehold system had prevented them from starting a family, rising to 56% among London leaseholders.</w:t>
      </w:r>
      <w:r w:rsidR="002D48EC">
        <w:rPr>
          <w:rFonts w:ascii="Calibri Light" w:hAnsi="Calibri Light" w:cs="Calibri Light"/>
          <w:sz w:val="23"/>
          <w:szCs w:val="23"/>
        </w:rPr>
        <w:t xml:space="preserve"> </w:t>
      </w:r>
      <w:r w:rsidR="006101BA">
        <w:rPr>
          <w:rFonts w:ascii="Calibri Light" w:hAnsi="Calibri Light" w:cs="Calibri Light"/>
          <w:sz w:val="23"/>
          <w:szCs w:val="23"/>
        </w:rPr>
        <w:t xml:space="preserve">On 2 March 2026, estate agency Hamptons </w:t>
      </w:r>
      <w:r>
        <w:rPr>
          <w:rFonts w:ascii="Calibri Light" w:hAnsi="Calibri Light" w:cs="Calibri Light"/>
          <w:sz w:val="23"/>
          <w:szCs w:val="23"/>
        </w:rPr>
        <w:t>confirmed the scale of the crisis</w:t>
      </w:r>
      <w:r w:rsidR="001D4505">
        <w:rPr>
          <w:rFonts w:ascii="Calibri Light" w:hAnsi="Calibri Light" w:cs="Calibri Light"/>
          <w:sz w:val="23"/>
          <w:szCs w:val="23"/>
        </w:rPr>
        <w:t xml:space="preserve">, </w:t>
      </w:r>
      <w:r>
        <w:rPr>
          <w:rFonts w:ascii="Calibri Light" w:hAnsi="Calibri Light" w:cs="Calibri Light"/>
          <w:sz w:val="23"/>
          <w:szCs w:val="23"/>
        </w:rPr>
        <w:t xml:space="preserve">with </w:t>
      </w:r>
      <w:r w:rsidRPr="008513D9">
        <w:rPr>
          <w:rFonts w:ascii="Calibri Light" w:hAnsi="Calibri Light" w:cs="Calibri Light"/>
          <w:sz w:val="23"/>
          <w:szCs w:val="23"/>
        </w:rPr>
        <w:t xml:space="preserve">37% of flats </w:t>
      </w:r>
      <w:r>
        <w:rPr>
          <w:rFonts w:ascii="Calibri Light" w:hAnsi="Calibri Light" w:cs="Calibri Light"/>
          <w:sz w:val="23"/>
          <w:szCs w:val="23"/>
        </w:rPr>
        <w:t>having</w:t>
      </w:r>
      <w:r w:rsidRPr="008513D9">
        <w:rPr>
          <w:rFonts w:ascii="Calibri Light" w:hAnsi="Calibri Light" w:cs="Calibri Light"/>
          <w:sz w:val="23"/>
          <w:szCs w:val="23"/>
        </w:rPr>
        <w:t xml:space="preserve"> a service charge exceeding 1% of their value in 2025</w:t>
      </w:r>
      <w:r w:rsidR="003745C9">
        <w:rPr>
          <w:rFonts w:ascii="Calibri Light" w:hAnsi="Calibri Light" w:cs="Calibri Light"/>
          <w:sz w:val="23"/>
          <w:szCs w:val="23"/>
        </w:rPr>
        <w:t>.</w:t>
      </w:r>
      <w:r>
        <w:rPr>
          <w:rStyle w:val="FootnoteReference"/>
          <w:rFonts w:ascii="Calibri Light" w:hAnsi="Calibri Light" w:cs="Calibri Light"/>
          <w:sz w:val="23"/>
          <w:szCs w:val="23"/>
        </w:rPr>
        <w:footnoteReference w:id="3"/>
      </w:r>
      <w:r w:rsidR="005B20E7">
        <w:rPr>
          <w:rFonts w:ascii="Calibri Light" w:hAnsi="Calibri Light" w:cs="Calibri Light"/>
          <w:sz w:val="23"/>
          <w:szCs w:val="23"/>
        </w:rPr>
        <w:t xml:space="preserve"> </w:t>
      </w:r>
      <w:r w:rsidRPr="008B79C9" w:rsidR="008B79C9">
        <w:rPr>
          <w:rFonts w:ascii="Calibri Light" w:hAnsi="Calibri Light" w:cs="Calibri Light"/>
          <w:sz w:val="23"/>
          <w:szCs w:val="23"/>
        </w:rPr>
        <w:t xml:space="preserve">This is a major problem: flats become </w:t>
      </w:r>
      <w:r w:rsidRPr="008B79C9" w:rsidR="008B79C9">
        <w:rPr>
          <w:rFonts w:ascii="Calibri Light" w:hAnsi="Calibri Light" w:cs="Calibri Light"/>
          <w:sz w:val="23"/>
          <w:szCs w:val="23"/>
        </w:rPr>
        <w:t>unmortgageable</w:t>
      </w:r>
      <w:r w:rsidRPr="008B79C9" w:rsidR="008B79C9">
        <w:rPr>
          <w:rFonts w:ascii="Calibri Light" w:hAnsi="Calibri Light" w:cs="Calibri Light"/>
          <w:sz w:val="23"/>
          <w:szCs w:val="23"/>
        </w:rPr>
        <w:t xml:space="preserve"> and effectively unsellable, as lenders refuse loans when the service charge is over 1% of the property price.</w:t>
      </w:r>
    </w:p>
    <w:p w:rsidR="0062447E" w:rsidP="00F861A8">
      <w:pPr>
        <w:jc w:val="both"/>
        <w:rPr>
          <w:rFonts w:ascii="Calibri Light" w:hAnsi="Calibri Light" w:cs="Calibri Light"/>
          <w:sz w:val="23"/>
          <w:szCs w:val="23"/>
        </w:rPr>
      </w:pPr>
    </w:p>
    <w:p w:rsidR="00757431" w:rsidP="00F861A8">
      <w:pPr>
        <w:jc w:val="both"/>
        <w:rPr>
          <w:rFonts w:ascii="Calibri Light" w:hAnsi="Calibri Light" w:cs="Calibri Light"/>
          <w:sz w:val="23"/>
          <w:szCs w:val="23"/>
        </w:rPr>
      </w:pPr>
      <w:r>
        <w:rPr>
          <w:rFonts w:ascii="Calibri Light" w:hAnsi="Calibri Light" w:cs="Calibri Light"/>
          <w:sz w:val="23"/>
          <w:szCs w:val="23"/>
        </w:rPr>
        <w:t xml:space="preserve">Rising public awareness of the expensive and inherently exploitative nature of leasehold </w:t>
      </w:r>
      <w:r w:rsidR="0034619A">
        <w:rPr>
          <w:rFonts w:ascii="Calibri Light" w:hAnsi="Calibri Light" w:cs="Calibri Light"/>
          <w:sz w:val="23"/>
          <w:szCs w:val="23"/>
        </w:rPr>
        <w:t>and repeated scandals in the sector has resulted in the biggest gap between house and fl</w:t>
      </w:r>
      <w:r w:rsidRPr="000200A2" w:rsidR="0034619A">
        <w:rPr>
          <w:rFonts w:ascii="Calibri Light" w:hAnsi="Calibri Light" w:cs="Calibri Light"/>
          <w:sz w:val="23"/>
          <w:szCs w:val="23"/>
        </w:rPr>
        <w:t>at prices in 30 years.</w:t>
      </w:r>
      <w:r>
        <w:rPr>
          <w:rStyle w:val="FootnoteReference"/>
          <w:rFonts w:ascii="Calibri Light" w:hAnsi="Calibri Light" w:cs="Calibri Light"/>
          <w:sz w:val="23"/>
          <w:szCs w:val="23"/>
        </w:rPr>
        <w:footnoteReference w:id="4"/>
      </w:r>
      <w:r w:rsidR="006C044C">
        <w:rPr>
          <w:rFonts w:ascii="Calibri Light" w:hAnsi="Calibri Light" w:cs="Calibri Light"/>
          <w:sz w:val="23"/>
          <w:szCs w:val="23"/>
        </w:rPr>
        <w:t xml:space="preserve"> </w:t>
      </w:r>
      <w:r w:rsidRPr="000200A2" w:rsidR="000200A2">
        <w:rPr>
          <w:rFonts w:ascii="Calibri Light" w:hAnsi="Calibri Light" w:cs="Calibri Light"/>
          <w:sz w:val="23"/>
          <w:szCs w:val="23"/>
        </w:rPr>
        <w:t>Free Leaseholders argues that a crisis requires a crisis response to restore consumer confidence, revive the flats market, crack down on sky-high service charges, and ensure they are democratically controlled by the flat-owners who pay them – which would entail ending third-party freeholding.</w:t>
      </w:r>
      <w:r w:rsidR="0062447E">
        <w:rPr>
          <w:rFonts w:ascii="Calibri Light" w:hAnsi="Calibri Light" w:cs="Calibri Light"/>
          <w:sz w:val="23"/>
          <w:szCs w:val="23"/>
        </w:rPr>
        <w:t xml:space="preserve"> </w:t>
      </w:r>
      <w:r w:rsidRPr="00DA11AD" w:rsidR="00DA11AD">
        <w:rPr>
          <w:rFonts w:ascii="Calibri Light" w:hAnsi="Calibri Light" w:cs="Calibri Light"/>
          <w:sz w:val="23"/>
          <w:szCs w:val="23"/>
        </w:rPr>
        <w:t>Instead, this draft Commonhold</w:t>
      </w:r>
      <w:r w:rsidR="00802730">
        <w:rPr>
          <w:rFonts w:ascii="Calibri Light" w:hAnsi="Calibri Light" w:cs="Calibri Light"/>
          <w:sz w:val="23"/>
          <w:szCs w:val="23"/>
        </w:rPr>
        <w:t xml:space="preserve"> and Leasehold Reform</w:t>
      </w:r>
      <w:r w:rsidRPr="00DA11AD" w:rsidR="00DA11AD">
        <w:rPr>
          <w:rFonts w:ascii="Calibri Light" w:hAnsi="Calibri Light" w:cs="Calibri Light"/>
          <w:sz w:val="23"/>
          <w:szCs w:val="23"/>
        </w:rPr>
        <w:t xml:space="preserve"> Bill keeps leaseholders servile to their freeholders, dressing up minimal concessions like a ground rent cap and the removal of forfeiture as reform.</w:t>
      </w:r>
    </w:p>
    <w:p w:rsidR="00485531" w:rsidRPr="004C575D" w:rsidP="00F861A8">
      <w:pPr>
        <w:jc w:val="both"/>
        <w:rPr>
          <w:rFonts w:ascii="Calibri" w:hAnsi="Calibri" w:cs="Calibri"/>
          <w:sz w:val="23"/>
          <w:szCs w:val="23"/>
        </w:rPr>
      </w:pPr>
    </w:p>
    <w:p w:rsidR="00F22184" w:rsidRPr="00592572" w:rsidP="00F861A8">
      <w:pPr>
        <w:jc w:val="both"/>
        <w:rPr>
          <w:rFonts w:ascii="Calibri Light" w:hAnsi="Calibri Light" w:cs="Calibri Light"/>
          <w:sz w:val="23"/>
          <w:szCs w:val="23"/>
        </w:rPr>
      </w:pPr>
      <w:r w:rsidRPr="00592572">
        <w:rPr>
          <w:rFonts w:ascii="Calibri Light" w:hAnsi="Calibri Light" w:cs="Calibri Light"/>
          <w:sz w:val="23"/>
          <w:szCs w:val="23"/>
        </w:rPr>
        <w:t xml:space="preserve">In </w:t>
      </w:r>
      <w:r w:rsidRPr="00592572" w:rsidR="005D36CF">
        <w:rPr>
          <w:rFonts w:ascii="Calibri Light" w:hAnsi="Calibri Light" w:cs="Calibri Light"/>
          <w:sz w:val="23"/>
          <w:szCs w:val="23"/>
        </w:rPr>
        <w:t>the</w:t>
      </w:r>
      <w:r w:rsidRPr="00592572">
        <w:rPr>
          <w:rFonts w:ascii="Calibri Light" w:hAnsi="Calibri Light" w:cs="Calibri Light"/>
          <w:sz w:val="23"/>
          <w:szCs w:val="23"/>
        </w:rPr>
        <w:t xml:space="preserve"> </w:t>
      </w:r>
      <w:r w:rsidRPr="00592572" w:rsidR="002533B0">
        <w:rPr>
          <w:rFonts w:ascii="Calibri Light" w:hAnsi="Calibri Light" w:cs="Calibri Light"/>
          <w:sz w:val="23"/>
          <w:szCs w:val="23"/>
        </w:rPr>
        <w:t>g</w:t>
      </w:r>
      <w:r w:rsidRPr="00592572">
        <w:rPr>
          <w:rFonts w:ascii="Calibri Light" w:hAnsi="Calibri Light" w:cs="Calibri Light"/>
          <w:sz w:val="23"/>
          <w:szCs w:val="23"/>
        </w:rPr>
        <w:t xml:space="preserve">uide to the draft Commonhold </w:t>
      </w:r>
      <w:r w:rsidR="00802730">
        <w:rPr>
          <w:rFonts w:ascii="Calibri Light" w:hAnsi="Calibri Light" w:cs="Calibri Light"/>
          <w:sz w:val="23"/>
          <w:szCs w:val="23"/>
        </w:rPr>
        <w:t xml:space="preserve">and Leasehold </w:t>
      </w:r>
      <w:r w:rsidRPr="00592572">
        <w:rPr>
          <w:rFonts w:ascii="Calibri Light" w:hAnsi="Calibri Light" w:cs="Calibri Light"/>
          <w:sz w:val="23"/>
          <w:szCs w:val="23"/>
        </w:rPr>
        <w:t>Reform Bill, the government claims that “existing leaseholders will not be left behind … this transition [to commonhold</w:t>
      </w:r>
      <w:r w:rsidRPr="00592572" w:rsidR="00D61FD9">
        <w:rPr>
          <w:rFonts w:ascii="Calibri Light" w:hAnsi="Calibri Light" w:cs="Calibri Light"/>
          <w:sz w:val="23"/>
          <w:szCs w:val="23"/>
        </w:rPr>
        <w:t>]</w:t>
      </w:r>
      <w:r w:rsidRPr="00592572">
        <w:rPr>
          <w:rFonts w:ascii="Calibri Light" w:hAnsi="Calibri Light" w:cs="Calibri Light"/>
          <w:sz w:val="23"/>
          <w:szCs w:val="23"/>
        </w:rPr>
        <w:t xml:space="preserve"> will take time. It is for this reason that we will keep reforming leasehold, to provide help and support to those who continue to live in the leasehold sector. Reinvigorating commonhold as an alternative and preferred tenure does not mean that we stop making improvements to leasehold where we believe it is necessary.” </w:t>
      </w:r>
      <w:r w:rsidRPr="00592572" w:rsidR="008B205B">
        <w:rPr>
          <w:rFonts w:ascii="Calibri Light" w:hAnsi="Calibri Light" w:cs="Calibri Light"/>
          <w:sz w:val="23"/>
          <w:szCs w:val="23"/>
        </w:rPr>
        <w:t>In the same vein, i</w:t>
      </w:r>
      <w:r w:rsidRPr="00592572">
        <w:rPr>
          <w:rFonts w:ascii="Calibri Light" w:hAnsi="Calibri Light" w:cs="Calibri Light"/>
          <w:sz w:val="23"/>
          <w:szCs w:val="23"/>
        </w:rPr>
        <w:t>n the explanatory notes, the government claims they “also want to provide existing leaseholders with a pathway to take greater control of their homes: by exercising the Right to Manage, acquiring the freehold of their homes through enfranchisement, or converting to commonhold.”</w:t>
      </w:r>
    </w:p>
    <w:p w:rsidR="00592572" w:rsidRPr="00592572" w:rsidP="00477C83">
      <w:pPr>
        <w:rPr>
          <w:rFonts w:ascii="Calibri Light" w:hAnsi="Calibri Light" w:cs="Calibri Light"/>
          <w:sz w:val="23"/>
          <w:szCs w:val="23"/>
        </w:rPr>
      </w:pPr>
    </w:p>
    <w:p w:rsidR="003F2D43" w:rsidRPr="00592572" w:rsidP="003E15B8">
      <w:pPr>
        <w:jc w:val="both"/>
        <w:rPr>
          <w:rFonts w:ascii="Calibri Light" w:hAnsi="Calibri Light" w:cs="Calibri Light"/>
          <w:sz w:val="23"/>
          <w:szCs w:val="23"/>
        </w:rPr>
      </w:pPr>
      <w:r w:rsidRPr="00592572">
        <w:rPr>
          <w:rFonts w:ascii="Calibri Light" w:hAnsi="Calibri Light" w:cs="Calibri Light"/>
          <w:sz w:val="23"/>
          <w:szCs w:val="23"/>
        </w:rPr>
        <w:t>But</w:t>
      </w:r>
      <w:r w:rsidRPr="00592572" w:rsidR="00C31692">
        <w:rPr>
          <w:rFonts w:ascii="Calibri Light" w:hAnsi="Calibri Light" w:cs="Calibri Light"/>
          <w:sz w:val="23"/>
          <w:szCs w:val="23"/>
        </w:rPr>
        <w:t xml:space="preserve"> </w:t>
      </w:r>
      <w:r w:rsidRPr="00592572">
        <w:rPr>
          <w:rFonts w:ascii="Calibri Light" w:hAnsi="Calibri Light" w:cs="Calibri Light"/>
          <w:sz w:val="23"/>
          <w:szCs w:val="23"/>
        </w:rPr>
        <w:t xml:space="preserve">the draft legislation published </w:t>
      </w:r>
      <w:r w:rsidR="0005531D">
        <w:rPr>
          <w:rFonts w:ascii="Calibri Light" w:hAnsi="Calibri Light" w:cs="Calibri Light"/>
          <w:sz w:val="23"/>
          <w:szCs w:val="23"/>
        </w:rPr>
        <w:t xml:space="preserve">on </w:t>
      </w:r>
      <w:r w:rsidRPr="00592572">
        <w:rPr>
          <w:rFonts w:ascii="Calibri Light" w:hAnsi="Calibri Light" w:cs="Calibri Light"/>
          <w:sz w:val="23"/>
          <w:szCs w:val="23"/>
        </w:rPr>
        <w:t xml:space="preserve">27 January 2026 </w:t>
      </w:r>
      <w:r w:rsidRPr="00592572" w:rsidR="004B6D31">
        <w:rPr>
          <w:rFonts w:ascii="Calibri Light" w:hAnsi="Calibri Light" w:cs="Calibri Light"/>
          <w:sz w:val="23"/>
          <w:szCs w:val="23"/>
        </w:rPr>
        <w:t>fails to meet</w:t>
      </w:r>
      <w:r w:rsidRPr="00592572" w:rsidR="00670096">
        <w:rPr>
          <w:rFonts w:ascii="Calibri Light" w:hAnsi="Calibri Light" w:cs="Calibri Light"/>
          <w:sz w:val="23"/>
          <w:szCs w:val="23"/>
        </w:rPr>
        <w:t xml:space="preserve"> the government’s own policy intentions of </w:t>
      </w:r>
      <w:r w:rsidRPr="00592572" w:rsidR="00D11C4F">
        <w:rPr>
          <w:rFonts w:ascii="Calibri Light" w:hAnsi="Calibri Light" w:cs="Calibri Light"/>
          <w:sz w:val="23"/>
          <w:szCs w:val="23"/>
        </w:rPr>
        <w:t xml:space="preserve">not leaving </w:t>
      </w:r>
      <w:r w:rsidRPr="00592572">
        <w:rPr>
          <w:rFonts w:ascii="Calibri Light" w:hAnsi="Calibri Light" w:cs="Calibri Light"/>
          <w:sz w:val="23"/>
          <w:szCs w:val="23"/>
        </w:rPr>
        <w:t xml:space="preserve">leaseholders behind </w:t>
      </w:r>
      <w:r w:rsidRPr="00592572" w:rsidR="003656B6">
        <w:rPr>
          <w:rFonts w:ascii="Calibri Light" w:hAnsi="Calibri Light" w:cs="Calibri Light"/>
          <w:sz w:val="23"/>
          <w:szCs w:val="23"/>
        </w:rPr>
        <w:t xml:space="preserve">or even providing </w:t>
      </w:r>
      <w:r w:rsidRPr="00592572" w:rsidR="0011518C">
        <w:rPr>
          <w:rFonts w:ascii="Calibri Light" w:hAnsi="Calibri Light" w:cs="Calibri Light"/>
          <w:sz w:val="23"/>
          <w:szCs w:val="23"/>
        </w:rPr>
        <w:t xml:space="preserve">a pathway to take greater control of their homes </w:t>
      </w:r>
      <w:r w:rsidRPr="00592572" w:rsidR="00554912">
        <w:rPr>
          <w:rFonts w:ascii="Calibri Light" w:hAnsi="Calibri Light" w:cs="Calibri Light"/>
          <w:sz w:val="23"/>
          <w:szCs w:val="23"/>
        </w:rPr>
        <w:t>in these respects:</w:t>
      </w:r>
    </w:p>
    <w:p w:rsidR="005D6B01" w:rsidRPr="00E74EB2" w:rsidP="00477C83">
      <w:pPr>
        <w:rPr>
          <w:rFonts w:asciiTheme="majorHAnsi" w:hAnsiTheme="majorHAnsi" w:cstheme="majorHAnsi"/>
          <w:sz w:val="30"/>
          <w:szCs w:val="30"/>
        </w:rPr>
      </w:pPr>
    </w:p>
    <w:p w:rsidR="005D6B01" w:rsidRPr="00E74EB2" w:rsidP="00244F2D">
      <w:pPr>
        <w:pStyle w:val="ListParagraph"/>
        <w:numPr>
          <w:ilvl w:val="0"/>
          <w:numId w:val="4"/>
        </w:numPr>
        <w:jc w:val="both"/>
        <w:rPr>
          <w:rFonts w:asciiTheme="majorHAnsi" w:hAnsiTheme="majorHAnsi" w:cstheme="majorHAnsi"/>
          <w:b/>
          <w:bCs/>
        </w:rPr>
      </w:pPr>
      <w:r w:rsidRPr="00E74EB2">
        <w:rPr>
          <w:rFonts w:asciiTheme="majorHAnsi" w:hAnsiTheme="majorHAnsi" w:cstheme="majorHAnsi"/>
          <w:b/>
          <w:bCs/>
        </w:rPr>
        <w:t xml:space="preserve">Law Commission enfranchisement and </w:t>
      </w:r>
      <w:r w:rsidRPr="00E74EB2" w:rsidR="00CD3555">
        <w:rPr>
          <w:rFonts w:asciiTheme="majorHAnsi" w:hAnsiTheme="majorHAnsi" w:cstheme="majorHAnsi"/>
          <w:b/>
          <w:bCs/>
        </w:rPr>
        <w:t>R</w:t>
      </w:r>
      <w:r w:rsidRPr="00E74EB2">
        <w:rPr>
          <w:rFonts w:asciiTheme="majorHAnsi" w:hAnsiTheme="majorHAnsi" w:cstheme="majorHAnsi"/>
          <w:b/>
          <w:bCs/>
        </w:rPr>
        <w:t xml:space="preserve">ight to </w:t>
      </w:r>
      <w:r w:rsidRPr="00E74EB2" w:rsidR="00CD3555">
        <w:rPr>
          <w:rFonts w:asciiTheme="majorHAnsi" w:hAnsiTheme="majorHAnsi" w:cstheme="majorHAnsi"/>
          <w:b/>
          <w:bCs/>
        </w:rPr>
        <w:t>M</w:t>
      </w:r>
      <w:r w:rsidRPr="00E74EB2">
        <w:rPr>
          <w:rFonts w:asciiTheme="majorHAnsi" w:hAnsiTheme="majorHAnsi" w:cstheme="majorHAnsi"/>
          <w:b/>
          <w:bCs/>
        </w:rPr>
        <w:t>anage recommendations</w:t>
      </w:r>
      <w:r w:rsidRPr="00E74EB2" w:rsidR="007F0ADA">
        <w:rPr>
          <w:rFonts w:asciiTheme="majorHAnsi" w:hAnsiTheme="majorHAnsi" w:cstheme="majorHAnsi"/>
          <w:b/>
          <w:bCs/>
        </w:rPr>
        <w:t xml:space="preserve"> are omitted from </w:t>
      </w:r>
      <w:r w:rsidR="007D28CF">
        <w:rPr>
          <w:rFonts w:asciiTheme="majorHAnsi" w:hAnsiTheme="majorHAnsi" w:cstheme="majorHAnsi"/>
          <w:b/>
          <w:bCs/>
        </w:rPr>
        <w:t xml:space="preserve">the </w:t>
      </w:r>
      <w:r w:rsidRPr="00E74EB2" w:rsidR="007F0ADA">
        <w:rPr>
          <w:rFonts w:asciiTheme="majorHAnsi" w:hAnsiTheme="majorHAnsi" w:cstheme="majorHAnsi"/>
          <w:b/>
          <w:bCs/>
        </w:rPr>
        <w:t xml:space="preserve">draft </w:t>
      </w:r>
      <w:r w:rsidR="007D28CF">
        <w:rPr>
          <w:rFonts w:asciiTheme="majorHAnsi" w:hAnsiTheme="majorHAnsi" w:cstheme="majorHAnsi"/>
          <w:b/>
          <w:bCs/>
        </w:rPr>
        <w:t xml:space="preserve">Commonhold and Leasehold </w:t>
      </w:r>
      <w:r w:rsidRPr="00E74EB2" w:rsidR="005913A8">
        <w:rPr>
          <w:rFonts w:asciiTheme="majorHAnsi" w:hAnsiTheme="majorHAnsi" w:cstheme="majorHAnsi"/>
          <w:b/>
          <w:bCs/>
        </w:rPr>
        <w:t xml:space="preserve">Reform </w:t>
      </w:r>
      <w:r w:rsidRPr="00E74EB2" w:rsidR="007F0ADA">
        <w:rPr>
          <w:rFonts w:asciiTheme="majorHAnsi" w:hAnsiTheme="majorHAnsi" w:cstheme="majorHAnsi"/>
          <w:b/>
          <w:bCs/>
        </w:rPr>
        <w:t>Bill</w:t>
      </w:r>
      <w:r w:rsidR="00171A9A">
        <w:rPr>
          <w:rFonts w:asciiTheme="majorHAnsi" w:hAnsiTheme="majorHAnsi" w:cstheme="majorHAnsi"/>
          <w:b/>
          <w:bCs/>
        </w:rPr>
        <w:t xml:space="preserve"> (‘the draft Bill’)</w:t>
      </w:r>
      <w:r w:rsidRPr="00E74EB2">
        <w:rPr>
          <w:rFonts w:asciiTheme="majorHAnsi" w:hAnsiTheme="majorHAnsi" w:cstheme="majorHAnsi"/>
          <w:b/>
          <w:bCs/>
        </w:rPr>
        <w:t xml:space="preserve"> in violation of</w:t>
      </w:r>
      <w:r w:rsidRPr="00E74EB2" w:rsidR="009515EE">
        <w:rPr>
          <w:rFonts w:asciiTheme="majorHAnsi" w:hAnsiTheme="majorHAnsi" w:cstheme="majorHAnsi"/>
          <w:b/>
          <w:bCs/>
        </w:rPr>
        <w:t xml:space="preserve"> </w:t>
      </w:r>
      <w:r w:rsidRPr="00E74EB2" w:rsidR="00CD3555">
        <w:rPr>
          <w:rFonts w:asciiTheme="majorHAnsi" w:hAnsiTheme="majorHAnsi" w:cstheme="majorHAnsi"/>
          <w:b/>
          <w:bCs/>
        </w:rPr>
        <w:t>L</w:t>
      </w:r>
      <w:r w:rsidRPr="00E74EB2">
        <w:rPr>
          <w:rFonts w:asciiTheme="majorHAnsi" w:hAnsiTheme="majorHAnsi" w:cstheme="majorHAnsi"/>
          <w:b/>
          <w:bCs/>
        </w:rPr>
        <w:t xml:space="preserve">abour manifesto and </w:t>
      </w:r>
      <w:r w:rsidRPr="00E74EB2" w:rsidR="00CD3555">
        <w:rPr>
          <w:rFonts w:asciiTheme="majorHAnsi" w:hAnsiTheme="majorHAnsi" w:cstheme="majorHAnsi"/>
          <w:b/>
          <w:bCs/>
        </w:rPr>
        <w:t>K</w:t>
      </w:r>
      <w:r w:rsidRPr="00E74EB2">
        <w:rPr>
          <w:rFonts w:asciiTheme="majorHAnsi" w:hAnsiTheme="majorHAnsi" w:cstheme="majorHAnsi"/>
          <w:b/>
          <w:bCs/>
        </w:rPr>
        <w:t xml:space="preserve">ing’s </w:t>
      </w:r>
      <w:r w:rsidRPr="00E74EB2" w:rsidR="00CD3555">
        <w:rPr>
          <w:rFonts w:asciiTheme="majorHAnsi" w:hAnsiTheme="majorHAnsi" w:cstheme="majorHAnsi"/>
          <w:b/>
          <w:bCs/>
        </w:rPr>
        <w:t>S</w:t>
      </w:r>
      <w:r w:rsidRPr="00E74EB2">
        <w:rPr>
          <w:rFonts w:asciiTheme="majorHAnsi" w:hAnsiTheme="majorHAnsi" w:cstheme="majorHAnsi"/>
          <w:b/>
          <w:bCs/>
        </w:rPr>
        <w:t>peech commitments</w:t>
      </w:r>
    </w:p>
    <w:p w:rsidR="005D6B01" w:rsidRPr="00E74EB2" w:rsidP="00244F2D">
      <w:pPr>
        <w:jc w:val="both"/>
        <w:rPr>
          <w:rFonts w:asciiTheme="majorHAnsi" w:hAnsiTheme="majorHAnsi" w:cstheme="majorHAnsi"/>
          <w:b/>
          <w:bCs/>
          <w:sz w:val="30"/>
          <w:szCs w:val="30"/>
        </w:rPr>
      </w:pPr>
    </w:p>
    <w:p w:rsidR="00E74EB2" w:rsidRPr="00E74EB2" w:rsidP="00244F2D">
      <w:pPr>
        <w:pStyle w:val="ListParagraph"/>
        <w:numPr>
          <w:ilvl w:val="1"/>
          <w:numId w:val="4"/>
        </w:numPr>
        <w:jc w:val="both"/>
        <w:rPr>
          <w:rFonts w:asciiTheme="majorHAnsi" w:hAnsiTheme="majorHAnsi" w:cstheme="majorHAnsi"/>
          <w:sz w:val="22"/>
          <w:szCs w:val="22"/>
        </w:rPr>
      </w:pPr>
      <w:r w:rsidRPr="00E74EB2">
        <w:rPr>
          <w:rFonts w:asciiTheme="majorHAnsi" w:hAnsiTheme="majorHAnsi" w:cstheme="majorHAnsi"/>
          <w:sz w:val="22"/>
          <w:szCs w:val="22"/>
        </w:rPr>
        <w:t>The Labour Party manifesto</w:t>
      </w:r>
      <w:r w:rsidRPr="00E74EB2" w:rsidR="00420C60">
        <w:rPr>
          <w:rFonts w:asciiTheme="majorHAnsi" w:hAnsiTheme="majorHAnsi" w:cstheme="majorHAnsi"/>
          <w:sz w:val="22"/>
          <w:szCs w:val="22"/>
        </w:rPr>
        <w:t xml:space="preserve"> </w:t>
      </w:r>
      <w:r w:rsidRPr="00E74EB2">
        <w:rPr>
          <w:rFonts w:asciiTheme="majorHAnsi" w:hAnsiTheme="majorHAnsi" w:cstheme="majorHAnsi"/>
          <w:sz w:val="22"/>
          <w:szCs w:val="22"/>
        </w:rPr>
        <w:t>contai</w:t>
      </w:r>
      <w:r w:rsidRPr="00E74EB2" w:rsidR="008A1FB4">
        <w:rPr>
          <w:rFonts w:asciiTheme="majorHAnsi" w:hAnsiTheme="majorHAnsi" w:cstheme="majorHAnsi"/>
          <w:sz w:val="22"/>
          <w:szCs w:val="22"/>
        </w:rPr>
        <w:t>ned</w:t>
      </w:r>
      <w:r w:rsidRPr="00E74EB2">
        <w:rPr>
          <w:rFonts w:asciiTheme="majorHAnsi" w:hAnsiTheme="majorHAnsi" w:cstheme="majorHAnsi"/>
          <w:sz w:val="22"/>
          <w:szCs w:val="22"/>
        </w:rPr>
        <w:t xml:space="preserve"> </w:t>
      </w:r>
      <w:r w:rsidRPr="00E74EB2" w:rsidR="00420C60">
        <w:rPr>
          <w:rFonts w:asciiTheme="majorHAnsi" w:hAnsiTheme="majorHAnsi" w:cstheme="majorHAnsi"/>
          <w:sz w:val="22"/>
          <w:szCs w:val="22"/>
        </w:rPr>
        <w:t xml:space="preserve">a promise to </w:t>
      </w:r>
      <w:r w:rsidRPr="00E74EB2" w:rsidR="009E7E90">
        <w:rPr>
          <w:rFonts w:asciiTheme="majorHAnsi" w:hAnsiTheme="majorHAnsi" w:cstheme="majorHAnsi"/>
          <w:sz w:val="22"/>
          <w:szCs w:val="22"/>
        </w:rPr>
        <w:t>“enact the package of Law Commission proposals on leasehold enfranchisement, right to manage and commonhold”, yet only the commonhold recommendation</w:t>
      </w:r>
      <w:r w:rsidRPr="00E74EB2" w:rsidR="007675E4">
        <w:rPr>
          <w:rFonts w:asciiTheme="majorHAnsi" w:hAnsiTheme="majorHAnsi" w:cstheme="majorHAnsi"/>
          <w:sz w:val="22"/>
          <w:szCs w:val="22"/>
        </w:rPr>
        <w:t>s</w:t>
      </w:r>
      <w:r w:rsidRPr="00E74EB2" w:rsidR="009E7E90">
        <w:rPr>
          <w:rFonts w:asciiTheme="majorHAnsi" w:hAnsiTheme="majorHAnsi" w:cstheme="majorHAnsi"/>
          <w:sz w:val="22"/>
          <w:szCs w:val="22"/>
        </w:rPr>
        <w:t xml:space="preserve"> feature in the draft Bill.</w:t>
      </w:r>
    </w:p>
    <w:p w:rsidR="00E74EB2" w:rsidRPr="00E74EB2" w:rsidP="00244F2D">
      <w:pPr>
        <w:pStyle w:val="ListParagraph"/>
        <w:ind w:left="1440"/>
        <w:jc w:val="both"/>
        <w:rPr>
          <w:rFonts w:asciiTheme="majorHAnsi" w:hAnsiTheme="majorHAnsi" w:cstheme="majorHAnsi"/>
          <w:sz w:val="22"/>
          <w:szCs w:val="22"/>
        </w:rPr>
      </w:pPr>
    </w:p>
    <w:p w:rsidR="00E74EB2" w:rsidRPr="00E74EB2" w:rsidP="00244F2D">
      <w:pPr>
        <w:pStyle w:val="ListParagraph"/>
        <w:numPr>
          <w:ilvl w:val="1"/>
          <w:numId w:val="4"/>
        </w:numPr>
        <w:jc w:val="both"/>
        <w:rPr>
          <w:rFonts w:asciiTheme="majorHAnsi" w:hAnsiTheme="majorHAnsi" w:cstheme="majorHAnsi"/>
          <w:sz w:val="22"/>
          <w:szCs w:val="22"/>
        </w:rPr>
      </w:pPr>
      <w:r w:rsidRPr="00E74EB2">
        <w:rPr>
          <w:rFonts w:asciiTheme="majorHAnsi" w:hAnsiTheme="majorHAnsi" w:cstheme="majorHAnsi"/>
          <w:sz w:val="22"/>
          <w:szCs w:val="22"/>
        </w:rPr>
        <w:t xml:space="preserve">The </w:t>
      </w:r>
      <w:r w:rsidRPr="00E74EB2" w:rsidR="006A43F1">
        <w:rPr>
          <w:rFonts w:asciiTheme="majorHAnsi" w:hAnsiTheme="majorHAnsi" w:cstheme="majorHAnsi"/>
          <w:sz w:val="22"/>
          <w:szCs w:val="22"/>
        </w:rPr>
        <w:t xml:space="preserve">July 2024 </w:t>
      </w:r>
      <w:r w:rsidRPr="00E74EB2">
        <w:rPr>
          <w:rFonts w:asciiTheme="majorHAnsi" w:hAnsiTheme="majorHAnsi" w:cstheme="majorHAnsi"/>
          <w:sz w:val="22"/>
          <w:szCs w:val="22"/>
        </w:rPr>
        <w:t xml:space="preserve">King’s Speech </w:t>
      </w:r>
      <w:r w:rsidRPr="00E74EB2" w:rsidR="0033108E">
        <w:rPr>
          <w:rFonts w:asciiTheme="majorHAnsi" w:hAnsiTheme="majorHAnsi" w:cstheme="majorHAnsi"/>
          <w:sz w:val="22"/>
          <w:szCs w:val="22"/>
        </w:rPr>
        <w:t>went further,</w:t>
      </w:r>
      <w:r w:rsidRPr="00E74EB2" w:rsidR="006A43F1">
        <w:rPr>
          <w:rFonts w:asciiTheme="majorHAnsi" w:hAnsiTheme="majorHAnsi" w:cstheme="majorHAnsi"/>
          <w:sz w:val="22"/>
          <w:szCs w:val="22"/>
        </w:rPr>
        <w:t xml:space="preserve"> tying the Law Commission’s remaining enfranchisement and Right to Manage recommendations</w:t>
      </w:r>
      <w:r w:rsidRPr="00E74EB2" w:rsidR="00127E28">
        <w:rPr>
          <w:rFonts w:asciiTheme="majorHAnsi" w:hAnsiTheme="majorHAnsi" w:cstheme="majorHAnsi"/>
          <w:sz w:val="22"/>
          <w:szCs w:val="22"/>
        </w:rPr>
        <w:t xml:space="preserve"> (</w:t>
      </w:r>
      <w:r w:rsidRPr="00E74EB2" w:rsidR="006A43F1">
        <w:rPr>
          <w:rFonts w:asciiTheme="majorHAnsi" w:hAnsiTheme="majorHAnsi" w:cstheme="majorHAnsi"/>
          <w:sz w:val="22"/>
          <w:szCs w:val="22"/>
        </w:rPr>
        <w:t>i.e. those not included in the Leasehold and Freehold Reform Act 2024</w:t>
      </w:r>
      <w:r w:rsidRPr="00E74EB2" w:rsidR="008B113B">
        <w:rPr>
          <w:rFonts w:asciiTheme="majorHAnsi" w:hAnsiTheme="majorHAnsi" w:cstheme="majorHAnsi"/>
          <w:sz w:val="22"/>
          <w:szCs w:val="22"/>
        </w:rPr>
        <w:t xml:space="preserve"> that </w:t>
      </w:r>
      <w:r w:rsidRPr="00E74EB2" w:rsidR="00382AA7">
        <w:rPr>
          <w:rFonts w:asciiTheme="majorHAnsi" w:hAnsiTheme="majorHAnsi" w:cstheme="majorHAnsi"/>
          <w:sz w:val="22"/>
          <w:szCs w:val="22"/>
        </w:rPr>
        <w:t>became</w:t>
      </w:r>
      <w:r w:rsidRPr="00E74EB2" w:rsidR="008B113B">
        <w:rPr>
          <w:rFonts w:asciiTheme="majorHAnsi" w:hAnsiTheme="majorHAnsi" w:cstheme="majorHAnsi"/>
          <w:sz w:val="22"/>
          <w:szCs w:val="22"/>
        </w:rPr>
        <w:t xml:space="preserve"> law under the last Conservative government</w:t>
      </w:r>
      <w:r w:rsidRPr="00E74EB2" w:rsidR="00127E28">
        <w:rPr>
          <w:rFonts w:asciiTheme="majorHAnsi" w:hAnsiTheme="majorHAnsi" w:cstheme="majorHAnsi"/>
          <w:sz w:val="22"/>
          <w:szCs w:val="22"/>
        </w:rPr>
        <w:t>)</w:t>
      </w:r>
      <w:r w:rsidRPr="00E74EB2" w:rsidR="006A43F1">
        <w:rPr>
          <w:rFonts w:asciiTheme="majorHAnsi" w:hAnsiTheme="majorHAnsi" w:cstheme="majorHAnsi"/>
          <w:sz w:val="22"/>
          <w:szCs w:val="22"/>
        </w:rPr>
        <w:t xml:space="preserve"> to the draft Commonhold </w:t>
      </w:r>
      <w:r w:rsidR="007467AF">
        <w:rPr>
          <w:rFonts w:asciiTheme="majorHAnsi" w:hAnsiTheme="majorHAnsi" w:cstheme="majorHAnsi"/>
          <w:sz w:val="22"/>
          <w:szCs w:val="22"/>
        </w:rPr>
        <w:t xml:space="preserve">and Leasehold </w:t>
      </w:r>
      <w:r w:rsidRPr="00E74EB2" w:rsidR="006A43F1">
        <w:rPr>
          <w:rFonts w:asciiTheme="majorHAnsi" w:hAnsiTheme="majorHAnsi" w:cstheme="majorHAnsi"/>
          <w:sz w:val="22"/>
          <w:szCs w:val="22"/>
        </w:rPr>
        <w:t>Reform Bill</w:t>
      </w:r>
      <w:r w:rsidR="002F16F0">
        <w:rPr>
          <w:rFonts w:asciiTheme="majorHAnsi" w:hAnsiTheme="majorHAnsi" w:cstheme="majorHAnsi"/>
          <w:sz w:val="22"/>
          <w:szCs w:val="22"/>
        </w:rPr>
        <w:t xml:space="preserve"> (then </w:t>
      </w:r>
      <w:r w:rsidR="000C79B1">
        <w:rPr>
          <w:rFonts w:asciiTheme="majorHAnsi" w:hAnsiTheme="majorHAnsi" w:cstheme="majorHAnsi"/>
          <w:sz w:val="22"/>
          <w:szCs w:val="22"/>
        </w:rPr>
        <w:t>titled the draft Leasehold and Commonhold Reform Bill)</w:t>
      </w:r>
      <w:r w:rsidRPr="00E74EB2" w:rsidR="006A43F1">
        <w:rPr>
          <w:rFonts w:asciiTheme="majorHAnsi" w:hAnsiTheme="majorHAnsi" w:cstheme="majorHAnsi"/>
          <w:sz w:val="22"/>
          <w:szCs w:val="22"/>
        </w:rPr>
        <w:t>.</w:t>
      </w:r>
      <w:r w:rsidRPr="00E74EB2" w:rsidR="009D1FB8">
        <w:rPr>
          <w:rFonts w:asciiTheme="majorHAnsi" w:hAnsiTheme="majorHAnsi" w:cstheme="majorHAnsi"/>
          <w:sz w:val="22"/>
          <w:szCs w:val="22"/>
        </w:rPr>
        <w:t xml:space="preserve"> </w:t>
      </w:r>
      <w:r w:rsidRPr="00E74EB2" w:rsidR="00EA591E">
        <w:rPr>
          <w:rFonts w:asciiTheme="majorHAnsi" w:hAnsiTheme="majorHAnsi" w:cstheme="majorHAnsi"/>
          <w:sz w:val="22"/>
          <w:szCs w:val="22"/>
        </w:rPr>
        <w:t xml:space="preserve">In the “What does the draft Bill do?” </w:t>
      </w:r>
      <w:r w:rsidRPr="00E74EB2" w:rsidR="00F35D28">
        <w:rPr>
          <w:rFonts w:asciiTheme="majorHAnsi" w:hAnsiTheme="majorHAnsi" w:cstheme="majorHAnsi"/>
          <w:sz w:val="22"/>
          <w:szCs w:val="22"/>
        </w:rPr>
        <w:t>section</w:t>
      </w:r>
      <w:r w:rsidRPr="00E74EB2" w:rsidR="00372578">
        <w:rPr>
          <w:rFonts w:asciiTheme="majorHAnsi" w:hAnsiTheme="majorHAnsi" w:cstheme="majorHAnsi"/>
          <w:sz w:val="22"/>
          <w:szCs w:val="22"/>
        </w:rPr>
        <w:t xml:space="preserve"> of the background briefing notes to the King’s Speech</w:t>
      </w:r>
      <w:r w:rsidRPr="00E74EB2" w:rsidR="00EA591E">
        <w:rPr>
          <w:rFonts w:asciiTheme="majorHAnsi" w:hAnsiTheme="majorHAnsi" w:cstheme="majorHAnsi"/>
          <w:sz w:val="22"/>
          <w:szCs w:val="22"/>
        </w:rPr>
        <w:t xml:space="preserve">, these remaining Law Commission recommendations </w:t>
      </w:r>
      <w:r w:rsidRPr="00E74EB2" w:rsidR="0029585E">
        <w:rPr>
          <w:rFonts w:asciiTheme="majorHAnsi" w:hAnsiTheme="majorHAnsi" w:cstheme="majorHAnsi"/>
          <w:sz w:val="22"/>
          <w:szCs w:val="22"/>
        </w:rPr>
        <w:t>were</w:t>
      </w:r>
      <w:r w:rsidRPr="00E74EB2" w:rsidR="00EA591E">
        <w:rPr>
          <w:rFonts w:asciiTheme="majorHAnsi" w:hAnsiTheme="majorHAnsi" w:cstheme="majorHAnsi"/>
          <w:sz w:val="22"/>
          <w:szCs w:val="22"/>
        </w:rPr>
        <w:t xml:space="preserve"> cast as fundamental “steps” to “bring[ing] the feudal leasehold system of leasehold to an end and </w:t>
      </w:r>
      <w:r w:rsidRPr="00E74EB2" w:rsidR="00D9619A">
        <w:rPr>
          <w:rFonts w:asciiTheme="majorHAnsi" w:hAnsiTheme="majorHAnsi" w:cstheme="majorHAnsi"/>
          <w:sz w:val="22"/>
          <w:szCs w:val="22"/>
        </w:rPr>
        <w:t>reinvigorat</w:t>
      </w:r>
      <w:r w:rsidRPr="00E74EB2" w:rsidR="00D9619A">
        <w:rPr>
          <w:rFonts w:asciiTheme="majorHAnsi" w:hAnsiTheme="majorHAnsi" w:cstheme="majorHAnsi"/>
          <w:sz w:val="22"/>
          <w:szCs w:val="22"/>
        </w:rPr>
        <w:t>[</w:t>
      </w:r>
      <w:r w:rsidRPr="00E74EB2" w:rsidR="00D9619A">
        <w:rPr>
          <w:rFonts w:asciiTheme="majorHAnsi" w:hAnsiTheme="majorHAnsi" w:cstheme="majorHAnsi"/>
          <w:sz w:val="22"/>
          <w:szCs w:val="22"/>
        </w:rPr>
        <w:t>ing</w:t>
      </w:r>
      <w:r w:rsidRPr="00E74EB2" w:rsidR="00D9619A">
        <w:rPr>
          <w:rFonts w:asciiTheme="majorHAnsi" w:hAnsiTheme="majorHAnsi" w:cstheme="majorHAnsi"/>
          <w:sz w:val="22"/>
          <w:szCs w:val="22"/>
        </w:rPr>
        <w:t>]</w:t>
      </w:r>
      <w:r w:rsidRPr="00E74EB2" w:rsidR="00EA591E">
        <w:rPr>
          <w:rFonts w:asciiTheme="majorHAnsi" w:hAnsiTheme="majorHAnsi" w:cstheme="majorHAnsi"/>
          <w:sz w:val="22"/>
          <w:szCs w:val="22"/>
        </w:rPr>
        <w:t xml:space="preserve"> commonhold by enacting remaining Law Commission recommendations to bolster leaseholders’ fundamental rights to extend their lease and buy their freehold (enfranchisement), and take over the freeholders building management functions (Right to Manage).”</w:t>
      </w:r>
    </w:p>
    <w:p w:rsidR="00E74EB2" w:rsidRPr="00F829CD" w:rsidP="00244F2D">
      <w:pPr>
        <w:jc w:val="both"/>
        <w:rPr>
          <w:rFonts w:asciiTheme="majorHAnsi" w:hAnsiTheme="majorHAnsi" w:cstheme="majorHAnsi"/>
          <w:sz w:val="22"/>
          <w:szCs w:val="22"/>
        </w:rPr>
      </w:pPr>
    </w:p>
    <w:p w:rsidR="009E7E90" w:rsidRPr="00E74EB2" w:rsidP="00002311">
      <w:pPr>
        <w:pStyle w:val="ListParagraph"/>
        <w:numPr>
          <w:ilvl w:val="1"/>
          <w:numId w:val="4"/>
        </w:numPr>
        <w:jc w:val="both"/>
        <w:rPr>
          <w:rFonts w:asciiTheme="majorHAnsi" w:hAnsiTheme="majorHAnsi" w:cstheme="majorHAnsi"/>
          <w:sz w:val="22"/>
          <w:szCs w:val="22"/>
        </w:rPr>
      </w:pPr>
      <w:r w:rsidRPr="00E74EB2">
        <w:rPr>
          <w:rFonts w:asciiTheme="majorHAnsi" w:hAnsiTheme="majorHAnsi" w:cstheme="majorHAnsi"/>
          <w:sz w:val="22"/>
          <w:szCs w:val="22"/>
        </w:rPr>
        <w:t xml:space="preserve">The remaining Law Commission </w:t>
      </w:r>
      <w:r w:rsidRPr="00E74EB2" w:rsidR="00115700">
        <w:rPr>
          <w:rFonts w:asciiTheme="majorHAnsi" w:hAnsiTheme="majorHAnsi" w:cstheme="majorHAnsi"/>
          <w:sz w:val="22"/>
          <w:szCs w:val="22"/>
        </w:rPr>
        <w:t>recommendations</w:t>
      </w:r>
      <w:r w:rsidRPr="00E74EB2">
        <w:rPr>
          <w:rFonts w:asciiTheme="majorHAnsi" w:hAnsiTheme="majorHAnsi" w:cstheme="majorHAnsi"/>
          <w:sz w:val="22"/>
          <w:szCs w:val="22"/>
        </w:rPr>
        <w:t xml:space="preserve"> on enfranchisement and Right to Manage </w:t>
      </w:r>
      <w:r w:rsidRPr="00E74EB2" w:rsidR="002B0EA6">
        <w:rPr>
          <w:rFonts w:asciiTheme="majorHAnsi" w:hAnsiTheme="majorHAnsi" w:cstheme="majorHAnsi"/>
          <w:sz w:val="22"/>
          <w:szCs w:val="22"/>
        </w:rPr>
        <w:t xml:space="preserve">did not materialise in the draft Commonhold </w:t>
      </w:r>
      <w:r w:rsidR="008A0AD2">
        <w:rPr>
          <w:rFonts w:asciiTheme="majorHAnsi" w:hAnsiTheme="majorHAnsi" w:cstheme="majorHAnsi"/>
          <w:sz w:val="22"/>
          <w:szCs w:val="22"/>
        </w:rPr>
        <w:t xml:space="preserve">and Leasehold </w:t>
      </w:r>
      <w:r w:rsidRPr="00E74EB2" w:rsidR="002B0EA6">
        <w:rPr>
          <w:rFonts w:asciiTheme="majorHAnsi" w:hAnsiTheme="majorHAnsi" w:cstheme="majorHAnsi"/>
          <w:sz w:val="22"/>
          <w:szCs w:val="22"/>
        </w:rPr>
        <w:t>Reform Bill published on 27 January 2026.</w:t>
      </w:r>
      <w:r w:rsidRPr="00E74EB2" w:rsidR="00252AC9">
        <w:rPr>
          <w:rFonts w:asciiTheme="majorHAnsi" w:hAnsiTheme="majorHAnsi" w:cstheme="majorHAnsi"/>
          <w:sz w:val="22"/>
          <w:szCs w:val="22"/>
        </w:rPr>
        <w:t xml:space="preserve"> </w:t>
      </w:r>
      <w:r w:rsidRPr="00E74EB2" w:rsidR="008D74EE">
        <w:rPr>
          <w:rFonts w:asciiTheme="majorHAnsi" w:hAnsiTheme="majorHAnsi" w:cstheme="majorHAnsi"/>
          <w:sz w:val="22"/>
          <w:szCs w:val="22"/>
        </w:rPr>
        <w:t xml:space="preserve">The </w:t>
      </w:r>
      <w:r w:rsidR="008A23DD">
        <w:rPr>
          <w:rFonts w:asciiTheme="majorHAnsi" w:hAnsiTheme="majorHAnsi" w:cstheme="majorHAnsi"/>
          <w:sz w:val="22"/>
          <w:szCs w:val="22"/>
        </w:rPr>
        <w:t xml:space="preserve">final </w:t>
      </w:r>
      <w:r w:rsidRPr="00E74EB2" w:rsidR="008D74EE">
        <w:rPr>
          <w:rFonts w:asciiTheme="majorHAnsi" w:hAnsiTheme="majorHAnsi" w:cstheme="majorHAnsi"/>
          <w:sz w:val="22"/>
          <w:szCs w:val="22"/>
        </w:rPr>
        <w:t>iteration of the legislation should include</w:t>
      </w:r>
      <w:r w:rsidR="00D91CB1">
        <w:rPr>
          <w:rFonts w:asciiTheme="majorHAnsi" w:hAnsiTheme="majorHAnsi" w:cstheme="majorHAnsi"/>
          <w:sz w:val="22"/>
          <w:szCs w:val="22"/>
        </w:rPr>
        <w:t xml:space="preserve"> these</w:t>
      </w:r>
      <w:r w:rsidRPr="00E74EB2" w:rsidR="008D74EE">
        <w:rPr>
          <w:rFonts w:asciiTheme="majorHAnsi" w:hAnsiTheme="majorHAnsi" w:cstheme="majorHAnsi"/>
          <w:sz w:val="22"/>
          <w:szCs w:val="22"/>
        </w:rPr>
        <w:t xml:space="preserve">. </w:t>
      </w:r>
    </w:p>
    <w:p w:rsidR="005D07CE" w:rsidRPr="004E5439" w:rsidP="00002311">
      <w:pPr>
        <w:jc w:val="both"/>
        <w:rPr>
          <w:rFonts w:ascii="Times New Roman" w:hAnsi="Times New Roman" w:cs="Times New Roman"/>
          <w:sz w:val="22"/>
          <w:szCs w:val="22"/>
        </w:rPr>
      </w:pPr>
    </w:p>
    <w:p w:rsidR="00002311" w:rsidP="00002311">
      <w:pPr>
        <w:pStyle w:val="ListParagraph"/>
        <w:numPr>
          <w:ilvl w:val="0"/>
          <w:numId w:val="4"/>
        </w:numPr>
        <w:snapToGrid w:val="0"/>
        <w:jc w:val="both"/>
        <w:rPr>
          <w:rFonts w:asciiTheme="majorHAnsi" w:hAnsiTheme="majorHAnsi" w:cstheme="majorHAnsi"/>
          <w:b/>
          <w:bCs/>
        </w:rPr>
      </w:pPr>
      <w:r w:rsidRPr="001A3BDD">
        <w:rPr>
          <w:rFonts w:asciiTheme="majorHAnsi" w:hAnsiTheme="majorHAnsi" w:cstheme="majorHAnsi"/>
          <w:b/>
          <w:bCs/>
        </w:rPr>
        <w:t>N</w:t>
      </w:r>
      <w:r w:rsidRPr="0015652A">
        <w:rPr>
          <w:rFonts w:asciiTheme="majorHAnsi" w:hAnsiTheme="majorHAnsi" w:cstheme="majorHAnsi"/>
          <w:b/>
          <w:bCs/>
        </w:rPr>
        <w:t>o restriction on development value</w:t>
      </w:r>
    </w:p>
    <w:p w:rsidR="002514C9" w:rsidRPr="0015652A" w:rsidP="00002311">
      <w:pPr>
        <w:pStyle w:val="ListParagraph"/>
        <w:snapToGrid w:val="0"/>
        <w:ind w:left="360"/>
        <w:jc w:val="both"/>
        <w:rPr>
          <w:rFonts w:asciiTheme="majorHAnsi" w:hAnsiTheme="majorHAnsi" w:cstheme="majorHAnsi"/>
          <w:b/>
          <w:bCs/>
        </w:rPr>
      </w:pPr>
    </w:p>
    <w:p w:rsidR="0015652A" w:rsidRPr="00641926" w:rsidP="00641926">
      <w:pPr>
        <w:pStyle w:val="ListParagraph"/>
        <w:numPr>
          <w:ilvl w:val="1"/>
          <w:numId w:val="4"/>
        </w:numPr>
        <w:snapToGrid w:val="0"/>
        <w:jc w:val="both"/>
        <w:rPr>
          <w:rFonts w:asciiTheme="majorHAnsi" w:hAnsiTheme="majorHAnsi" w:cstheme="majorHAnsi"/>
          <w:b/>
          <w:bCs/>
        </w:rPr>
      </w:pPr>
      <w:r w:rsidRPr="0015652A">
        <w:rPr>
          <w:rFonts w:asciiTheme="majorHAnsi" w:hAnsiTheme="majorHAnsi" w:cstheme="majorHAnsi"/>
          <w:sz w:val="22"/>
          <w:szCs w:val="22"/>
        </w:rPr>
        <w:t>A major issue with the draft Bill is the failure to include the restriction on development value that was recommended by the Law Commission in its final enfranchisement report of June 2020 and which government first promised to deliver in January 2021.</w:t>
      </w:r>
    </w:p>
    <w:p w:rsidR="00641926" w:rsidRPr="00641926" w:rsidP="00641926">
      <w:pPr>
        <w:pStyle w:val="ListParagraph"/>
        <w:snapToGrid w:val="0"/>
        <w:ind w:left="792"/>
        <w:jc w:val="both"/>
        <w:rPr>
          <w:rFonts w:asciiTheme="majorHAnsi" w:hAnsiTheme="majorHAnsi" w:cstheme="majorHAnsi"/>
          <w:b/>
          <w:bCs/>
        </w:rPr>
      </w:pPr>
    </w:p>
    <w:p w:rsidR="0015652A" w:rsidRPr="00641926" w:rsidP="00002311">
      <w:pPr>
        <w:pStyle w:val="ListParagraph"/>
        <w:numPr>
          <w:ilvl w:val="1"/>
          <w:numId w:val="4"/>
        </w:numPr>
        <w:snapToGrid w:val="0"/>
        <w:jc w:val="both"/>
        <w:rPr>
          <w:rFonts w:asciiTheme="majorHAnsi" w:hAnsiTheme="majorHAnsi" w:cstheme="majorHAnsi"/>
          <w:b/>
          <w:bCs/>
        </w:rPr>
      </w:pPr>
      <w:r w:rsidRPr="0015652A">
        <w:rPr>
          <w:rFonts w:asciiTheme="majorHAnsi" w:hAnsiTheme="majorHAnsi" w:cstheme="majorHAnsi"/>
          <w:sz w:val="22"/>
          <w:szCs w:val="22"/>
        </w:rPr>
        <w:t>On 11 January 2021, in a written statement to Parliament, it was announced that, as part of “seminal two-part legislation”, a restriction on development value would be introduced – a new right allowing leaseholders “to voluntarily agree to a restriction on future development of their property to avoid paying ‘development value’.”</w:t>
      </w:r>
      <w:r>
        <w:rPr>
          <w:rStyle w:val="FootnoteReference"/>
          <w:rFonts w:asciiTheme="majorHAnsi" w:hAnsiTheme="majorHAnsi" w:cstheme="majorHAnsi"/>
          <w:sz w:val="22"/>
          <w:szCs w:val="22"/>
        </w:rPr>
        <w:footnoteReference w:id="5"/>
      </w:r>
    </w:p>
    <w:p w:rsidR="00641926" w:rsidRPr="00641926" w:rsidP="00641926">
      <w:pPr>
        <w:snapToGrid w:val="0"/>
        <w:jc w:val="both"/>
        <w:rPr>
          <w:rFonts w:asciiTheme="majorHAnsi" w:hAnsiTheme="majorHAnsi" w:cstheme="majorHAnsi"/>
          <w:b/>
          <w:bCs/>
        </w:rPr>
      </w:pPr>
    </w:p>
    <w:p w:rsidR="00BB27C9" w:rsidRPr="00BB27C9" w:rsidP="00BB27C9">
      <w:pPr>
        <w:pStyle w:val="ListParagraph"/>
        <w:numPr>
          <w:ilvl w:val="1"/>
          <w:numId w:val="4"/>
        </w:numPr>
        <w:snapToGrid w:val="0"/>
        <w:jc w:val="both"/>
        <w:rPr>
          <w:rFonts w:asciiTheme="majorHAnsi" w:hAnsiTheme="majorHAnsi" w:cstheme="majorHAnsi"/>
          <w:b/>
          <w:bCs/>
        </w:rPr>
      </w:pPr>
      <w:r w:rsidRPr="0015652A">
        <w:rPr>
          <w:rFonts w:asciiTheme="majorHAnsi" w:hAnsiTheme="majorHAnsi" w:cstheme="majorHAnsi"/>
          <w:sz w:val="22"/>
          <w:szCs w:val="22"/>
        </w:rPr>
        <w:t xml:space="preserve">Curiously, the restriction on development value was the </w:t>
      </w:r>
      <w:r w:rsidRPr="0015652A">
        <w:rPr>
          <w:rFonts w:asciiTheme="majorHAnsi" w:hAnsiTheme="majorHAnsi" w:cstheme="majorHAnsi"/>
          <w:b/>
          <w:bCs/>
          <w:sz w:val="22"/>
          <w:szCs w:val="22"/>
          <w:u w:val="single"/>
        </w:rPr>
        <w:t>only</w:t>
      </w:r>
      <w:r w:rsidRPr="0015652A">
        <w:rPr>
          <w:rFonts w:asciiTheme="majorHAnsi" w:hAnsiTheme="majorHAnsi" w:cstheme="majorHAnsi"/>
          <w:sz w:val="22"/>
          <w:szCs w:val="22"/>
        </w:rPr>
        <w:t xml:space="preserve"> Law Commission recommendation that the last Conservative government promised to legislate for but which was not included in the Leasehold and Freehold Reform Act 2024.</w:t>
      </w:r>
    </w:p>
    <w:p w:rsidR="0015652A" w:rsidRPr="00BB27C9" w:rsidP="00BB27C9">
      <w:pPr>
        <w:snapToGrid w:val="0"/>
        <w:jc w:val="both"/>
        <w:rPr>
          <w:rFonts w:asciiTheme="majorHAnsi" w:hAnsiTheme="majorHAnsi" w:cstheme="majorHAnsi"/>
          <w:b/>
          <w:bCs/>
        </w:rPr>
      </w:pPr>
    </w:p>
    <w:p w:rsidR="00BB27C9" w:rsidRPr="00BB27C9" w:rsidP="00BB27C9">
      <w:pPr>
        <w:pStyle w:val="ListParagraph"/>
        <w:numPr>
          <w:ilvl w:val="1"/>
          <w:numId w:val="4"/>
        </w:numPr>
        <w:snapToGrid w:val="0"/>
        <w:jc w:val="both"/>
        <w:rPr>
          <w:rFonts w:asciiTheme="majorHAnsi" w:hAnsiTheme="majorHAnsi" w:cstheme="majorHAnsi"/>
          <w:b/>
          <w:bCs/>
        </w:rPr>
      </w:pPr>
      <w:r w:rsidRPr="0015652A">
        <w:rPr>
          <w:rFonts w:asciiTheme="majorHAnsi" w:hAnsiTheme="majorHAnsi" w:cstheme="majorHAnsi"/>
          <w:sz w:val="22"/>
          <w:szCs w:val="22"/>
        </w:rPr>
        <w:t>Strikingly, the restriction on development value was referenced in the Impact Assessment accompanying the 2024 Act when it was first published as a Bill, as if it was included in the package.</w:t>
      </w:r>
      <w:r>
        <w:rPr>
          <w:rStyle w:val="FootnoteReference"/>
          <w:rFonts w:asciiTheme="majorHAnsi" w:hAnsiTheme="majorHAnsi" w:cstheme="majorHAnsi"/>
          <w:sz w:val="22"/>
          <w:szCs w:val="22"/>
        </w:rPr>
        <w:footnoteReference w:id="6"/>
      </w:r>
      <w:r w:rsidRPr="0015652A">
        <w:rPr>
          <w:rFonts w:asciiTheme="majorHAnsi" w:hAnsiTheme="majorHAnsi" w:cstheme="majorHAnsi"/>
          <w:sz w:val="22"/>
          <w:szCs w:val="22"/>
        </w:rPr>
        <w:t xml:space="preserve"> The government never brought forward the amendment and its failure to be included in the 2024 Act is attributed to strong industry lobbying.</w:t>
      </w:r>
    </w:p>
    <w:p w:rsidR="0015652A" w:rsidRPr="00BB27C9" w:rsidP="00BB27C9">
      <w:pPr>
        <w:snapToGrid w:val="0"/>
        <w:jc w:val="both"/>
        <w:rPr>
          <w:rFonts w:asciiTheme="majorHAnsi" w:hAnsiTheme="majorHAnsi" w:cstheme="majorHAnsi"/>
          <w:b/>
          <w:bCs/>
        </w:rPr>
      </w:pPr>
    </w:p>
    <w:p w:rsidR="0015652A" w:rsidRPr="0015652A" w:rsidP="00002311">
      <w:pPr>
        <w:pStyle w:val="ListParagraph"/>
        <w:numPr>
          <w:ilvl w:val="1"/>
          <w:numId w:val="4"/>
        </w:numPr>
        <w:snapToGrid w:val="0"/>
        <w:jc w:val="both"/>
        <w:rPr>
          <w:rFonts w:asciiTheme="majorHAnsi" w:hAnsiTheme="majorHAnsi" w:cstheme="majorHAnsi"/>
          <w:b/>
          <w:bCs/>
        </w:rPr>
      </w:pPr>
      <w:r w:rsidRPr="0015652A">
        <w:rPr>
          <w:rFonts w:eastAsia="Times New Roman" w:asciiTheme="majorHAnsi" w:hAnsiTheme="majorHAnsi" w:cstheme="majorHAnsi"/>
          <w:sz w:val="22"/>
          <w:szCs w:val="22"/>
          <w:lang w:eastAsia="en-GB"/>
        </w:rPr>
        <w:t>A failure to restrict development value for a second time would be a conscious political choice to prevent many flat leaseholders from being able to afford to buy their freehold. This will remain the case even when other positive provisions in the 2024 Act, such as the removal of marriage value; the 0.1% restriction on ground rents for valuation purposes; and the end of the requirement to pay the freeholder’s ‘reasonable’ legal and valuation costs, come into force.</w:t>
      </w:r>
      <w:r>
        <w:rPr>
          <w:rFonts w:eastAsia="Times New Roman" w:asciiTheme="majorHAnsi" w:hAnsiTheme="majorHAnsi" w:cstheme="majorHAnsi"/>
          <w:sz w:val="22"/>
          <w:szCs w:val="22"/>
          <w:lang w:eastAsia="en-GB"/>
        </w:rPr>
        <w:br/>
      </w:r>
    </w:p>
    <w:p w:rsidR="0015652A" w:rsidRPr="0015652A" w:rsidP="00002311">
      <w:pPr>
        <w:pStyle w:val="ListParagraph"/>
        <w:numPr>
          <w:ilvl w:val="1"/>
          <w:numId w:val="4"/>
        </w:numPr>
        <w:snapToGrid w:val="0"/>
        <w:jc w:val="both"/>
        <w:rPr>
          <w:rFonts w:asciiTheme="majorHAnsi" w:hAnsiTheme="majorHAnsi" w:cstheme="majorHAnsi"/>
          <w:b/>
          <w:bCs/>
        </w:rPr>
      </w:pPr>
      <w:r w:rsidRPr="0015652A">
        <w:rPr>
          <w:rFonts w:eastAsia="Times New Roman" w:asciiTheme="majorHAnsi" w:hAnsiTheme="majorHAnsi" w:cstheme="majorHAnsi"/>
          <w:sz w:val="22"/>
          <w:szCs w:val="22"/>
          <w:lang w:eastAsia="en-GB"/>
        </w:rPr>
        <w:t>A failure to restrict development value for a second time</w:t>
      </w:r>
      <w:r w:rsidRPr="0015652A" w:rsidR="00E4618A">
        <w:rPr>
          <w:rFonts w:eastAsia="Times New Roman" w:asciiTheme="majorHAnsi" w:hAnsiTheme="majorHAnsi" w:cstheme="majorHAnsi"/>
          <w:sz w:val="22"/>
          <w:szCs w:val="22"/>
          <w:lang w:eastAsia="en-GB"/>
        </w:rPr>
        <w:t xml:space="preserve"> </w:t>
      </w:r>
      <w:r w:rsidRPr="0015652A">
        <w:rPr>
          <w:rFonts w:eastAsia="Times New Roman" w:asciiTheme="majorHAnsi" w:hAnsiTheme="majorHAnsi" w:cstheme="majorHAnsi"/>
          <w:sz w:val="22"/>
          <w:szCs w:val="22"/>
          <w:lang w:eastAsia="en-GB"/>
        </w:rPr>
        <w:t>would be a conscious political choice</w:t>
      </w:r>
      <w:r w:rsidRPr="0015652A" w:rsidR="00F776BD">
        <w:rPr>
          <w:rFonts w:eastAsia="Times New Roman" w:asciiTheme="majorHAnsi" w:hAnsiTheme="majorHAnsi" w:cstheme="majorHAnsi"/>
          <w:sz w:val="22"/>
          <w:szCs w:val="22"/>
          <w:lang w:eastAsia="en-GB"/>
        </w:rPr>
        <w:t xml:space="preserve"> to </w:t>
      </w:r>
      <w:r w:rsidRPr="0015652A" w:rsidR="006C02D8">
        <w:rPr>
          <w:rFonts w:eastAsia="Times New Roman" w:asciiTheme="majorHAnsi" w:hAnsiTheme="majorHAnsi" w:cstheme="majorHAnsi"/>
          <w:sz w:val="22"/>
          <w:szCs w:val="22"/>
          <w:lang w:eastAsia="en-GB"/>
        </w:rPr>
        <w:t>prevent</w:t>
      </w:r>
      <w:r w:rsidRPr="0015652A">
        <w:rPr>
          <w:rFonts w:eastAsia="Times New Roman" w:asciiTheme="majorHAnsi" w:hAnsiTheme="majorHAnsi" w:cstheme="majorHAnsi"/>
          <w:sz w:val="22"/>
          <w:szCs w:val="22"/>
          <w:lang w:eastAsia="en-GB"/>
        </w:rPr>
        <w:t xml:space="preserve"> many flat leaseholders </w:t>
      </w:r>
      <w:r w:rsidRPr="0015652A" w:rsidR="002C4959">
        <w:rPr>
          <w:rFonts w:eastAsia="Times New Roman" w:asciiTheme="majorHAnsi" w:hAnsiTheme="majorHAnsi" w:cstheme="majorHAnsi"/>
          <w:sz w:val="22"/>
          <w:szCs w:val="22"/>
          <w:lang w:eastAsia="en-GB"/>
        </w:rPr>
        <w:t>from being able to afford</w:t>
      </w:r>
      <w:r w:rsidRPr="0015652A">
        <w:rPr>
          <w:rFonts w:eastAsia="Times New Roman" w:asciiTheme="majorHAnsi" w:hAnsiTheme="majorHAnsi" w:cstheme="majorHAnsi"/>
          <w:sz w:val="22"/>
          <w:szCs w:val="22"/>
          <w:lang w:eastAsia="en-GB"/>
        </w:rPr>
        <w:t xml:space="preserve"> to buy their freehold. This will remain the case even when other positive provisions in the 2024 Act, such as the removal of marriage value</w:t>
      </w:r>
      <w:r w:rsidRPr="0015652A" w:rsidR="00CD422C">
        <w:rPr>
          <w:rFonts w:eastAsia="Times New Roman" w:asciiTheme="majorHAnsi" w:hAnsiTheme="majorHAnsi" w:cstheme="majorHAnsi"/>
          <w:sz w:val="22"/>
          <w:szCs w:val="22"/>
          <w:lang w:eastAsia="en-GB"/>
        </w:rPr>
        <w:t>;</w:t>
      </w:r>
      <w:r w:rsidRPr="0015652A">
        <w:rPr>
          <w:rFonts w:eastAsia="Times New Roman" w:asciiTheme="majorHAnsi" w:hAnsiTheme="majorHAnsi" w:cstheme="majorHAnsi"/>
          <w:sz w:val="22"/>
          <w:szCs w:val="22"/>
          <w:lang w:eastAsia="en-GB"/>
        </w:rPr>
        <w:t xml:space="preserve"> the 0.1% restriction on ground rents for valuation purpose</w:t>
      </w:r>
      <w:r w:rsidRPr="0015652A" w:rsidR="00CD422C">
        <w:rPr>
          <w:rFonts w:eastAsia="Times New Roman" w:asciiTheme="majorHAnsi" w:hAnsiTheme="majorHAnsi" w:cstheme="majorHAnsi"/>
          <w:sz w:val="22"/>
          <w:szCs w:val="22"/>
          <w:lang w:eastAsia="en-GB"/>
        </w:rPr>
        <w:t>s;</w:t>
      </w:r>
      <w:r w:rsidRPr="0015652A">
        <w:rPr>
          <w:rFonts w:eastAsia="Times New Roman" w:asciiTheme="majorHAnsi" w:hAnsiTheme="majorHAnsi" w:cstheme="majorHAnsi"/>
          <w:sz w:val="22"/>
          <w:szCs w:val="22"/>
          <w:lang w:eastAsia="en-GB"/>
        </w:rPr>
        <w:t xml:space="preserve"> and the end of the requirement to pay the freeholder’s ‘reasonable’ legal and valuation costs, come into force</w:t>
      </w:r>
      <w:r w:rsidRPr="0015652A">
        <w:rPr>
          <w:rFonts w:eastAsia="Times New Roman" w:asciiTheme="majorHAnsi" w:hAnsiTheme="majorHAnsi" w:cstheme="majorHAnsi"/>
          <w:sz w:val="22"/>
          <w:szCs w:val="22"/>
          <w:lang w:eastAsia="en-GB"/>
        </w:rPr>
        <w:t>.</w:t>
      </w:r>
      <w:r>
        <w:rPr>
          <w:rFonts w:eastAsia="Times New Roman" w:asciiTheme="majorHAnsi" w:hAnsiTheme="majorHAnsi" w:cstheme="majorHAnsi"/>
          <w:sz w:val="22"/>
          <w:szCs w:val="22"/>
          <w:lang w:eastAsia="en-GB"/>
        </w:rPr>
        <w:br/>
      </w:r>
    </w:p>
    <w:p w:rsidR="00002311" w:rsidRPr="00002311" w:rsidP="00002311">
      <w:pPr>
        <w:pStyle w:val="ListParagraph"/>
        <w:numPr>
          <w:ilvl w:val="1"/>
          <w:numId w:val="4"/>
        </w:numPr>
        <w:snapToGrid w:val="0"/>
        <w:jc w:val="both"/>
        <w:rPr>
          <w:rFonts w:asciiTheme="majorHAnsi" w:hAnsiTheme="majorHAnsi" w:cstheme="majorHAnsi"/>
          <w:b/>
          <w:bCs/>
        </w:rPr>
      </w:pPr>
      <w:r w:rsidRPr="0015652A">
        <w:rPr>
          <w:rFonts w:eastAsia="Times New Roman" w:asciiTheme="majorHAnsi" w:hAnsiTheme="majorHAnsi" w:cstheme="majorHAnsi"/>
          <w:sz w:val="22"/>
          <w:szCs w:val="22"/>
          <w:lang w:eastAsia="en-GB"/>
        </w:rPr>
        <w:t xml:space="preserve">The development value problem arises because </w:t>
      </w:r>
      <w:r w:rsidRPr="0015652A" w:rsidR="00BD27BB">
        <w:rPr>
          <w:rFonts w:eastAsia="Times New Roman" w:asciiTheme="majorHAnsi" w:hAnsiTheme="majorHAnsi" w:cstheme="majorHAnsi"/>
          <w:sz w:val="22"/>
          <w:szCs w:val="22"/>
          <w:lang w:eastAsia="en-GB"/>
        </w:rPr>
        <w:t xml:space="preserve">the </w:t>
      </w:r>
      <w:r w:rsidRPr="0015652A">
        <w:rPr>
          <w:rFonts w:eastAsia="Times New Roman" w:asciiTheme="majorHAnsi" w:hAnsiTheme="majorHAnsi" w:cstheme="majorHAnsi"/>
          <w:sz w:val="22"/>
          <w:szCs w:val="22"/>
          <w:lang w:eastAsia="en-GB"/>
        </w:rPr>
        <w:t xml:space="preserve">current law allows freeholders to block a leaseholder’s </w:t>
      </w:r>
      <w:r w:rsidRPr="0015652A" w:rsidR="00EC65E4">
        <w:rPr>
          <w:rFonts w:eastAsia="Times New Roman" w:asciiTheme="majorHAnsi" w:hAnsiTheme="majorHAnsi" w:cstheme="majorHAnsi"/>
          <w:sz w:val="22"/>
          <w:szCs w:val="22"/>
          <w:lang w:eastAsia="en-GB"/>
        </w:rPr>
        <w:t>collective enfranchisement claim to acquire</w:t>
      </w:r>
      <w:r w:rsidRPr="0015652A">
        <w:rPr>
          <w:rFonts w:eastAsia="Times New Roman" w:asciiTheme="majorHAnsi" w:hAnsiTheme="majorHAnsi" w:cstheme="majorHAnsi"/>
          <w:sz w:val="22"/>
          <w:szCs w:val="22"/>
          <w:lang w:eastAsia="en-GB"/>
        </w:rPr>
        <w:t xml:space="preserve"> the freehold by demanding extra payment based on hypothetical development potential.</w:t>
      </w:r>
    </w:p>
    <w:p w:rsidR="0015652A" w:rsidRPr="00002311" w:rsidP="00002311">
      <w:pPr>
        <w:snapToGrid w:val="0"/>
        <w:jc w:val="both"/>
        <w:rPr>
          <w:rFonts w:asciiTheme="majorHAnsi" w:hAnsiTheme="majorHAnsi" w:cstheme="majorHAnsi"/>
          <w:b/>
          <w:bCs/>
        </w:rPr>
      </w:pPr>
    </w:p>
    <w:p w:rsidR="009764B4" w:rsidRPr="009764B4" w:rsidP="009764B4">
      <w:pPr>
        <w:pStyle w:val="ListParagraph"/>
        <w:numPr>
          <w:ilvl w:val="1"/>
          <w:numId w:val="4"/>
        </w:numPr>
        <w:snapToGrid w:val="0"/>
        <w:jc w:val="both"/>
        <w:rPr>
          <w:rFonts w:asciiTheme="majorHAnsi" w:hAnsiTheme="majorHAnsi" w:cstheme="majorHAnsi"/>
          <w:b/>
          <w:bCs/>
        </w:rPr>
      </w:pPr>
      <w:r w:rsidRPr="0015652A">
        <w:rPr>
          <w:rFonts w:eastAsia="Times New Roman" w:asciiTheme="majorHAnsi" w:hAnsiTheme="majorHAnsi" w:cstheme="majorHAnsi"/>
          <w:sz w:val="22"/>
          <w:szCs w:val="22"/>
          <w:lang w:eastAsia="en-GB"/>
        </w:rPr>
        <w:t>Barrister Nicola Muir, of Tanfield Chambers, has written that “it is amazing what developments landlords believe are possible and the profits they claim they will generate”</w:t>
      </w:r>
      <w:r>
        <w:rPr>
          <w:rStyle w:val="FootnoteReference"/>
          <w:rFonts w:eastAsia="Times New Roman" w:asciiTheme="majorHAnsi" w:hAnsiTheme="majorHAnsi" w:cstheme="majorHAnsi"/>
          <w:sz w:val="22"/>
          <w:szCs w:val="22"/>
          <w:lang w:eastAsia="en-GB"/>
        </w:rPr>
        <w:footnoteReference w:id="7"/>
      </w:r>
      <w:r w:rsidRPr="0015652A" w:rsidR="00B06F5B">
        <w:rPr>
          <w:rFonts w:eastAsia="Times New Roman" w:asciiTheme="majorHAnsi" w:hAnsiTheme="majorHAnsi" w:cstheme="majorHAnsi"/>
          <w:sz w:val="22"/>
          <w:szCs w:val="22"/>
          <w:lang w:eastAsia="en-GB"/>
        </w:rPr>
        <w:t>,</w:t>
      </w:r>
      <w:r w:rsidRPr="0015652A">
        <w:rPr>
          <w:rFonts w:eastAsia="Times New Roman" w:asciiTheme="majorHAnsi" w:hAnsiTheme="majorHAnsi" w:cstheme="majorHAnsi"/>
          <w:sz w:val="22"/>
          <w:szCs w:val="22"/>
          <w:lang w:eastAsia="en-GB"/>
        </w:rPr>
        <w:t xml:space="preserve"> citing a </w:t>
      </w:r>
      <w:r w:rsidRPr="0015652A" w:rsidR="00622765">
        <w:rPr>
          <w:rFonts w:eastAsia="Times New Roman" w:asciiTheme="majorHAnsi" w:hAnsiTheme="majorHAnsi" w:cstheme="majorHAnsi"/>
          <w:sz w:val="22"/>
          <w:szCs w:val="22"/>
          <w:lang w:eastAsia="en-GB"/>
        </w:rPr>
        <w:t xml:space="preserve">telling </w:t>
      </w:r>
      <w:r w:rsidRPr="0015652A">
        <w:rPr>
          <w:rFonts w:eastAsia="Times New Roman" w:asciiTheme="majorHAnsi" w:hAnsiTheme="majorHAnsi" w:cstheme="majorHAnsi"/>
          <w:sz w:val="22"/>
          <w:szCs w:val="22"/>
          <w:lang w:eastAsia="en-GB"/>
        </w:rPr>
        <w:t>example from practice: “The landlord initially claimed £34 million for the alleged potential to build a skyscraper in the front garden of the block. Such claims can obviously be a deterrent to leaseholders, who probably have no intention of developing.”</w:t>
      </w:r>
      <w:r>
        <w:rPr>
          <w:rStyle w:val="FootnoteReference"/>
          <w:rFonts w:eastAsia="Times New Roman" w:asciiTheme="majorHAnsi" w:hAnsiTheme="majorHAnsi" w:cstheme="majorHAnsi"/>
          <w:sz w:val="22"/>
          <w:szCs w:val="22"/>
          <w:lang w:eastAsia="en-GB"/>
        </w:rPr>
        <w:footnoteReference w:id="8"/>
      </w:r>
    </w:p>
    <w:p w:rsidR="0015652A" w:rsidRPr="009764B4" w:rsidP="009764B4">
      <w:pPr>
        <w:snapToGrid w:val="0"/>
        <w:jc w:val="both"/>
        <w:rPr>
          <w:rFonts w:asciiTheme="majorHAnsi" w:hAnsiTheme="majorHAnsi" w:cstheme="majorHAnsi"/>
          <w:b/>
          <w:bCs/>
        </w:rPr>
      </w:pPr>
    </w:p>
    <w:p w:rsidR="004210E9" w:rsidRPr="004210E9" w:rsidP="004210E9">
      <w:pPr>
        <w:pStyle w:val="ListParagraph"/>
        <w:numPr>
          <w:ilvl w:val="1"/>
          <w:numId w:val="4"/>
        </w:numPr>
        <w:snapToGrid w:val="0"/>
        <w:jc w:val="both"/>
        <w:rPr>
          <w:rFonts w:asciiTheme="majorHAnsi" w:hAnsiTheme="majorHAnsi" w:cstheme="majorHAnsi"/>
          <w:b/>
          <w:bCs/>
        </w:rPr>
      </w:pPr>
      <w:r w:rsidRPr="0015652A">
        <w:rPr>
          <w:rFonts w:eastAsia="Times New Roman" w:asciiTheme="majorHAnsi" w:hAnsiTheme="majorHAnsi" w:cstheme="majorHAnsi"/>
          <w:sz w:val="22"/>
          <w:szCs w:val="22"/>
          <w:lang w:eastAsia="en-GB"/>
        </w:rPr>
        <w:t>Th</w:t>
      </w:r>
      <w:r w:rsidRPr="0015652A" w:rsidR="00250D53">
        <w:rPr>
          <w:rFonts w:eastAsia="Times New Roman" w:asciiTheme="majorHAnsi" w:hAnsiTheme="majorHAnsi" w:cstheme="majorHAnsi"/>
          <w:sz w:val="22"/>
          <w:szCs w:val="22"/>
          <w:lang w:eastAsia="en-GB"/>
        </w:rPr>
        <w:t>e</w:t>
      </w:r>
      <w:r w:rsidRPr="0015652A">
        <w:rPr>
          <w:rFonts w:eastAsia="Times New Roman" w:asciiTheme="majorHAnsi" w:hAnsiTheme="majorHAnsi" w:cstheme="majorHAnsi"/>
          <w:sz w:val="22"/>
          <w:szCs w:val="22"/>
          <w:lang w:eastAsia="en-GB"/>
        </w:rPr>
        <w:t xml:space="preserve"> situation was made worse by the two-storey permitted development right introduced in 2020, which allows freeholders of qualifying blocks to add two extra levels without planning permission, bringing more leaseholders into scope of needing to pay development value</w:t>
      </w:r>
      <w:r w:rsidRPr="0015652A" w:rsidR="00B439AD">
        <w:rPr>
          <w:rFonts w:eastAsia="Times New Roman" w:asciiTheme="majorHAnsi" w:hAnsiTheme="majorHAnsi" w:cstheme="majorHAnsi"/>
          <w:sz w:val="22"/>
          <w:szCs w:val="22"/>
          <w:lang w:eastAsia="en-GB"/>
        </w:rPr>
        <w:t xml:space="preserve">. </w:t>
      </w:r>
      <w:r w:rsidRPr="0015652A" w:rsidR="00B06F5B">
        <w:rPr>
          <w:rFonts w:eastAsia="Times New Roman" w:asciiTheme="majorHAnsi" w:hAnsiTheme="majorHAnsi" w:cstheme="majorHAnsi"/>
          <w:sz w:val="22"/>
          <w:szCs w:val="22"/>
          <w:lang w:eastAsia="en-GB"/>
        </w:rPr>
        <w:t>The measure</w:t>
      </w:r>
      <w:r w:rsidRPr="0015652A" w:rsidR="00872E41">
        <w:rPr>
          <w:rFonts w:eastAsia="Times New Roman" w:asciiTheme="majorHAnsi" w:hAnsiTheme="majorHAnsi" w:cstheme="majorHAnsi"/>
          <w:sz w:val="22"/>
          <w:szCs w:val="22"/>
          <w:lang w:eastAsia="en-GB"/>
        </w:rPr>
        <w:t xml:space="preserve"> massively</w:t>
      </w:r>
      <w:r w:rsidRPr="0015652A" w:rsidR="00B06F5B">
        <w:rPr>
          <w:rFonts w:eastAsia="Times New Roman" w:asciiTheme="majorHAnsi" w:hAnsiTheme="majorHAnsi" w:cstheme="majorHAnsi"/>
          <w:sz w:val="22"/>
          <w:szCs w:val="22"/>
          <w:lang w:eastAsia="en-GB"/>
        </w:rPr>
        <w:t xml:space="preserve"> </w:t>
      </w:r>
      <w:r w:rsidRPr="0015652A">
        <w:rPr>
          <w:rFonts w:eastAsia="Times New Roman" w:asciiTheme="majorHAnsi" w:hAnsiTheme="majorHAnsi" w:cstheme="majorHAnsi"/>
          <w:sz w:val="22"/>
          <w:szCs w:val="22"/>
          <w:lang w:eastAsia="en-GB"/>
        </w:rPr>
        <w:t>drove up the value of the underlying freeholds, enabling freeholders to claim they need more compensation from leaseholders seeking to buy them out because of these “phantom” additional storeys.</w:t>
      </w:r>
      <w:r w:rsidRPr="0015652A" w:rsidR="00F67B67">
        <w:rPr>
          <w:rFonts w:eastAsia="Times New Roman" w:asciiTheme="majorHAnsi" w:hAnsiTheme="majorHAnsi" w:cstheme="majorHAnsi"/>
          <w:sz w:val="22"/>
          <w:szCs w:val="22"/>
          <w:lang w:eastAsia="en-GB"/>
        </w:rPr>
        <w:t xml:space="preserve"> </w:t>
      </w:r>
      <w:r w:rsidRPr="0015652A">
        <w:rPr>
          <w:rFonts w:eastAsia="Times New Roman" w:asciiTheme="majorHAnsi" w:hAnsiTheme="majorHAnsi" w:cstheme="majorHAnsi"/>
          <w:sz w:val="22"/>
          <w:szCs w:val="22"/>
          <w:lang w:eastAsia="en-GB"/>
        </w:rPr>
        <w:t xml:space="preserve">While this right </w:t>
      </w:r>
      <w:r w:rsidRPr="0015652A" w:rsidR="00667C87">
        <w:rPr>
          <w:rFonts w:eastAsia="Times New Roman" w:asciiTheme="majorHAnsi" w:hAnsiTheme="majorHAnsi" w:cstheme="majorHAnsi"/>
          <w:sz w:val="22"/>
          <w:szCs w:val="22"/>
          <w:lang w:eastAsia="en-GB"/>
        </w:rPr>
        <w:t xml:space="preserve">for freeholders </w:t>
      </w:r>
      <w:r w:rsidRPr="0015652A">
        <w:rPr>
          <w:rFonts w:eastAsia="Times New Roman" w:asciiTheme="majorHAnsi" w:hAnsiTheme="majorHAnsi" w:cstheme="majorHAnsi"/>
          <w:sz w:val="22"/>
          <w:szCs w:val="22"/>
          <w:lang w:eastAsia="en-GB"/>
        </w:rPr>
        <w:t xml:space="preserve">makes it easier for </w:t>
      </w:r>
      <w:r w:rsidRPr="0015652A" w:rsidR="00667C87">
        <w:rPr>
          <w:rFonts w:eastAsia="Times New Roman" w:asciiTheme="majorHAnsi" w:hAnsiTheme="majorHAnsi" w:cstheme="majorHAnsi"/>
          <w:sz w:val="22"/>
          <w:szCs w:val="22"/>
          <w:lang w:eastAsia="en-GB"/>
        </w:rPr>
        <w:t>them</w:t>
      </w:r>
      <w:r w:rsidRPr="0015652A">
        <w:rPr>
          <w:rFonts w:eastAsia="Times New Roman" w:asciiTheme="majorHAnsi" w:hAnsiTheme="majorHAnsi" w:cstheme="majorHAnsi"/>
          <w:sz w:val="22"/>
          <w:szCs w:val="22"/>
          <w:lang w:eastAsia="en-GB"/>
        </w:rPr>
        <w:t xml:space="preserve"> to kill a</w:t>
      </w:r>
      <w:r w:rsidRPr="0015652A" w:rsidR="007918C2">
        <w:rPr>
          <w:rFonts w:eastAsia="Times New Roman" w:asciiTheme="majorHAnsi" w:hAnsiTheme="majorHAnsi" w:cstheme="majorHAnsi"/>
          <w:sz w:val="22"/>
          <w:szCs w:val="22"/>
          <w:lang w:eastAsia="en-GB"/>
        </w:rPr>
        <w:t xml:space="preserve"> collective enfranchisement</w:t>
      </w:r>
      <w:r w:rsidRPr="0015652A">
        <w:rPr>
          <w:rFonts w:eastAsia="Times New Roman" w:asciiTheme="majorHAnsi" w:hAnsiTheme="majorHAnsi" w:cstheme="majorHAnsi"/>
          <w:sz w:val="22"/>
          <w:szCs w:val="22"/>
          <w:lang w:eastAsia="en-GB"/>
        </w:rPr>
        <w:t xml:space="preserve"> claim from leaseholders by demanding more compensation for hypothetical development, in many cases this is merely hypothetical because leases often contain nuisance and right to quiet enjoyment clauses that can frustrate the actual development on a block.</w:t>
      </w:r>
    </w:p>
    <w:p w:rsidR="0015652A" w:rsidRPr="004210E9" w:rsidP="004210E9">
      <w:pPr>
        <w:snapToGrid w:val="0"/>
        <w:jc w:val="both"/>
        <w:rPr>
          <w:rFonts w:asciiTheme="majorHAnsi" w:hAnsiTheme="majorHAnsi" w:cstheme="majorHAnsi"/>
          <w:b/>
          <w:bCs/>
        </w:rPr>
      </w:pPr>
    </w:p>
    <w:p w:rsidR="002814BD" w:rsidRPr="0015652A" w:rsidP="00002311">
      <w:pPr>
        <w:pStyle w:val="ListParagraph"/>
        <w:numPr>
          <w:ilvl w:val="1"/>
          <w:numId w:val="4"/>
        </w:numPr>
        <w:snapToGrid w:val="0"/>
        <w:jc w:val="both"/>
        <w:rPr>
          <w:rFonts w:asciiTheme="majorHAnsi" w:hAnsiTheme="majorHAnsi" w:cstheme="majorHAnsi"/>
          <w:b/>
          <w:bCs/>
        </w:rPr>
      </w:pPr>
      <w:r w:rsidRPr="0015652A">
        <w:rPr>
          <w:rFonts w:eastAsia="Times New Roman" w:asciiTheme="majorHAnsi" w:hAnsiTheme="majorHAnsi" w:cstheme="majorHAnsi"/>
          <w:sz w:val="22"/>
          <w:szCs w:val="22"/>
          <w:lang w:eastAsia="en-GB"/>
        </w:rPr>
        <w:t>Without a restriction on development value in the final version of the Bill, many flat leaseholders will remain stuck</w:t>
      </w:r>
      <w:r w:rsidRPr="0015652A" w:rsidR="00FD209A">
        <w:rPr>
          <w:rFonts w:eastAsia="Times New Roman" w:asciiTheme="majorHAnsi" w:hAnsiTheme="majorHAnsi" w:cstheme="majorHAnsi"/>
          <w:sz w:val="22"/>
          <w:szCs w:val="22"/>
          <w:lang w:eastAsia="en-GB"/>
        </w:rPr>
        <w:t xml:space="preserve"> with extractive freeholders</w:t>
      </w:r>
      <w:r w:rsidRPr="0015652A">
        <w:rPr>
          <w:rFonts w:eastAsia="Times New Roman" w:asciiTheme="majorHAnsi" w:hAnsiTheme="majorHAnsi" w:cstheme="majorHAnsi"/>
          <w:sz w:val="22"/>
          <w:szCs w:val="22"/>
          <w:lang w:eastAsia="en-GB"/>
        </w:rPr>
        <w:t>, while homes in new developments will be commonhold, which buyers will naturally prefer. This will create a harmful two-tier system and further devalue leasehold homes.</w:t>
      </w:r>
    </w:p>
    <w:p w:rsidR="00614B78" w:rsidRPr="000A20AD" w:rsidP="00002311">
      <w:pPr>
        <w:jc w:val="both"/>
        <w:rPr>
          <w:rFonts w:ascii="Calibri Light" w:hAnsi="Calibri Light" w:cs="Calibri Light"/>
          <w:sz w:val="30"/>
          <w:szCs w:val="30"/>
        </w:rPr>
      </w:pPr>
    </w:p>
    <w:p w:rsidR="00FE722E" w:rsidRPr="000A20AD" w:rsidP="00002311">
      <w:pPr>
        <w:pStyle w:val="ListParagraph"/>
        <w:numPr>
          <w:ilvl w:val="0"/>
          <w:numId w:val="4"/>
        </w:numPr>
        <w:jc w:val="both"/>
        <w:rPr>
          <w:rFonts w:ascii="Calibri Light" w:hAnsi="Calibri Light" w:cs="Calibri Light"/>
          <w:b/>
          <w:bCs/>
          <w:sz w:val="30"/>
          <w:szCs w:val="30"/>
        </w:rPr>
      </w:pPr>
      <w:r w:rsidRPr="000A20AD">
        <w:rPr>
          <w:rFonts w:ascii="Calibri Light" w:hAnsi="Calibri Light" w:cs="Calibri Light"/>
          <w:b/>
          <w:bCs/>
          <w:sz w:val="30"/>
          <w:szCs w:val="30"/>
        </w:rPr>
        <w:t xml:space="preserve">Silence on enfranchisement rates </w:t>
      </w:r>
    </w:p>
    <w:p w:rsidR="005F641C" w:rsidRPr="000A20AD" w:rsidP="000A20AD">
      <w:pPr>
        <w:jc w:val="both"/>
        <w:rPr>
          <w:rFonts w:ascii="Calibri Light" w:hAnsi="Calibri Light" w:cs="Calibri Light"/>
          <w:sz w:val="30"/>
          <w:szCs w:val="30"/>
        </w:rPr>
      </w:pPr>
    </w:p>
    <w:p w:rsidR="000A20AD" w:rsidP="000A20AD">
      <w:pPr>
        <w:pStyle w:val="ListParagraph"/>
        <w:numPr>
          <w:ilvl w:val="1"/>
          <w:numId w:val="17"/>
        </w:numPr>
        <w:jc w:val="both"/>
        <w:rPr>
          <w:rFonts w:ascii="Calibri Light" w:hAnsi="Calibri Light" w:cs="Calibri Light"/>
          <w:sz w:val="22"/>
          <w:szCs w:val="22"/>
        </w:rPr>
      </w:pPr>
      <w:r w:rsidRPr="000A20AD">
        <w:rPr>
          <w:rFonts w:ascii="Calibri Light" w:hAnsi="Calibri Light" w:cs="Calibri Light"/>
          <w:sz w:val="22"/>
          <w:szCs w:val="22"/>
        </w:rPr>
        <w:t xml:space="preserve">Before flat leaseholders can convert to commonhold, they must first buy out their freeholder through a process known as </w:t>
      </w:r>
      <w:r w:rsidRPr="000A20AD" w:rsidR="00B105B9">
        <w:rPr>
          <w:rFonts w:ascii="Calibri Light" w:hAnsi="Calibri Light" w:cs="Calibri Light"/>
          <w:sz w:val="22"/>
          <w:szCs w:val="22"/>
        </w:rPr>
        <w:t>‘</w:t>
      </w:r>
      <w:r w:rsidRPr="000A20AD">
        <w:rPr>
          <w:rFonts w:ascii="Calibri Light" w:hAnsi="Calibri Light" w:cs="Calibri Light"/>
          <w:sz w:val="22"/>
          <w:szCs w:val="22"/>
        </w:rPr>
        <w:t>collective enfranchisement</w:t>
      </w:r>
      <w:r w:rsidRPr="000A20AD" w:rsidR="00B105B9">
        <w:rPr>
          <w:rFonts w:ascii="Calibri Light" w:hAnsi="Calibri Light" w:cs="Calibri Light"/>
          <w:sz w:val="22"/>
          <w:szCs w:val="22"/>
        </w:rPr>
        <w:t>’</w:t>
      </w:r>
      <w:r w:rsidRPr="000A20AD">
        <w:rPr>
          <w:rFonts w:ascii="Calibri Light" w:hAnsi="Calibri Light" w:cs="Calibri Light"/>
          <w:sz w:val="22"/>
          <w:szCs w:val="22"/>
        </w:rPr>
        <w:t>.</w:t>
      </w:r>
      <w:r w:rsidRPr="000A20AD" w:rsidR="00CA06E4">
        <w:rPr>
          <w:rFonts w:ascii="Calibri Light" w:hAnsi="Calibri Light" w:cs="Calibri Light"/>
          <w:sz w:val="22"/>
          <w:szCs w:val="22"/>
        </w:rPr>
        <w:t xml:space="preserve"> </w:t>
      </w:r>
      <w:r w:rsidRPr="000A20AD" w:rsidR="003D6E2B">
        <w:rPr>
          <w:rFonts w:ascii="Calibri Light" w:hAnsi="Calibri Light" w:cs="Calibri Light"/>
          <w:sz w:val="22"/>
          <w:szCs w:val="22"/>
        </w:rPr>
        <w:t>The issue is that the</w:t>
      </w:r>
      <w:r w:rsidRPr="000A20AD">
        <w:rPr>
          <w:rFonts w:ascii="Calibri Light" w:hAnsi="Calibri Light" w:cs="Calibri Light"/>
          <w:sz w:val="22"/>
          <w:szCs w:val="22"/>
        </w:rPr>
        <w:t xml:space="preserve"> draft Bill is silent on the costs to leaseholders of acquiring the freehold.</w:t>
      </w:r>
    </w:p>
    <w:p w:rsidR="00EE3E73" w:rsidP="00EE3E73">
      <w:pPr>
        <w:pStyle w:val="ListParagraph"/>
        <w:ind w:left="360"/>
        <w:jc w:val="both"/>
        <w:rPr>
          <w:rFonts w:ascii="Calibri Light" w:hAnsi="Calibri Light" w:cs="Calibri Light"/>
          <w:sz w:val="22"/>
          <w:szCs w:val="22"/>
        </w:rPr>
      </w:pPr>
    </w:p>
    <w:p w:rsidR="000A20AD" w:rsidP="000A20AD">
      <w:pPr>
        <w:pStyle w:val="ListParagraph"/>
        <w:numPr>
          <w:ilvl w:val="1"/>
          <w:numId w:val="17"/>
        </w:numPr>
        <w:jc w:val="both"/>
        <w:rPr>
          <w:rFonts w:ascii="Calibri Light" w:hAnsi="Calibri Light" w:cs="Calibri Light"/>
          <w:sz w:val="22"/>
          <w:szCs w:val="22"/>
        </w:rPr>
      </w:pPr>
      <w:r w:rsidRPr="000A20AD">
        <w:rPr>
          <w:rFonts w:ascii="Calibri Light" w:hAnsi="Calibri Light" w:cs="Calibri Light"/>
          <w:sz w:val="22"/>
          <w:szCs w:val="22"/>
        </w:rPr>
        <w:t xml:space="preserve">Without </w:t>
      </w:r>
      <w:r w:rsidR="00E738BF">
        <w:rPr>
          <w:rFonts w:ascii="Calibri Light" w:hAnsi="Calibri Light" w:cs="Calibri Light"/>
          <w:sz w:val="22"/>
          <w:szCs w:val="22"/>
        </w:rPr>
        <w:t>making</w:t>
      </w:r>
      <w:r w:rsidRPr="000A20AD">
        <w:rPr>
          <w:rFonts w:ascii="Calibri Light" w:hAnsi="Calibri Light" w:cs="Calibri Light"/>
          <w:sz w:val="22"/>
          <w:szCs w:val="22"/>
        </w:rPr>
        <w:t xml:space="preserve"> freehold</w:t>
      </w:r>
      <w:r w:rsidR="00FE77FB">
        <w:rPr>
          <w:rFonts w:ascii="Calibri Light" w:hAnsi="Calibri Light" w:cs="Calibri Light"/>
          <w:sz w:val="22"/>
          <w:szCs w:val="22"/>
        </w:rPr>
        <w:t xml:space="preserve"> purchase cheaper for leaseholders</w:t>
      </w:r>
      <w:r w:rsidRPr="000A20AD">
        <w:rPr>
          <w:rFonts w:ascii="Calibri Light" w:hAnsi="Calibri Light" w:cs="Calibri Light"/>
          <w:sz w:val="22"/>
          <w:szCs w:val="22"/>
        </w:rPr>
        <w:t>, the proposed change to commonhold conversion, which would reduce the requirement from unanimity among all leaseholders, lenders, and the freeholder in a block to just 50% of leaseholders, risks benefiting only “the smallest and most affluent blocks”, a</w:t>
      </w:r>
      <w:r w:rsidRPr="000A20AD" w:rsidR="00AF3014">
        <w:rPr>
          <w:rFonts w:ascii="Calibri Light" w:hAnsi="Calibri Light" w:cs="Calibri Light"/>
          <w:sz w:val="22"/>
          <w:szCs w:val="22"/>
        </w:rPr>
        <w:t>n outcome</w:t>
      </w:r>
      <w:r w:rsidRPr="000A20AD">
        <w:rPr>
          <w:rFonts w:ascii="Calibri Light" w:hAnsi="Calibri Light" w:cs="Calibri Light"/>
          <w:sz w:val="22"/>
          <w:szCs w:val="22"/>
        </w:rPr>
        <w:t xml:space="preserve"> the government described as “not our intent” in the Commonhold White Paper</w:t>
      </w:r>
      <w:r w:rsidR="002015DB">
        <w:rPr>
          <w:rFonts w:ascii="Calibri Light" w:hAnsi="Calibri Light" w:cs="Calibri Light"/>
          <w:sz w:val="22"/>
          <w:szCs w:val="22"/>
        </w:rPr>
        <w:t xml:space="preserve"> of March 2025</w:t>
      </w:r>
      <w:r w:rsidRPr="000A20AD">
        <w:rPr>
          <w:rFonts w:ascii="Calibri Light" w:hAnsi="Calibri Light" w:cs="Calibri Light"/>
          <w:sz w:val="22"/>
          <w:szCs w:val="22"/>
        </w:rPr>
        <w:t>.</w:t>
      </w:r>
    </w:p>
    <w:p w:rsidR="00EE3E73" w:rsidRPr="00EE3E73" w:rsidP="00EE3E73">
      <w:pPr>
        <w:jc w:val="both"/>
        <w:rPr>
          <w:rFonts w:ascii="Calibri Light" w:hAnsi="Calibri Light" w:cs="Calibri Light"/>
          <w:sz w:val="22"/>
          <w:szCs w:val="22"/>
        </w:rPr>
      </w:pPr>
    </w:p>
    <w:p w:rsidR="000A20AD" w:rsidP="000A20AD">
      <w:pPr>
        <w:pStyle w:val="ListParagraph"/>
        <w:numPr>
          <w:ilvl w:val="1"/>
          <w:numId w:val="17"/>
        </w:numPr>
        <w:jc w:val="both"/>
        <w:rPr>
          <w:rFonts w:ascii="Calibri Light" w:hAnsi="Calibri Light" w:cs="Calibri Light"/>
          <w:sz w:val="22"/>
          <w:szCs w:val="22"/>
        </w:rPr>
      </w:pPr>
      <w:r>
        <w:rPr>
          <w:rFonts w:ascii="Calibri Light" w:hAnsi="Calibri Light" w:cs="Calibri Light"/>
          <w:sz w:val="22"/>
          <w:szCs w:val="22"/>
        </w:rPr>
        <w:t xml:space="preserve">The </w:t>
      </w:r>
      <w:r w:rsidRPr="000A20AD" w:rsidR="0022748F">
        <w:rPr>
          <w:rFonts w:ascii="Calibri Light" w:hAnsi="Calibri Light" w:cs="Calibri Light"/>
          <w:sz w:val="22"/>
          <w:szCs w:val="22"/>
        </w:rPr>
        <w:t xml:space="preserve">Leasehold and Freehold Reform Act 2024 </w:t>
      </w:r>
      <w:r>
        <w:rPr>
          <w:rFonts w:ascii="Calibri Light" w:hAnsi="Calibri Light" w:cs="Calibri Light"/>
          <w:sz w:val="22"/>
          <w:szCs w:val="22"/>
        </w:rPr>
        <w:t>already has provision</w:t>
      </w:r>
      <w:r w:rsidR="00D30745">
        <w:rPr>
          <w:rFonts w:ascii="Calibri Light" w:hAnsi="Calibri Light" w:cs="Calibri Light"/>
          <w:sz w:val="22"/>
          <w:szCs w:val="22"/>
        </w:rPr>
        <w:t xml:space="preserve">s </w:t>
      </w:r>
      <w:r w:rsidRPr="000A20AD" w:rsidR="0022748F">
        <w:rPr>
          <w:rFonts w:ascii="Calibri Light" w:hAnsi="Calibri Light" w:cs="Calibri Light"/>
          <w:sz w:val="22"/>
          <w:szCs w:val="22"/>
        </w:rPr>
        <w:t xml:space="preserve">to make freehold purchase </w:t>
      </w:r>
      <w:r w:rsidRPr="000A20AD" w:rsidR="00E515AF">
        <w:rPr>
          <w:rFonts w:ascii="Calibri Light" w:hAnsi="Calibri Light" w:cs="Calibri Light"/>
          <w:sz w:val="22"/>
          <w:szCs w:val="22"/>
        </w:rPr>
        <w:t>(</w:t>
      </w:r>
      <w:r w:rsidRPr="000A20AD" w:rsidR="0022748F">
        <w:rPr>
          <w:rFonts w:ascii="Calibri Light" w:hAnsi="Calibri Light" w:cs="Calibri Light"/>
          <w:sz w:val="22"/>
          <w:szCs w:val="22"/>
        </w:rPr>
        <w:t>and lease extensions</w:t>
      </w:r>
      <w:r w:rsidRPr="000A20AD" w:rsidR="00E515AF">
        <w:rPr>
          <w:rFonts w:ascii="Calibri Light" w:hAnsi="Calibri Light" w:cs="Calibri Light"/>
          <w:sz w:val="22"/>
          <w:szCs w:val="22"/>
        </w:rPr>
        <w:t>)</w:t>
      </w:r>
      <w:r w:rsidRPr="000A20AD" w:rsidR="0022748F">
        <w:rPr>
          <w:rFonts w:ascii="Calibri Light" w:hAnsi="Calibri Light" w:cs="Calibri Light"/>
          <w:sz w:val="22"/>
          <w:szCs w:val="22"/>
        </w:rPr>
        <w:t xml:space="preserve"> cheaper for leaseholders, by </w:t>
      </w:r>
      <w:r w:rsidR="00C962EB">
        <w:rPr>
          <w:rFonts w:ascii="Calibri Light" w:hAnsi="Calibri Light" w:cs="Calibri Light"/>
          <w:sz w:val="22"/>
          <w:szCs w:val="22"/>
        </w:rPr>
        <w:t>allowing</w:t>
      </w:r>
      <w:r w:rsidR="00DF5574">
        <w:rPr>
          <w:rFonts w:ascii="Calibri Light" w:hAnsi="Calibri Light" w:cs="Calibri Light"/>
          <w:sz w:val="22"/>
          <w:szCs w:val="22"/>
        </w:rPr>
        <w:t xml:space="preserve"> </w:t>
      </w:r>
      <w:r w:rsidRPr="000A20AD" w:rsidR="0022748F">
        <w:rPr>
          <w:rFonts w:ascii="Calibri Light" w:hAnsi="Calibri Light" w:cs="Calibri Light"/>
          <w:sz w:val="22"/>
          <w:szCs w:val="22"/>
        </w:rPr>
        <w:t xml:space="preserve">rates </w:t>
      </w:r>
      <w:r w:rsidR="00666097">
        <w:rPr>
          <w:rFonts w:ascii="Calibri Light" w:hAnsi="Calibri Light" w:cs="Calibri Light"/>
          <w:sz w:val="22"/>
          <w:szCs w:val="22"/>
        </w:rPr>
        <w:t>to be set</w:t>
      </w:r>
      <w:r w:rsidR="00DF5574">
        <w:rPr>
          <w:rFonts w:ascii="Calibri Light" w:hAnsi="Calibri Light" w:cs="Calibri Light"/>
          <w:sz w:val="22"/>
          <w:szCs w:val="22"/>
        </w:rPr>
        <w:t xml:space="preserve"> </w:t>
      </w:r>
      <w:r w:rsidRPr="000A20AD" w:rsidR="0022748F">
        <w:rPr>
          <w:rFonts w:ascii="Calibri Light" w:hAnsi="Calibri Light" w:cs="Calibri Light"/>
          <w:sz w:val="22"/>
          <w:szCs w:val="22"/>
        </w:rPr>
        <w:t>statutorily for the first time and introducing an online calculator to simplify and standardise the enfranchisement process.</w:t>
      </w:r>
      <w:r w:rsidRPr="000A20AD" w:rsidR="006C50F2">
        <w:rPr>
          <w:rFonts w:ascii="Calibri Light" w:hAnsi="Calibri Light" w:cs="Calibri Light"/>
          <w:sz w:val="22"/>
          <w:szCs w:val="22"/>
        </w:rPr>
        <w:t xml:space="preserve"> </w:t>
      </w:r>
      <w:r w:rsidRPr="000A20AD" w:rsidR="0064467B">
        <w:rPr>
          <w:rFonts w:ascii="Calibri Light" w:hAnsi="Calibri Light" w:cs="Calibri Light"/>
          <w:sz w:val="22"/>
          <w:szCs w:val="22"/>
        </w:rPr>
        <w:t xml:space="preserve">However, the public consultation </w:t>
      </w:r>
      <w:r w:rsidR="00FA6778">
        <w:rPr>
          <w:rFonts w:ascii="Calibri Light" w:hAnsi="Calibri Light" w:cs="Calibri Light"/>
          <w:sz w:val="22"/>
          <w:szCs w:val="22"/>
        </w:rPr>
        <w:t>on</w:t>
      </w:r>
      <w:r w:rsidRPr="000A20AD" w:rsidR="00A33C68">
        <w:rPr>
          <w:rFonts w:ascii="Calibri Light" w:hAnsi="Calibri Light" w:cs="Calibri Light"/>
          <w:sz w:val="22"/>
          <w:szCs w:val="22"/>
        </w:rPr>
        <w:t xml:space="preserve"> </w:t>
      </w:r>
      <w:r w:rsidR="009B6F18">
        <w:rPr>
          <w:rFonts w:ascii="Calibri Light" w:hAnsi="Calibri Light" w:cs="Calibri Light"/>
          <w:sz w:val="22"/>
          <w:szCs w:val="22"/>
        </w:rPr>
        <w:t>the</w:t>
      </w:r>
      <w:r w:rsidRPr="000A20AD" w:rsidR="0064467B">
        <w:rPr>
          <w:rFonts w:ascii="Calibri Light" w:hAnsi="Calibri Light" w:cs="Calibri Light"/>
          <w:sz w:val="22"/>
          <w:szCs w:val="22"/>
        </w:rPr>
        <w:t xml:space="preserve"> rates, which </w:t>
      </w:r>
      <w:r w:rsidR="00AA222A">
        <w:rPr>
          <w:rFonts w:ascii="Calibri Light" w:hAnsi="Calibri Light" w:cs="Calibri Light"/>
          <w:sz w:val="22"/>
          <w:szCs w:val="22"/>
        </w:rPr>
        <w:t>Minister</w:t>
      </w:r>
      <w:r w:rsidRPr="000A20AD" w:rsidR="0064467B">
        <w:rPr>
          <w:rFonts w:ascii="Calibri Light" w:hAnsi="Calibri Light" w:cs="Calibri Light"/>
          <w:sz w:val="22"/>
          <w:szCs w:val="22"/>
        </w:rPr>
        <w:t xml:space="preserve"> Pennycook promised Parliament in October 2024 would </w:t>
      </w:r>
      <w:r w:rsidRPr="000A20AD" w:rsidR="000A48B6">
        <w:rPr>
          <w:rFonts w:ascii="Calibri Light" w:hAnsi="Calibri Light" w:cs="Calibri Light"/>
          <w:sz w:val="22"/>
          <w:szCs w:val="22"/>
        </w:rPr>
        <w:t>happen</w:t>
      </w:r>
      <w:r w:rsidRPr="000A20AD" w:rsidR="0064467B">
        <w:rPr>
          <w:rFonts w:ascii="Calibri Light" w:hAnsi="Calibri Light" w:cs="Calibri Light"/>
          <w:sz w:val="22"/>
          <w:szCs w:val="22"/>
        </w:rPr>
        <w:t xml:space="preserve"> in summer 2025, </w:t>
      </w:r>
      <w:r w:rsidR="004C7921">
        <w:rPr>
          <w:rFonts w:ascii="Calibri Light" w:hAnsi="Calibri Light" w:cs="Calibri Light"/>
          <w:sz w:val="22"/>
          <w:szCs w:val="22"/>
        </w:rPr>
        <w:t>has not materialised</w:t>
      </w:r>
      <w:r w:rsidRPr="000A20AD" w:rsidR="0064467B">
        <w:rPr>
          <w:rFonts w:ascii="Calibri Light" w:hAnsi="Calibri Light" w:cs="Calibri Light"/>
          <w:sz w:val="22"/>
          <w:szCs w:val="22"/>
        </w:rPr>
        <w:t>. The stated reason for the delay – awaiting the outcome of the freeholders’ High Court judicial review</w:t>
      </w:r>
      <w:r w:rsidRPr="000A20AD" w:rsidR="00EB0178">
        <w:rPr>
          <w:rFonts w:ascii="Calibri Light" w:hAnsi="Calibri Light" w:cs="Calibri Light"/>
          <w:sz w:val="22"/>
          <w:szCs w:val="22"/>
        </w:rPr>
        <w:t xml:space="preserve"> challenge</w:t>
      </w:r>
      <w:r w:rsidRPr="000A20AD" w:rsidR="0064467B">
        <w:rPr>
          <w:rFonts w:ascii="Calibri Light" w:hAnsi="Calibri Light" w:cs="Calibri Light"/>
          <w:sz w:val="22"/>
          <w:szCs w:val="22"/>
        </w:rPr>
        <w:t xml:space="preserve"> – was resolved when the decision was handed down in the government’s favour in early October 2025</w:t>
      </w:r>
      <w:r w:rsidR="0017698C">
        <w:rPr>
          <w:rFonts w:ascii="Calibri Light" w:hAnsi="Calibri Light" w:cs="Calibri Light"/>
          <w:sz w:val="22"/>
          <w:szCs w:val="22"/>
        </w:rPr>
        <w:t>.</w:t>
      </w:r>
    </w:p>
    <w:p w:rsidR="00EE3E73" w:rsidRPr="00EE3E73" w:rsidP="00EE3E73">
      <w:pPr>
        <w:jc w:val="both"/>
        <w:rPr>
          <w:rFonts w:ascii="Calibri Light" w:hAnsi="Calibri Light" w:cs="Calibri Light"/>
          <w:sz w:val="22"/>
          <w:szCs w:val="22"/>
        </w:rPr>
      </w:pPr>
    </w:p>
    <w:p w:rsidR="000A20AD" w:rsidP="000A20AD">
      <w:pPr>
        <w:pStyle w:val="ListParagraph"/>
        <w:numPr>
          <w:ilvl w:val="1"/>
          <w:numId w:val="17"/>
        </w:numPr>
        <w:jc w:val="both"/>
        <w:rPr>
          <w:rFonts w:ascii="Calibri Light" w:hAnsi="Calibri Light" w:cs="Calibri Light"/>
          <w:sz w:val="22"/>
          <w:szCs w:val="22"/>
        </w:rPr>
      </w:pPr>
      <w:r w:rsidRPr="000A20AD">
        <w:rPr>
          <w:rFonts w:ascii="Calibri Light" w:hAnsi="Calibri Light" w:cs="Calibri Light"/>
          <w:sz w:val="22"/>
          <w:szCs w:val="22"/>
        </w:rPr>
        <w:t xml:space="preserve">These </w:t>
      </w:r>
      <w:r w:rsidR="004A0DE5">
        <w:rPr>
          <w:rFonts w:ascii="Calibri Light" w:hAnsi="Calibri Light" w:cs="Calibri Light"/>
          <w:sz w:val="22"/>
          <w:szCs w:val="22"/>
        </w:rPr>
        <w:t>‘</w:t>
      </w:r>
      <w:r w:rsidRPr="000A20AD">
        <w:rPr>
          <w:rFonts w:ascii="Calibri Light" w:hAnsi="Calibri Light" w:cs="Calibri Light"/>
          <w:sz w:val="22"/>
          <w:szCs w:val="22"/>
        </w:rPr>
        <w:t>deferment</w:t>
      </w:r>
      <w:r w:rsidR="004A0DE5">
        <w:rPr>
          <w:rFonts w:ascii="Calibri Light" w:hAnsi="Calibri Light" w:cs="Calibri Light"/>
          <w:sz w:val="22"/>
          <w:szCs w:val="22"/>
        </w:rPr>
        <w:t>’</w:t>
      </w:r>
      <w:r w:rsidRPr="000A20AD">
        <w:rPr>
          <w:rFonts w:ascii="Calibri Light" w:hAnsi="Calibri Light" w:cs="Calibri Light"/>
          <w:sz w:val="22"/>
          <w:szCs w:val="22"/>
        </w:rPr>
        <w:t xml:space="preserve"> and </w:t>
      </w:r>
      <w:r w:rsidR="004A0DE5">
        <w:rPr>
          <w:rFonts w:ascii="Calibri Light" w:hAnsi="Calibri Light" w:cs="Calibri Light"/>
          <w:sz w:val="22"/>
          <w:szCs w:val="22"/>
        </w:rPr>
        <w:t>‘</w:t>
      </w:r>
      <w:r w:rsidRPr="000A20AD">
        <w:rPr>
          <w:rFonts w:ascii="Calibri Light" w:hAnsi="Calibri Light" w:cs="Calibri Light"/>
          <w:sz w:val="22"/>
          <w:szCs w:val="22"/>
        </w:rPr>
        <w:t>capitalisation</w:t>
      </w:r>
      <w:r w:rsidR="004A0DE5">
        <w:rPr>
          <w:rFonts w:ascii="Calibri Light" w:hAnsi="Calibri Light" w:cs="Calibri Light"/>
          <w:sz w:val="22"/>
          <w:szCs w:val="22"/>
        </w:rPr>
        <w:t>’</w:t>
      </w:r>
      <w:r w:rsidRPr="000A20AD">
        <w:rPr>
          <w:rFonts w:ascii="Calibri Light" w:hAnsi="Calibri Light" w:cs="Calibri Light"/>
          <w:sz w:val="22"/>
          <w:szCs w:val="22"/>
        </w:rPr>
        <w:t xml:space="preserve"> rates are already derived from </w:t>
      </w:r>
      <w:r w:rsidR="003356E8">
        <w:rPr>
          <w:rFonts w:ascii="Calibri Light" w:hAnsi="Calibri Light" w:cs="Calibri Light"/>
          <w:sz w:val="22"/>
          <w:szCs w:val="22"/>
        </w:rPr>
        <w:t>freeholder-friendly</w:t>
      </w:r>
      <w:r w:rsidRPr="000A20AD">
        <w:rPr>
          <w:rFonts w:ascii="Calibri Light" w:hAnsi="Calibri Light" w:cs="Calibri Light"/>
          <w:sz w:val="22"/>
          <w:szCs w:val="22"/>
        </w:rPr>
        <w:t xml:space="preserve"> case law, specifically the 2006 Upper Tribunal decision known as Sportelli, with the deferment rate set at 4.75% for houses and 5.0% for flats, and a capitalisation rate of 6.0%.</w:t>
      </w:r>
    </w:p>
    <w:p w:rsidR="00EE3E73" w:rsidRPr="00EE3E73" w:rsidP="00EE3E73">
      <w:pPr>
        <w:jc w:val="both"/>
        <w:rPr>
          <w:rFonts w:ascii="Calibri Light" w:hAnsi="Calibri Light" w:cs="Calibri Light"/>
          <w:sz w:val="22"/>
          <w:szCs w:val="22"/>
        </w:rPr>
      </w:pPr>
    </w:p>
    <w:p w:rsidR="000A20AD" w:rsidP="00713F71">
      <w:pPr>
        <w:pStyle w:val="ListParagraph"/>
        <w:numPr>
          <w:ilvl w:val="1"/>
          <w:numId w:val="17"/>
        </w:numPr>
        <w:jc w:val="both"/>
        <w:rPr>
          <w:rFonts w:ascii="Calibri Light" w:hAnsi="Calibri Light" w:cs="Calibri Light"/>
          <w:sz w:val="22"/>
          <w:szCs w:val="22"/>
        </w:rPr>
      </w:pPr>
      <w:r w:rsidRPr="000A20AD">
        <w:rPr>
          <w:rFonts w:ascii="Calibri Light" w:hAnsi="Calibri Light" w:cs="Calibri Light"/>
          <w:sz w:val="22"/>
          <w:szCs w:val="22"/>
        </w:rPr>
        <w:t>While the 2024 Act is vague on what these rates should be, we know that investors routinely buy freeholds at auction or directly from developers at higher rates</w:t>
      </w:r>
      <w:r w:rsidR="00E91BC1">
        <w:rPr>
          <w:rFonts w:ascii="Calibri Light" w:hAnsi="Calibri Light" w:cs="Calibri Light"/>
          <w:sz w:val="22"/>
          <w:szCs w:val="22"/>
        </w:rPr>
        <w:t xml:space="preserve"> than those </w:t>
      </w:r>
      <w:r w:rsidR="000C68DC">
        <w:rPr>
          <w:rFonts w:ascii="Calibri Light" w:hAnsi="Calibri Light" w:cs="Calibri Light"/>
          <w:sz w:val="22"/>
          <w:szCs w:val="22"/>
        </w:rPr>
        <w:t>implied by Sportelli</w:t>
      </w:r>
      <w:r w:rsidRPr="000A20AD">
        <w:rPr>
          <w:rFonts w:ascii="Calibri Light" w:hAnsi="Calibri Light" w:cs="Calibri Light"/>
          <w:sz w:val="22"/>
          <w:szCs w:val="22"/>
        </w:rPr>
        <w:t xml:space="preserve">, meaning they pay significantly less than leaseholders are required to pay under statutory schemes with the low Sportelli rates. </w:t>
      </w:r>
      <w:r w:rsidRPr="00B11D3B">
        <w:rPr>
          <w:rFonts w:ascii="Calibri Light" w:hAnsi="Calibri Light" w:cs="Calibri Light"/>
          <w:sz w:val="22"/>
          <w:szCs w:val="22"/>
        </w:rPr>
        <w:t>For example, an analysis of Allsop Ground Rent Auctions found that investors have been paying an average 9% capitalisation rate for the ground rent in freehold titles – well above Sportelli’s 6%</w:t>
      </w:r>
      <w:r w:rsidR="00713F71">
        <w:rPr>
          <w:rFonts w:ascii="Calibri Light" w:hAnsi="Calibri Light" w:cs="Calibri Light"/>
          <w:sz w:val="22"/>
          <w:szCs w:val="22"/>
        </w:rPr>
        <w:t xml:space="preserve">. </w:t>
      </w:r>
      <w:r w:rsidRPr="00713F71" w:rsidR="00276A46">
        <w:rPr>
          <w:rFonts w:ascii="Calibri Light" w:hAnsi="Calibri Light" w:cs="Calibri Light"/>
          <w:sz w:val="22"/>
          <w:szCs w:val="22"/>
        </w:rPr>
        <w:t xml:space="preserve">This situation is clearly unfair, and there is significant industry lobbying to keep the deferment and capitalisation rates low, i.e. below the going market rates, so that freeholders continue to be excessively compensated by leaseholders. </w:t>
      </w:r>
    </w:p>
    <w:p w:rsidR="00EE3E73" w:rsidRPr="00EE3E73" w:rsidP="00EE3E73">
      <w:pPr>
        <w:jc w:val="both"/>
        <w:rPr>
          <w:rFonts w:ascii="Calibri Light" w:hAnsi="Calibri Light" w:cs="Calibri Light"/>
          <w:sz w:val="22"/>
          <w:szCs w:val="22"/>
        </w:rPr>
      </w:pPr>
    </w:p>
    <w:p w:rsidR="000A20AD" w:rsidP="000A20AD">
      <w:pPr>
        <w:pStyle w:val="ListParagraph"/>
        <w:numPr>
          <w:ilvl w:val="1"/>
          <w:numId w:val="17"/>
        </w:numPr>
        <w:jc w:val="both"/>
        <w:rPr>
          <w:rFonts w:ascii="Calibri Light" w:hAnsi="Calibri Light" w:cs="Calibri Light"/>
          <w:sz w:val="22"/>
          <w:szCs w:val="22"/>
        </w:rPr>
      </w:pPr>
      <w:r w:rsidRPr="000A20AD">
        <w:rPr>
          <w:rFonts w:ascii="Calibri Light" w:hAnsi="Calibri Light" w:cs="Calibri Light"/>
          <w:sz w:val="22"/>
          <w:szCs w:val="22"/>
        </w:rPr>
        <w:t xml:space="preserve">Once the rates are set in the 2024 Act, they remain fixed for the next ten years, creating a considerable risk of them being set to the disadvantage of leaseholders, who are less organised and resourced than industry interests to influence policy. </w:t>
      </w:r>
      <w:r w:rsidRPr="000A20AD" w:rsidR="00397F12">
        <w:rPr>
          <w:rFonts w:ascii="Calibri Light" w:hAnsi="Calibri Light" w:cs="Calibri Light"/>
          <w:sz w:val="22"/>
          <w:szCs w:val="22"/>
        </w:rPr>
        <w:t>If the rates are set substantially below Sportelli rates, the savings from other provisions of the 2024 Act – such as the removal of marriage value, the 0.1% restriction on ground rents, and the end of the requirement to pay the freeholder’s “reasonable” legal and valuation costs – would be more than cancelled out, leaving leaseholders paying more than they do today under the current rules.</w:t>
      </w:r>
      <w:r w:rsidRPr="00EA7B57" w:rsidR="00EA7B57">
        <w:t xml:space="preserve"> </w:t>
      </w:r>
      <w:r w:rsidRPr="00EA7B57" w:rsidR="00EA7B57">
        <w:rPr>
          <w:rFonts w:ascii="Calibri Light" w:hAnsi="Calibri Light" w:cs="Calibri Light"/>
          <w:sz w:val="22"/>
          <w:szCs w:val="22"/>
        </w:rPr>
        <w:t>This would be both absurd and contrary to Parliament’s intention, in passing the 2024 Act, to make it cheaper to buy the freehold or extend a lease.</w:t>
      </w:r>
    </w:p>
    <w:p w:rsidR="00D9507C" w:rsidRPr="00D9507C" w:rsidP="00D9507C">
      <w:pPr>
        <w:jc w:val="both"/>
        <w:rPr>
          <w:rFonts w:ascii="Calibri Light" w:hAnsi="Calibri Light" w:cs="Calibri Light"/>
          <w:sz w:val="22"/>
          <w:szCs w:val="22"/>
        </w:rPr>
      </w:pPr>
    </w:p>
    <w:p w:rsidR="00E5743A" w:rsidP="00E5743A">
      <w:pPr>
        <w:pStyle w:val="ListParagraph"/>
        <w:numPr>
          <w:ilvl w:val="1"/>
          <w:numId w:val="17"/>
        </w:numPr>
        <w:jc w:val="both"/>
        <w:rPr>
          <w:rFonts w:ascii="Calibri Light" w:hAnsi="Calibri Light" w:cs="Calibri Light"/>
          <w:sz w:val="22"/>
          <w:szCs w:val="22"/>
        </w:rPr>
      </w:pPr>
      <w:r>
        <w:rPr>
          <w:rFonts w:ascii="Calibri Light" w:hAnsi="Calibri Light" w:cs="Calibri Light"/>
          <w:sz w:val="22"/>
          <w:szCs w:val="22"/>
        </w:rPr>
        <w:t>Minister Pennycook</w:t>
      </w:r>
      <w:r w:rsidRPr="000A20AD" w:rsidR="008F14D2">
        <w:rPr>
          <w:rFonts w:ascii="Calibri Light" w:hAnsi="Calibri Light" w:cs="Calibri Light"/>
          <w:sz w:val="22"/>
          <w:szCs w:val="22"/>
        </w:rPr>
        <w:t xml:space="preserve"> highlighted this risk while in opposition during the passage of the 2024 Act, stating that Labour “remain[s] convinced that this government, or a future one, could be lobbied by vested interests to set a deferment rate that will be punitive to leaseholders.”</w:t>
      </w:r>
      <w:r>
        <w:rPr>
          <w:rStyle w:val="FootnoteReference"/>
          <w:rFonts w:ascii="Calibri Light" w:hAnsi="Calibri Light" w:cs="Calibri Light"/>
          <w:sz w:val="22"/>
          <w:szCs w:val="22"/>
        </w:rPr>
        <w:footnoteReference w:id="9"/>
      </w:r>
      <w:r w:rsidRPr="000A20AD" w:rsidR="008F14D2">
        <w:rPr>
          <w:rFonts w:ascii="Calibri Light" w:hAnsi="Calibri Light" w:cs="Calibri Light"/>
          <w:sz w:val="22"/>
          <w:szCs w:val="22"/>
        </w:rPr>
        <w:t xml:space="preserve"> </w:t>
      </w:r>
      <w:r w:rsidR="00D97D1C">
        <w:rPr>
          <w:rFonts w:ascii="Calibri Light" w:hAnsi="Calibri Light" w:cs="Calibri Light"/>
          <w:sz w:val="22"/>
          <w:szCs w:val="22"/>
        </w:rPr>
        <w:t>H</w:t>
      </w:r>
      <w:r w:rsidRPr="000A20AD" w:rsidR="008F14D2">
        <w:rPr>
          <w:rFonts w:ascii="Calibri Light" w:hAnsi="Calibri Light" w:cs="Calibri Light"/>
          <w:sz w:val="22"/>
          <w:szCs w:val="22"/>
        </w:rPr>
        <w:t>e proposed an amendment on the deferment rate to guide the Secretary of State, requiring that “</w:t>
      </w:r>
      <w:r w:rsidR="004E37B1">
        <w:rPr>
          <w:rFonts w:ascii="Calibri Light" w:hAnsi="Calibri Light" w:cs="Calibri Light"/>
          <w:sz w:val="22"/>
          <w:szCs w:val="22"/>
        </w:rPr>
        <w:t>I</w:t>
      </w:r>
      <w:r w:rsidRPr="000A20AD" w:rsidR="008F14D2">
        <w:rPr>
          <w:rFonts w:ascii="Calibri Light" w:hAnsi="Calibri Light" w:cs="Calibri Light"/>
          <w:sz w:val="22"/>
          <w:szCs w:val="22"/>
        </w:rPr>
        <w:t>n setting the deferment rate the Secretary of State must have regard to the desirability of encouraging leaseholders to extend their lease at the lowest possible cost”, although the amendment was not passed.</w:t>
      </w:r>
      <w:r>
        <w:rPr>
          <w:rStyle w:val="FootnoteReference"/>
          <w:rFonts w:ascii="Calibri Light" w:hAnsi="Calibri Light" w:cs="Calibri Light"/>
          <w:sz w:val="22"/>
          <w:szCs w:val="22"/>
        </w:rPr>
        <w:footnoteReference w:id="10"/>
      </w:r>
    </w:p>
    <w:p w:rsidR="00E5743A" w:rsidRPr="00E5743A" w:rsidP="00E5743A">
      <w:pPr>
        <w:pStyle w:val="ListParagraph"/>
        <w:rPr>
          <w:rFonts w:ascii="Calibri Light" w:hAnsi="Calibri Light" w:cs="Calibri Light"/>
          <w:sz w:val="22"/>
          <w:szCs w:val="22"/>
        </w:rPr>
      </w:pPr>
    </w:p>
    <w:p w:rsidR="00E5743A" w:rsidRPr="00E33DBB" w:rsidP="00E5743A">
      <w:pPr>
        <w:pStyle w:val="ListParagraph"/>
        <w:numPr>
          <w:ilvl w:val="1"/>
          <w:numId w:val="17"/>
        </w:numPr>
        <w:jc w:val="both"/>
        <w:rPr>
          <w:rFonts w:ascii="Calibri Light" w:hAnsi="Calibri Light" w:cs="Calibri Light"/>
          <w:sz w:val="22"/>
          <w:szCs w:val="22"/>
        </w:rPr>
      </w:pPr>
      <w:r>
        <w:rPr>
          <w:rFonts w:ascii="Calibri Light" w:hAnsi="Calibri Light" w:cs="Calibri Light"/>
          <w:sz w:val="22"/>
          <w:szCs w:val="22"/>
        </w:rPr>
        <w:t>Our concern that</w:t>
      </w:r>
      <w:r w:rsidRPr="00E5743A">
        <w:rPr>
          <w:rFonts w:ascii="Calibri Light" w:hAnsi="Calibri Light" w:cs="Calibri Light"/>
          <w:sz w:val="22"/>
          <w:szCs w:val="22"/>
        </w:rPr>
        <w:t xml:space="preserve"> enfranchisement rates may be set to favour freeholders at the expense of leaseholders </w:t>
      </w:r>
      <w:r w:rsidR="00405D33">
        <w:rPr>
          <w:rFonts w:ascii="Calibri Light" w:hAnsi="Calibri Light" w:cs="Calibri Light"/>
          <w:sz w:val="22"/>
          <w:szCs w:val="22"/>
        </w:rPr>
        <w:t xml:space="preserve">has </w:t>
      </w:r>
      <w:r w:rsidRPr="00E5743A">
        <w:rPr>
          <w:rFonts w:ascii="Calibri Light" w:hAnsi="Calibri Light" w:cs="Calibri Light"/>
          <w:sz w:val="22"/>
          <w:szCs w:val="22"/>
        </w:rPr>
        <w:t xml:space="preserve">grown following the low-profile announcement that the Law Commission will review the longstanding leaseholder Right of First Refusal in the Landlord and Tenant Act 1987, with a view to diminishing or repealing it to benefit business interests – the only group mentioned in </w:t>
      </w:r>
      <w:r w:rsidR="00510A9D">
        <w:rPr>
          <w:rFonts w:ascii="Calibri Light" w:hAnsi="Calibri Light" w:cs="Calibri Light"/>
          <w:sz w:val="22"/>
          <w:szCs w:val="22"/>
        </w:rPr>
        <w:t>its</w:t>
      </w:r>
      <w:r w:rsidRPr="00E5743A">
        <w:rPr>
          <w:rFonts w:ascii="Calibri Light" w:hAnsi="Calibri Light" w:cs="Calibri Light"/>
          <w:sz w:val="22"/>
          <w:szCs w:val="22"/>
        </w:rPr>
        <w:t xml:space="preserve"> </w:t>
      </w:r>
      <w:r w:rsidR="00586C8A">
        <w:rPr>
          <w:rFonts w:ascii="Calibri Light" w:hAnsi="Calibri Light" w:cs="Calibri Light"/>
          <w:sz w:val="22"/>
          <w:szCs w:val="22"/>
        </w:rPr>
        <w:t xml:space="preserve">Fourteenth Programme of Law Reform </w:t>
      </w:r>
      <w:r w:rsidRPr="00E5743A">
        <w:rPr>
          <w:rFonts w:ascii="Calibri Light" w:hAnsi="Calibri Light" w:cs="Calibri Light"/>
          <w:sz w:val="22"/>
          <w:szCs w:val="22"/>
        </w:rPr>
        <w:t>write-up</w:t>
      </w:r>
      <w:r w:rsidR="00586C8A">
        <w:rPr>
          <w:rFonts w:ascii="Calibri Light" w:hAnsi="Calibri Light" w:cs="Calibri Light"/>
          <w:sz w:val="22"/>
          <w:szCs w:val="22"/>
        </w:rPr>
        <w:t>.</w:t>
      </w:r>
      <w:r>
        <w:rPr>
          <w:rStyle w:val="FootnoteReference"/>
          <w:rFonts w:ascii="Calibri Light" w:hAnsi="Calibri Light" w:cs="Calibri Light"/>
          <w:sz w:val="22"/>
          <w:szCs w:val="22"/>
        </w:rPr>
        <w:footnoteReference w:id="11"/>
      </w:r>
      <w:r w:rsidR="00E36243">
        <w:rPr>
          <w:rFonts w:ascii="Calibri Light" w:hAnsi="Calibri Light" w:cs="Calibri Light"/>
          <w:sz w:val="22"/>
          <w:szCs w:val="22"/>
        </w:rPr>
        <w:t xml:space="preserve"> </w:t>
      </w:r>
      <w:r w:rsidRPr="00E5743A">
        <w:rPr>
          <w:rFonts w:ascii="Calibri Light" w:hAnsi="Calibri Light" w:cs="Calibri Light"/>
          <w:sz w:val="22"/>
          <w:szCs w:val="22"/>
        </w:rPr>
        <w:t>The Commission labels thi</w:t>
      </w:r>
      <w:r w:rsidR="00DE0845">
        <w:rPr>
          <w:rFonts w:ascii="Calibri Light" w:hAnsi="Calibri Light" w:cs="Calibri Light"/>
          <w:sz w:val="22"/>
          <w:szCs w:val="22"/>
        </w:rPr>
        <w:t>s project</w:t>
      </w:r>
      <w:r w:rsidRPr="00E5743A">
        <w:rPr>
          <w:rFonts w:ascii="Calibri Light" w:hAnsi="Calibri Light" w:cs="Calibri Light"/>
          <w:sz w:val="22"/>
          <w:szCs w:val="22"/>
        </w:rPr>
        <w:t xml:space="preserve"> “Commercial Leasehold”, which will discourage residential leaseholders from engaging. Although it </w:t>
      </w:r>
      <w:r w:rsidR="0005000A">
        <w:rPr>
          <w:rFonts w:ascii="Calibri Light" w:hAnsi="Calibri Light" w:cs="Calibri Light"/>
          <w:sz w:val="22"/>
          <w:szCs w:val="22"/>
        </w:rPr>
        <w:t>claims</w:t>
      </w:r>
      <w:r w:rsidRPr="00E5743A">
        <w:rPr>
          <w:rFonts w:ascii="Calibri Light" w:hAnsi="Calibri Light" w:cs="Calibri Light"/>
          <w:sz w:val="22"/>
          <w:szCs w:val="22"/>
        </w:rPr>
        <w:t xml:space="preserve"> that the law will only be considered in terms of commercial premises, the policy will affect </w:t>
      </w:r>
      <w:r w:rsidR="00755215">
        <w:rPr>
          <w:rFonts w:ascii="Calibri Light" w:hAnsi="Calibri Light" w:cs="Calibri Light"/>
          <w:sz w:val="22"/>
          <w:szCs w:val="22"/>
        </w:rPr>
        <w:t xml:space="preserve">residential </w:t>
      </w:r>
      <w:r w:rsidRPr="00E5743A">
        <w:rPr>
          <w:rFonts w:ascii="Calibri Light" w:hAnsi="Calibri Light" w:cs="Calibri Light"/>
          <w:sz w:val="22"/>
          <w:szCs w:val="22"/>
        </w:rPr>
        <w:t xml:space="preserve">leaseholders in mixed-use buildings. </w:t>
      </w:r>
      <w:r w:rsidR="00A04933">
        <w:rPr>
          <w:rFonts w:ascii="Calibri Light" w:hAnsi="Calibri Light" w:cs="Calibri Light"/>
          <w:sz w:val="22"/>
          <w:szCs w:val="22"/>
        </w:rPr>
        <w:t>O</w:t>
      </w:r>
      <w:r w:rsidRPr="00E5743A">
        <w:rPr>
          <w:rFonts w:ascii="Calibri Light" w:hAnsi="Calibri Light" w:cs="Calibri Light"/>
          <w:sz w:val="22"/>
          <w:szCs w:val="22"/>
        </w:rPr>
        <w:t xml:space="preserve">nce the repeal policy is applied to mixed-use buildings, </w:t>
      </w:r>
      <w:r w:rsidR="00532A72">
        <w:rPr>
          <w:rFonts w:ascii="Calibri Light" w:hAnsi="Calibri Light" w:cs="Calibri Light"/>
          <w:sz w:val="22"/>
          <w:szCs w:val="22"/>
        </w:rPr>
        <w:t>there would be nothing to stop</w:t>
      </w:r>
      <w:r w:rsidR="006B686F">
        <w:rPr>
          <w:rFonts w:ascii="Calibri Light" w:hAnsi="Calibri Light" w:cs="Calibri Light"/>
          <w:sz w:val="22"/>
          <w:szCs w:val="22"/>
        </w:rPr>
        <w:t xml:space="preserve"> having it</w:t>
      </w:r>
      <w:r w:rsidRPr="00E5743A">
        <w:rPr>
          <w:rFonts w:ascii="Calibri Light" w:hAnsi="Calibri Light" w:cs="Calibri Light"/>
          <w:sz w:val="22"/>
          <w:szCs w:val="22"/>
        </w:rPr>
        <w:t xml:space="preserve"> extended to wholly residential buildings. This is significant for two reasons. First, there have been no calls for such a repeal;</w:t>
      </w:r>
      <w:r w:rsidR="00183BE9">
        <w:rPr>
          <w:rFonts w:ascii="Calibri Light" w:hAnsi="Calibri Light" w:cs="Calibri Light"/>
          <w:sz w:val="22"/>
          <w:szCs w:val="22"/>
        </w:rPr>
        <w:t xml:space="preserve"> </w:t>
      </w:r>
      <w:r w:rsidRPr="00E5743A">
        <w:rPr>
          <w:rFonts w:ascii="Calibri Light" w:hAnsi="Calibri Light" w:cs="Calibri Light"/>
          <w:sz w:val="22"/>
          <w:szCs w:val="22"/>
        </w:rPr>
        <w:t>in fact, the Commons Housing Select Committee recommended in its March 2019 report</w:t>
      </w:r>
      <w:r w:rsidR="00BE68E5">
        <w:rPr>
          <w:rFonts w:ascii="Calibri Light" w:hAnsi="Calibri Light" w:cs="Calibri Light"/>
          <w:sz w:val="22"/>
          <w:szCs w:val="22"/>
        </w:rPr>
        <w:t xml:space="preserve"> on leasehold</w:t>
      </w:r>
      <w:r w:rsidRPr="00E5743A">
        <w:rPr>
          <w:rFonts w:ascii="Calibri Light" w:hAnsi="Calibri Light" w:cs="Calibri Light"/>
          <w:sz w:val="22"/>
          <w:szCs w:val="22"/>
        </w:rPr>
        <w:t xml:space="preserve"> that the Right of First Refusal be improved and expanded. </w:t>
      </w:r>
      <w:r w:rsidRPr="00EE3573" w:rsidR="00EE3573">
        <w:rPr>
          <w:rFonts w:ascii="Calibri Light" w:hAnsi="Calibri Light" w:cs="Calibri Light"/>
          <w:sz w:val="22"/>
          <w:szCs w:val="22"/>
        </w:rPr>
        <w:t xml:space="preserve">Second, removing the scheme would eliminate a rival and fairer valuation mechanism, leaving leaseholders exposed to </w:t>
      </w:r>
      <w:r w:rsidR="005C55C7">
        <w:rPr>
          <w:rFonts w:ascii="Calibri Light" w:hAnsi="Calibri Light" w:cs="Calibri Light"/>
          <w:sz w:val="22"/>
          <w:szCs w:val="22"/>
        </w:rPr>
        <w:t>above market</w:t>
      </w:r>
      <w:r w:rsidRPr="00EE3573" w:rsidR="00EE3573">
        <w:rPr>
          <w:rFonts w:ascii="Calibri Light" w:hAnsi="Calibri Light" w:cs="Calibri Light"/>
          <w:sz w:val="22"/>
          <w:szCs w:val="22"/>
        </w:rPr>
        <w:t xml:space="preserve"> costs if the government sets enfranchisement rates under the 2024 Act unfavourably.</w:t>
      </w:r>
    </w:p>
    <w:p w:rsidR="00595A61" w:rsidRPr="000545F0" w:rsidP="000545F0">
      <w:pPr>
        <w:jc w:val="both"/>
        <w:rPr>
          <w:rFonts w:ascii="Calibri Light" w:hAnsi="Calibri Light" w:cs="Calibri Light"/>
          <w:sz w:val="22"/>
          <w:szCs w:val="22"/>
        </w:rPr>
      </w:pPr>
    </w:p>
    <w:p w:rsidR="000A20AD" w:rsidP="000A20AD">
      <w:pPr>
        <w:pStyle w:val="ListParagraph"/>
        <w:numPr>
          <w:ilvl w:val="1"/>
          <w:numId w:val="17"/>
        </w:numPr>
        <w:jc w:val="both"/>
        <w:rPr>
          <w:rFonts w:ascii="Calibri Light" w:hAnsi="Calibri Light" w:cs="Calibri Light"/>
          <w:sz w:val="22"/>
          <w:szCs w:val="22"/>
        </w:rPr>
      </w:pPr>
      <w:r w:rsidRPr="000A20AD">
        <w:rPr>
          <w:rFonts w:ascii="Calibri Light" w:hAnsi="Calibri Light" w:cs="Calibri Light"/>
          <w:sz w:val="22"/>
          <w:szCs w:val="22"/>
        </w:rPr>
        <w:t>Free Leaseholders proposes that</w:t>
      </w:r>
      <w:r w:rsidRPr="000A20AD" w:rsidR="00163944">
        <w:rPr>
          <w:rFonts w:ascii="Calibri Light" w:hAnsi="Calibri Light" w:cs="Calibri Light"/>
          <w:sz w:val="22"/>
          <w:szCs w:val="22"/>
        </w:rPr>
        <w:t xml:space="preserve"> </w:t>
      </w:r>
      <w:r w:rsidR="007B69BB">
        <w:rPr>
          <w:rFonts w:ascii="Calibri Light" w:hAnsi="Calibri Light" w:cs="Calibri Light"/>
          <w:sz w:val="22"/>
          <w:szCs w:val="22"/>
        </w:rPr>
        <w:t xml:space="preserve">the final version of the </w:t>
      </w:r>
      <w:r w:rsidRPr="000A20AD" w:rsidR="00163944">
        <w:rPr>
          <w:rFonts w:ascii="Calibri Light" w:hAnsi="Calibri Light" w:cs="Calibri Light"/>
          <w:sz w:val="22"/>
          <w:szCs w:val="22"/>
        </w:rPr>
        <w:t>Bill</w:t>
      </w:r>
      <w:r w:rsidRPr="000A20AD" w:rsidR="00247DAC">
        <w:rPr>
          <w:rFonts w:ascii="Calibri Light" w:hAnsi="Calibri Light" w:cs="Calibri Light"/>
          <w:sz w:val="22"/>
          <w:szCs w:val="22"/>
        </w:rPr>
        <w:t>:</w:t>
      </w:r>
    </w:p>
    <w:p w:rsidR="000A20AD" w:rsidP="000A20AD">
      <w:pPr>
        <w:pStyle w:val="ListParagraph"/>
        <w:ind w:left="360"/>
        <w:jc w:val="both"/>
        <w:rPr>
          <w:rFonts w:ascii="Calibri Light" w:hAnsi="Calibri Light" w:cs="Calibri Light"/>
          <w:sz w:val="22"/>
          <w:szCs w:val="22"/>
        </w:rPr>
      </w:pPr>
    </w:p>
    <w:p w:rsidR="00247DAC" w:rsidRPr="000A20AD" w:rsidP="000A20AD">
      <w:pPr>
        <w:pStyle w:val="ListParagraph"/>
        <w:numPr>
          <w:ilvl w:val="0"/>
          <w:numId w:val="18"/>
        </w:numPr>
        <w:jc w:val="both"/>
        <w:rPr>
          <w:rFonts w:ascii="Calibri Light" w:hAnsi="Calibri Light" w:cs="Calibri Light"/>
          <w:sz w:val="22"/>
          <w:szCs w:val="22"/>
        </w:rPr>
      </w:pPr>
      <w:r w:rsidRPr="000A20AD">
        <w:rPr>
          <w:rFonts w:ascii="Calibri Light" w:hAnsi="Calibri Light" w:cs="Calibri Light"/>
          <w:sz w:val="22"/>
          <w:szCs w:val="22"/>
        </w:rPr>
        <w:t>M</w:t>
      </w:r>
      <w:r w:rsidRPr="000A20AD" w:rsidR="00FF3571">
        <w:rPr>
          <w:rFonts w:ascii="Calibri Light" w:hAnsi="Calibri Light" w:cs="Calibri Light"/>
          <w:sz w:val="22"/>
          <w:szCs w:val="22"/>
        </w:rPr>
        <w:t>ake</w:t>
      </w:r>
      <w:r w:rsidRPr="000A20AD">
        <w:rPr>
          <w:rFonts w:ascii="Calibri Light" w:hAnsi="Calibri Light" w:cs="Calibri Light"/>
          <w:sz w:val="22"/>
          <w:szCs w:val="22"/>
        </w:rPr>
        <w:t>s</w:t>
      </w:r>
      <w:r w:rsidRPr="000A20AD" w:rsidR="00B26EFF">
        <w:rPr>
          <w:rFonts w:ascii="Calibri Light" w:hAnsi="Calibri Light" w:cs="Calibri Light"/>
          <w:sz w:val="22"/>
          <w:szCs w:val="22"/>
        </w:rPr>
        <w:t xml:space="preserve"> explicit</w:t>
      </w:r>
      <w:r w:rsidRPr="000A20AD" w:rsidR="00FF3571">
        <w:rPr>
          <w:rFonts w:ascii="Calibri Light" w:hAnsi="Calibri Light" w:cs="Calibri Light"/>
          <w:sz w:val="22"/>
          <w:szCs w:val="22"/>
        </w:rPr>
        <w:t xml:space="preserve"> that the overriding policy objective of the enfranchisement reforms in the 2024 Act is to reduce the cost for leaseholders of purchasing their freehold or extending a lease, and that there is a statutory duty on the Secretary of State to set rates to achieve this, echoing</w:t>
      </w:r>
      <w:r w:rsidRPr="000A20AD" w:rsidR="00D32793">
        <w:rPr>
          <w:rFonts w:ascii="Calibri Light" w:hAnsi="Calibri Light" w:cs="Calibri Light"/>
          <w:sz w:val="22"/>
          <w:szCs w:val="22"/>
        </w:rPr>
        <w:t xml:space="preserve"> </w:t>
      </w:r>
      <w:r w:rsidR="000E2860">
        <w:rPr>
          <w:rFonts w:ascii="Calibri Light" w:hAnsi="Calibri Light" w:cs="Calibri Light"/>
          <w:sz w:val="22"/>
          <w:szCs w:val="22"/>
        </w:rPr>
        <w:t>Minister</w:t>
      </w:r>
      <w:r w:rsidRPr="000A20AD" w:rsidR="00FF3571">
        <w:rPr>
          <w:rFonts w:ascii="Calibri Light" w:hAnsi="Calibri Light" w:cs="Calibri Light"/>
          <w:sz w:val="22"/>
          <w:szCs w:val="22"/>
        </w:rPr>
        <w:t xml:space="preserve"> Pennycook’s amendment in opposition. </w:t>
      </w:r>
    </w:p>
    <w:p w:rsidR="00163944" w:rsidRPr="000A20AD" w:rsidP="000A20AD">
      <w:pPr>
        <w:ind w:left="360"/>
        <w:jc w:val="both"/>
        <w:rPr>
          <w:rFonts w:ascii="Calibri Light" w:hAnsi="Calibri Light" w:cs="Calibri Light"/>
          <w:sz w:val="22"/>
          <w:szCs w:val="22"/>
        </w:rPr>
      </w:pPr>
    </w:p>
    <w:p w:rsidR="00FF3571" w:rsidRPr="000A20AD" w:rsidP="000A20AD">
      <w:pPr>
        <w:pStyle w:val="ListParagraph"/>
        <w:numPr>
          <w:ilvl w:val="0"/>
          <w:numId w:val="18"/>
        </w:numPr>
        <w:jc w:val="both"/>
        <w:rPr>
          <w:rFonts w:ascii="Calibri Light" w:hAnsi="Calibri Light" w:cs="Calibri Light"/>
          <w:sz w:val="22"/>
          <w:szCs w:val="22"/>
        </w:rPr>
      </w:pPr>
      <w:r w:rsidRPr="000A20AD">
        <w:rPr>
          <w:rFonts w:ascii="Calibri Light" w:hAnsi="Calibri Light" w:cs="Calibri Light"/>
          <w:sz w:val="22"/>
          <w:szCs w:val="22"/>
        </w:rPr>
        <w:t>A</w:t>
      </w:r>
      <w:r w:rsidRPr="000A20AD">
        <w:rPr>
          <w:rFonts w:ascii="Calibri Light" w:hAnsi="Calibri Light" w:cs="Calibri Light"/>
          <w:sz w:val="22"/>
          <w:szCs w:val="22"/>
        </w:rPr>
        <w:t>mend</w:t>
      </w:r>
      <w:r w:rsidRPr="000A20AD" w:rsidR="0053501D">
        <w:rPr>
          <w:rFonts w:ascii="Calibri Light" w:hAnsi="Calibri Light" w:cs="Calibri Light"/>
          <w:sz w:val="22"/>
          <w:szCs w:val="22"/>
        </w:rPr>
        <w:t>s</w:t>
      </w:r>
      <w:r w:rsidRPr="000A20AD">
        <w:rPr>
          <w:rFonts w:ascii="Calibri Light" w:hAnsi="Calibri Light" w:cs="Calibri Light"/>
          <w:sz w:val="22"/>
          <w:szCs w:val="22"/>
        </w:rPr>
        <w:t xml:space="preserve"> the 2024 Act to require that rates </w:t>
      </w:r>
      <w:r w:rsidR="00312782">
        <w:rPr>
          <w:rFonts w:ascii="Calibri Light" w:hAnsi="Calibri Light" w:cs="Calibri Light"/>
          <w:sz w:val="22"/>
          <w:szCs w:val="22"/>
        </w:rPr>
        <w:t>must not</w:t>
      </w:r>
      <w:r w:rsidRPr="000A20AD">
        <w:rPr>
          <w:rFonts w:ascii="Calibri Light" w:hAnsi="Calibri Light" w:cs="Calibri Light"/>
          <w:sz w:val="22"/>
          <w:szCs w:val="22"/>
        </w:rPr>
        <w:t xml:space="preserve"> fall below an absolute floor </w:t>
      </w:r>
      <w:r w:rsidRPr="000A20AD" w:rsidR="00FA5F5C">
        <w:rPr>
          <w:rFonts w:ascii="Calibri Light" w:hAnsi="Calibri Light" w:cs="Calibri Light"/>
          <w:sz w:val="22"/>
          <w:szCs w:val="22"/>
        </w:rPr>
        <w:t xml:space="preserve">of </w:t>
      </w:r>
      <w:r w:rsidRPr="000A20AD">
        <w:rPr>
          <w:rFonts w:ascii="Calibri Light" w:hAnsi="Calibri Light" w:cs="Calibri Light"/>
          <w:sz w:val="22"/>
          <w:szCs w:val="22"/>
        </w:rPr>
        <w:t xml:space="preserve">the Sportelli rates (with the deferment rate </w:t>
      </w:r>
      <w:r w:rsidRPr="000A20AD" w:rsidR="00B7394A">
        <w:rPr>
          <w:rFonts w:ascii="Calibri Light" w:hAnsi="Calibri Light" w:cs="Calibri Light"/>
          <w:sz w:val="22"/>
          <w:szCs w:val="22"/>
        </w:rPr>
        <w:t>of</w:t>
      </w:r>
      <w:r w:rsidRPr="000A20AD">
        <w:rPr>
          <w:rFonts w:ascii="Calibri Light" w:hAnsi="Calibri Light" w:cs="Calibri Light"/>
          <w:sz w:val="22"/>
          <w:szCs w:val="22"/>
        </w:rPr>
        <w:t xml:space="preserve"> 4.75% for houses and 5.0% for flats, and a capitalisation rate of 6.0%). </w:t>
      </w:r>
      <w:r w:rsidRPr="000A20AD" w:rsidR="005B0BDB">
        <w:rPr>
          <w:rFonts w:ascii="Calibri Light" w:hAnsi="Calibri Light" w:cs="Calibri Light"/>
          <w:sz w:val="22"/>
          <w:szCs w:val="22"/>
        </w:rPr>
        <w:t>Leaseholders should benefit from market</w:t>
      </w:r>
      <w:r w:rsidRPr="000A20AD">
        <w:rPr>
          <w:rFonts w:ascii="Calibri Light" w:hAnsi="Calibri Light" w:cs="Calibri Light"/>
          <w:sz w:val="22"/>
          <w:szCs w:val="22"/>
        </w:rPr>
        <w:t xml:space="preserve"> rates</w:t>
      </w:r>
      <w:r w:rsidRPr="000A20AD" w:rsidR="005813AF">
        <w:rPr>
          <w:rFonts w:ascii="Calibri Light" w:hAnsi="Calibri Light" w:cs="Calibri Light"/>
          <w:sz w:val="22"/>
          <w:szCs w:val="22"/>
        </w:rPr>
        <w:t xml:space="preserve">, i.e. those which developers and investors already enjoy being </w:t>
      </w:r>
      <w:r w:rsidRPr="000A20AD">
        <w:rPr>
          <w:rFonts w:ascii="Calibri Light" w:hAnsi="Calibri Light" w:cs="Calibri Light"/>
          <w:sz w:val="22"/>
          <w:szCs w:val="22"/>
        </w:rPr>
        <w:t>significantly above Sportelli</w:t>
      </w:r>
      <w:r w:rsidRPr="000A20AD" w:rsidR="005813AF">
        <w:rPr>
          <w:rFonts w:ascii="Calibri Light" w:hAnsi="Calibri Light" w:cs="Calibri Light"/>
          <w:sz w:val="22"/>
          <w:szCs w:val="22"/>
        </w:rPr>
        <w:t xml:space="preserve">, </w:t>
      </w:r>
      <w:r w:rsidRPr="000A20AD">
        <w:rPr>
          <w:rFonts w:ascii="Calibri Light" w:hAnsi="Calibri Light" w:cs="Calibri Light"/>
          <w:sz w:val="22"/>
          <w:szCs w:val="22"/>
        </w:rPr>
        <w:t xml:space="preserve">to ensure </w:t>
      </w:r>
      <w:r w:rsidRPr="000A20AD" w:rsidR="006042ED">
        <w:rPr>
          <w:rFonts w:ascii="Calibri Light" w:hAnsi="Calibri Light" w:cs="Calibri Light"/>
          <w:sz w:val="22"/>
          <w:szCs w:val="22"/>
        </w:rPr>
        <w:t>that they</w:t>
      </w:r>
      <w:r w:rsidRPr="000A20AD">
        <w:rPr>
          <w:rFonts w:ascii="Calibri Light" w:hAnsi="Calibri Light" w:cs="Calibri Light"/>
          <w:sz w:val="22"/>
          <w:szCs w:val="22"/>
        </w:rPr>
        <w:t xml:space="preserve"> do not pay excessive compensation to freeholders, as occurs under the current system</w:t>
      </w:r>
      <w:r w:rsidRPr="000A20AD" w:rsidR="006042ED">
        <w:rPr>
          <w:rFonts w:ascii="Calibri Light" w:hAnsi="Calibri Light" w:cs="Calibri Light"/>
          <w:sz w:val="22"/>
          <w:szCs w:val="22"/>
        </w:rPr>
        <w:t xml:space="preserve">, </w:t>
      </w:r>
      <w:r w:rsidRPr="000A20AD" w:rsidR="009922DA">
        <w:rPr>
          <w:rFonts w:ascii="Calibri Light" w:hAnsi="Calibri Light" w:cs="Calibri Light"/>
          <w:sz w:val="22"/>
          <w:szCs w:val="22"/>
        </w:rPr>
        <w:t>to buy their freehold or extend a lease</w:t>
      </w:r>
      <w:r w:rsidRPr="000A20AD">
        <w:rPr>
          <w:rFonts w:ascii="Calibri Light" w:hAnsi="Calibri Light" w:cs="Calibri Light"/>
          <w:sz w:val="22"/>
          <w:szCs w:val="22"/>
        </w:rPr>
        <w:t>.</w:t>
      </w:r>
    </w:p>
    <w:p w:rsidR="00204C74" w:rsidP="00EE3573">
      <w:pPr>
        <w:pStyle w:val="ListParagraph"/>
        <w:jc w:val="both"/>
        <w:rPr>
          <w:rFonts w:ascii="Calibri" w:hAnsi="Calibri" w:cs="Calibri"/>
          <w:sz w:val="22"/>
          <w:szCs w:val="22"/>
        </w:rPr>
      </w:pPr>
    </w:p>
    <w:p w:rsidR="00AA75C4" w:rsidRPr="00177226" w:rsidP="00EE3573">
      <w:pPr>
        <w:pStyle w:val="ListParagraph"/>
        <w:numPr>
          <w:ilvl w:val="0"/>
          <w:numId w:val="4"/>
        </w:numPr>
        <w:jc w:val="both"/>
        <w:rPr>
          <w:rFonts w:asciiTheme="majorHAnsi" w:hAnsiTheme="majorHAnsi" w:cstheme="majorHAnsi"/>
          <w:b/>
          <w:bCs/>
          <w:sz w:val="30"/>
          <w:szCs w:val="30"/>
        </w:rPr>
      </w:pPr>
      <w:r w:rsidRPr="00177226">
        <w:rPr>
          <w:rFonts w:asciiTheme="majorHAnsi" w:hAnsiTheme="majorHAnsi" w:cstheme="majorHAnsi"/>
          <w:b/>
          <w:bCs/>
          <w:sz w:val="30"/>
          <w:szCs w:val="30"/>
        </w:rPr>
        <w:t xml:space="preserve">Failure to repeal the shared services exclusion preventing leaseholders in blocks with commercial space </w:t>
      </w:r>
      <w:r w:rsidRPr="00177226" w:rsidR="00DB6999">
        <w:rPr>
          <w:rFonts w:asciiTheme="majorHAnsi" w:hAnsiTheme="majorHAnsi" w:cstheme="majorHAnsi"/>
          <w:b/>
          <w:bCs/>
          <w:sz w:val="30"/>
          <w:szCs w:val="30"/>
        </w:rPr>
        <w:t>(</w:t>
      </w:r>
      <w:r w:rsidRPr="00177226">
        <w:rPr>
          <w:rFonts w:asciiTheme="majorHAnsi" w:hAnsiTheme="majorHAnsi" w:cstheme="majorHAnsi"/>
          <w:b/>
          <w:bCs/>
          <w:sz w:val="30"/>
          <w:szCs w:val="30"/>
        </w:rPr>
        <w:t>who otherwise qualify</w:t>
      </w:r>
      <w:r w:rsidRPr="00177226" w:rsidR="00DB6999">
        <w:rPr>
          <w:rFonts w:asciiTheme="majorHAnsi" w:hAnsiTheme="majorHAnsi" w:cstheme="majorHAnsi"/>
          <w:b/>
          <w:bCs/>
          <w:sz w:val="30"/>
          <w:szCs w:val="30"/>
        </w:rPr>
        <w:t>)</w:t>
      </w:r>
      <w:r w:rsidRPr="00177226">
        <w:rPr>
          <w:rFonts w:asciiTheme="majorHAnsi" w:hAnsiTheme="majorHAnsi" w:cstheme="majorHAnsi"/>
          <w:b/>
          <w:bCs/>
          <w:sz w:val="30"/>
          <w:szCs w:val="30"/>
        </w:rPr>
        <w:t xml:space="preserve"> from buying their freehold</w:t>
      </w:r>
    </w:p>
    <w:p w:rsidR="00875CD9" w:rsidP="00EE3573">
      <w:pPr>
        <w:ind w:left="360"/>
        <w:jc w:val="both"/>
        <w:rPr>
          <w:rFonts w:ascii="Calibri" w:hAnsi="Calibri" w:cs="Calibri"/>
          <w:sz w:val="22"/>
          <w:szCs w:val="22"/>
        </w:rPr>
      </w:pPr>
    </w:p>
    <w:p w:rsidR="00177226" w:rsidP="00EE3573">
      <w:pPr>
        <w:pStyle w:val="ListParagraph"/>
        <w:numPr>
          <w:ilvl w:val="1"/>
          <w:numId w:val="21"/>
        </w:numPr>
        <w:jc w:val="both"/>
        <w:rPr>
          <w:rFonts w:ascii="Calibri Light" w:hAnsi="Calibri Light" w:cs="Calibri Light"/>
          <w:sz w:val="22"/>
          <w:szCs w:val="22"/>
        </w:rPr>
      </w:pPr>
      <w:r w:rsidRPr="00177226">
        <w:rPr>
          <w:rFonts w:ascii="Calibri Light" w:hAnsi="Calibri Light" w:cs="Calibri Light"/>
          <w:sz w:val="22"/>
          <w:szCs w:val="22"/>
        </w:rPr>
        <w:t xml:space="preserve">Leaseholders in blocks with commercial space who would </w:t>
      </w:r>
      <w:r w:rsidRPr="00177226" w:rsidR="00475F66">
        <w:rPr>
          <w:rFonts w:ascii="Calibri Light" w:hAnsi="Calibri Light" w:cs="Calibri Light"/>
          <w:sz w:val="22"/>
          <w:szCs w:val="22"/>
        </w:rPr>
        <w:t>otherwise benefit from the 2024 Act’</w:t>
      </w:r>
      <w:r w:rsidRPr="00177226" w:rsidR="00182379">
        <w:rPr>
          <w:rFonts w:ascii="Calibri Light" w:hAnsi="Calibri Light" w:cs="Calibri Light"/>
          <w:sz w:val="22"/>
          <w:szCs w:val="22"/>
        </w:rPr>
        <w:t>s</w:t>
      </w:r>
      <w:r w:rsidRPr="00177226" w:rsidR="00475F66">
        <w:rPr>
          <w:rFonts w:ascii="Calibri Light" w:hAnsi="Calibri Light" w:cs="Calibri Light"/>
          <w:sz w:val="22"/>
          <w:szCs w:val="22"/>
        </w:rPr>
        <w:t xml:space="preserve"> </w:t>
      </w:r>
      <w:r w:rsidRPr="00177226" w:rsidR="000B2D15">
        <w:rPr>
          <w:rFonts w:ascii="Calibri Light" w:hAnsi="Calibri Light" w:cs="Calibri Light"/>
          <w:sz w:val="22"/>
          <w:szCs w:val="22"/>
        </w:rPr>
        <w:t>lifting</w:t>
      </w:r>
      <w:r w:rsidRPr="00177226" w:rsidR="00475F66">
        <w:rPr>
          <w:rFonts w:ascii="Calibri Light" w:hAnsi="Calibri Light" w:cs="Calibri Light"/>
          <w:sz w:val="22"/>
          <w:szCs w:val="22"/>
        </w:rPr>
        <w:t xml:space="preserve"> of the 25% non-residential premises limit for collective enfranchisement claims</w:t>
      </w:r>
      <w:r w:rsidRPr="00177226" w:rsidR="00094357">
        <w:rPr>
          <w:rFonts w:ascii="Calibri Light" w:hAnsi="Calibri Light" w:cs="Calibri Light"/>
          <w:sz w:val="22"/>
          <w:szCs w:val="22"/>
        </w:rPr>
        <w:t xml:space="preserve"> </w:t>
      </w:r>
      <w:r w:rsidRPr="00177226" w:rsidR="00742636">
        <w:rPr>
          <w:rFonts w:ascii="Calibri Light" w:hAnsi="Calibri Light" w:cs="Calibri Light"/>
          <w:sz w:val="22"/>
          <w:szCs w:val="22"/>
        </w:rPr>
        <w:t xml:space="preserve">to 50% </w:t>
      </w:r>
      <w:r w:rsidRPr="00177226" w:rsidR="00592D2F">
        <w:rPr>
          <w:rFonts w:ascii="Calibri Light" w:hAnsi="Calibri Light" w:cs="Calibri Light"/>
          <w:sz w:val="22"/>
          <w:szCs w:val="22"/>
        </w:rPr>
        <w:t xml:space="preserve">(still to be commenced) </w:t>
      </w:r>
      <w:r w:rsidRPr="00177226" w:rsidR="00475F66">
        <w:rPr>
          <w:rFonts w:ascii="Calibri Light" w:hAnsi="Calibri Light" w:cs="Calibri Light"/>
          <w:sz w:val="22"/>
          <w:szCs w:val="22"/>
        </w:rPr>
        <w:t xml:space="preserve">will be barred from buying their freehold where </w:t>
      </w:r>
      <w:r w:rsidRPr="00177226" w:rsidR="00EA31DE">
        <w:rPr>
          <w:rFonts w:ascii="Calibri Light" w:hAnsi="Calibri Light" w:cs="Calibri Light"/>
          <w:sz w:val="22"/>
          <w:szCs w:val="22"/>
        </w:rPr>
        <w:t xml:space="preserve">there are shared services, sometimes referred to as </w:t>
      </w:r>
      <w:r w:rsidR="00C61540">
        <w:rPr>
          <w:rFonts w:ascii="Calibri Light" w:hAnsi="Calibri Light" w:cs="Calibri Light"/>
          <w:sz w:val="22"/>
          <w:szCs w:val="22"/>
        </w:rPr>
        <w:t>‘</w:t>
      </w:r>
      <w:r w:rsidRPr="00177226" w:rsidR="00EA31DE">
        <w:rPr>
          <w:rFonts w:ascii="Calibri Light" w:hAnsi="Calibri Light" w:cs="Calibri Light"/>
          <w:sz w:val="22"/>
          <w:szCs w:val="22"/>
        </w:rPr>
        <w:t>structural dependency</w:t>
      </w:r>
      <w:r w:rsidRPr="00177226" w:rsidR="0097215C">
        <w:rPr>
          <w:rFonts w:ascii="Calibri Light" w:hAnsi="Calibri Light" w:cs="Calibri Light"/>
          <w:sz w:val="22"/>
          <w:szCs w:val="22"/>
        </w:rPr>
        <w:t xml:space="preserve"> rules</w:t>
      </w:r>
      <w:r w:rsidR="00387C19">
        <w:rPr>
          <w:rFonts w:ascii="Calibri Light" w:hAnsi="Calibri Light" w:cs="Calibri Light"/>
          <w:sz w:val="22"/>
          <w:szCs w:val="22"/>
        </w:rPr>
        <w:t>’</w:t>
      </w:r>
      <w:r w:rsidRPr="00177226" w:rsidR="00EA31DE">
        <w:rPr>
          <w:rFonts w:ascii="Calibri Light" w:hAnsi="Calibri Light" w:cs="Calibri Light"/>
          <w:sz w:val="22"/>
          <w:szCs w:val="22"/>
        </w:rPr>
        <w:t xml:space="preserve">. </w:t>
      </w:r>
    </w:p>
    <w:p w:rsidR="00C61540" w:rsidRPr="00C61540" w:rsidP="005441B2">
      <w:pPr>
        <w:ind w:left="360"/>
        <w:jc w:val="both"/>
        <w:rPr>
          <w:rFonts w:ascii="Calibri Light" w:hAnsi="Calibri Light" w:cs="Calibri Light"/>
          <w:sz w:val="22"/>
          <w:szCs w:val="22"/>
        </w:rPr>
      </w:pPr>
    </w:p>
    <w:p w:rsidR="00177226" w:rsidP="005441B2">
      <w:pPr>
        <w:pStyle w:val="ListParagraph"/>
        <w:numPr>
          <w:ilvl w:val="1"/>
          <w:numId w:val="21"/>
        </w:numPr>
        <w:jc w:val="both"/>
        <w:rPr>
          <w:rFonts w:ascii="Calibri Light" w:hAnsi="Calibri Light" w:cs="Calibri Light"/>
          <w:sz w:val="22"/>
          <w:szCs w:val="22"/>
        </w:rPr>
      </w:pPr>
      <w:r w:rsidRPr="00177226">
        <w:rPr>
          <w:rFonts w:ascii="Calibri Light" w:hAnsi="Calibri Light" w:cs="Calibri Light"/>
          <w:sz w:val="22"/>
          <w:szCs w:val="22"/>
        </w:rPr>
        <w:t>Thi</w:t>
      </w:r>
      <w:r w:rsidRPr="00177226" w:rsidR="00245B8E">
        <w:rPr>
          <w:rFonts w:ascii="Calibri Light" w:hAnsi="Calibri Light" w:cs="Calibri Light"/>
          <w:sz w:val="22"/>
          <w:szCs w:val="22"/>
        </w:rPr>
        <w:t>s</w:t>
      </w:r>
      <w:r w:rsidRPr="00177226">
        <w:rPr>
          <w:rFonts w:ascii="Calibri Light" w:hAnsi="Calibri Light" w:cs="Calibri Light"/>
          <w:sz w:val="22"/>
          <w:szCs w:val="22"/>
        </w:rPr>
        <w:t xml:space="preserve"> problem stems from an arcane </w:t>
      </w:r>
      <w:r w:rsidRPr="00177226" w:rsidR="003E205A">
        <w:rPr>
          <w:rFonts w:ascii="Calibri Light" w:hAnsi="Calibri Light" w:cs="Calibri Light"/>
          <w:sz w:val="22"/>
          <w:szCs w:val="22"/>
        </w:rPr>
        <w:t>policy</w:t>
      </w:r>
      <w:r w:rsidRPr="00177226">
        <w:rPr>
          <w:rFonts w:ascii="Calibri Light" w:hAnsi="Calibri Light" w:cs="Calibri Light"/>
          <w:sz w:val="22"/>
          <w:szCs w:val="22"/>
        </w:rPr>
        <w:t xml:space="preserve"> in the </w:t>
      </w:r>
      <w:r w:rsidRPr="00177226" w:rsidR="009309AD">
        <w:rPr>
          <w:rFonts w:ascii="Calibri Light" w:hAnsi="Calibri Light" w:cs="Calibri Light"/>
          <w:sz w:val="22"/>
          <w:szCs w:val="22"/>
        </w:rPr>
        <w:t>Leasehold Reform, Housing and Urban Development Act 1993</w:t>
      </w:r>
      <w:r w:rsidRPr="00177226" w:rsidR="006C79DD">
        <w:rPr>
          <w:rFonts w:ascii="Calibri Light" w:hAnsi="Calibri Light" w:cs="Calibri Light"/>
          <w:sz w:val="22"/>
          <w:szCs w:val="22"/>
        </w:rPr>
        <w:t xml:space="preserve"> </w:t>
      </w:r>
      <w:r w:rsidR="00453073">
        <w:rPr>
          <w:rFonts w:ascii="Calibri Light" w:hAnsi="Calibri Light" w:cs="Calibri Light"/>
          <w:sz w:val="22"/>
          <w:szCs w:val="22"/>
        </w:rPr>
        <w:t>where</w:t>
      </w:r>
      <w:r w:rsidRPr="00177226" w:rsidR="007451EB">
        <w:rPr>
          <w:rFonts w:ascii="Calibri Light" w:hAnsi="Calibri Light" w:cs="Calibri Light"/>
          <w:sz w:val="22"/>
          <w:szCs w:val="22"/>
        </w:rPr>
        <w:t xml:space="preserve"> </w:t>
      </w:r>
      <w:r w:rsidRPr="00177226" w:rsidR="00513DB2">
        <w:rPr>
          <w:rFonts w:ascii="Calibri Light" w:hAnsi="Calibri Light" w:cs="Calibri Light"/>
          <w:sz w:val="22"/>
          <w:szCs w:val="22"/>
        </w:rPr>
        <w:t xml:space="preserve">the presence of </w:t>
      </w:r>
      <w:r w:rsidRPr="00177226" w:rsidR="00A93400">
        <w:rPr>
          <w:rFonts w:ascii="Calibri Light" w:hAnsi="Calibri Light" w:cs="Calibri Light"/>
          <w:sz w:val="22"/>
          <w:szCs w:val="22"/>
        </w:rPr>
        <w:t>shared services</w:t>
      </w:r>
      <w:r w:rsidRPr="00177226" w:rsidR="00513DB2">
        <w:rPr>
          <w:rFonts w:ascii="Calibri Light" w:hAnsi="Calibri Light" w:cs="Calibri Light"/>
          <w:sz w:val="22"/>
          <w:szCs w:val="22"/>
        </w:rPr>
        <w:t>, defined as “pipes, cables or other fixed installations”, disqualif</w:t>
      </w:r>
      <w:r w:rsidRPr="00177226" w:rsidR="00D36DAD">
        <w:rPr>
          <w:rFonts w:ascii="Calibri Light" w:hAnsi="Calibri Light" w:cs="Calibri Light"/>
          <w:sz w:val="22"/>
          <w:szCs w:val="22"/>
        </w:rPr>
        <w:t>ies</w:t>
      </w:r>
      <w:r w:rsidRPr="00177226" w:rsidR="00513DB2">
        <w:rPr>
          <w:rFonts w:ascii="Calibri Light" w:hAnsi="Calibri Light" w:cs="Calibri Light"/>
          <w:sz w:val="22"/>
          <w:szCs w:val="22"/>
        </w:rPr>
        <w:t xml:space="preserve"> leaseholders in such b</w:t>
      </w:r>
      <w:r w:rsidRPr="00177226" w:rsidR="00244C9C">
        <w:rPr>
          <w:rFonts w:ascii="Calibri Light" w:hAnsi="Calibri Light" w:cs="Calibri Light"/>
          <w:sz w:val="22"/>
          <w:szCs w:val="22"/>
        </w:rPr>
        <w:t xml:space="preserve">uildings from </w:t>
      </w:r>
      <w:r w:rsidRPr="00177226" w:rsidR="0026340E">
        <w:rPr>
          <w:rFonts w:ascii="Calibri Light" w:hAnsi="Calibri Light" w:cs="Calibri Light"/>
          <w:sz w:val="22"/>
          <w:szCs w:val="22"/>
        </w:rPr>
        <w:t>buying their freehold.</w:t>
      </w:r>
    </w:p>
    <w:p w:rsidR="00C61540" w:rsidP="005441B2">
      <w:pPr>
        <w:pStyle w:val="ListParagraph"/>
        <w:jc w:val="both"/>
        <w:rPr>
          <w:rFonts w:ascii="Calibri Light" w:hAnsi="Calibri Light" w:cs="Calibri Light"/>
          <w:sz w:val="22"/>
          <w:szCs w:val="22"/>
        </w:rPr>
      </w:pPr>
    </w:p>
    <w:p w:rsidR="00177226" w:rsidP="005441B2">
      <w:pPr>
        <w:pStyle w:val="ListParagraph"/>
        <w:numPr>
          <w:ilvl w:val="1"/>
          <w:numId w:val="21"/>
        </w:numPr>
        <w:jc w:val="both"/>
        <w:rPr>
          <w:rFonts w:ascii="Calibri Light" w:hAnsi="Calibri Light" w:cs="Calibri Light"/>
          <w:sz w:val="22"/>
          <w:szCs w:val="22"/>
        </w:rPr>
      </w:pPr>
      <w:r w:rsidRPr="00177226">
        <w:rPr>
          <w:rFonts w:ascii="Calibri Light" w:hAnsi="Calibri Light" w:cs="Calibri Light"/>
          <w:sz w:val="22"/>
          <w:szCs w:val="22"/>
        </w:rPr>
        <w:t xml:space="preserve">The </w:t>
      </w:r>
      <w:r w:rsidRPr="00177226" w:rsidR="009D76A8">
        <w:rPr>
          <w:rFonts w:ascii="Calibri Light" w:hAnsi="Calibri Light" w:cs="Calibri Light"/>
          <w:sz w:val="22"/>
          <w:szCs w:val="22"/>
        </w:rPr>
        <w:t>preservation</w:t>
      </w:r>
      <w:r w:rsidRPr="00177226">
        <w:rPr>
          <w:rFonts w:ascii="Calibri Light" w:hAnsi="Calibri Light" w:cs="Calibri Light"/>
          <w:sz w:val="22"/>
          <w:szCs w:val="22"/>
        </w:rPr>
        <w:t xml:space="preserve"> of </w:t>
      </w:r>
      <w:r w:rsidRPr="00177226" w:rsidR="006C79DD">
        <w:rPr>
          <w:rFonts w:ascii="Calibri Light" w:hAnsi="Calibri Light" w:cs="Calibri Light"/>
          <w:sz w:val="22"/>
          <w:szCs w:val="22"/>
        </w:rPr>
        <w:t xml:space="preserve">Section 3, “Premises to which this Chapter applies”, of </w:t>
      </w:r>
      <w:r w:rsidRPr="00177226">
        <w:rPr>
          <w:rFonts w:ascii="Calibri Light" w:hAnsi="Calibri Light" w:cs="Calibri Light"/>
          <w:sz w:val="22"/>
          <w:szCs w:val="22"/>
        </w:rPr>
        <w:t xml:space="preserve">the 1993 Act, especially the shared services exclusion, </w:t>
      </w:r>
      <w:r w:rsidRPr="00177226" w:rsidR="0068638F">
        <w:rPr>
          <w:rFonts w:ascii="Calibri Light" w:hAnsi="Calibri Light" w:cs="Calibri Light"/>
          <w:sz w:val="22"/>
          <w:szCs w:val="22"/>
        </w:rPr>
        <w:t xml:space="preserve">is </w:t>
      </w:r>
      <w:r w:rsidRPr="00177226" w:rsidR="00C37FB4">
        <w:rPr>
          <w:rFonts w:ascii="Calibri Light" w:hAnsi="Calibri Light" w:cs="Calibri Light"/>
          <w:sz w:val="22"/>
          <w:szCs w:val="22"/>
        </w:rPr>
        <w:t>illogical</w:t>
      </w:r>
      <w:r w:rsidRPr="00177226" w:rsidR="0068638F">
        <w:rPr>
          <w:rFonts w:ascii="Calibri Light" w:hAnsi="Calibri Light" w:cs="Calibri Light"/>
          <w:sz w:val="22"/>
          <w:szCs w:val="22"/>
        </w:rPr>
        <w:t xml:space="preserve"> given the rise of mixed-use developments </w:t>
      </w:r>
      <w:r w:rsidRPr="00177226" w:rsidR="00AB5882">
        <w:rPr>
          <w:rFonts w:ascii="Calibri Light" w:hAnsi="Calibri Light" w:cs="Calibri Light"/>
          <w:sz w:val="22"/>
          <w:szCs w:val="22"/>
        </w:rPr>
        <w:t>and</w:t>
      </w:r>
      <w:r w:rsidRPr="00177226" w:rsidR="004602D7">
        <w:rPr>
          <w:rFonts w:ascii="Calibri Light" w:hAnsi="Calibri Light" w:cs="Calibri Light"/>
          <w:sz w:val="22"/>
          <w:szCs w:val="22"/>
        </w:rPr>
        <w:t xml:space="preserve"> </w:t>
      </w:r>
      <w:r w:rsidR="0032409B">
        <w:rPr>
          <w:rFonts w:ascii="Calibri Light" w:hAnsi="Calibri Light" w:cs="Calibri Light"/>
          <w:sz w:val="22"/>
          <w:szCs w:val="22"/>
        </w:rPr>
        <w:t xml:space="preserve">the </w:t>
      </w:r>
      <w:r w:rsidRPr="00177226" w:rsidR="004602D7">
        <w:rPr>
          <w:rFonts w:ascii="Calibri Light" w:hAnsi="Calibri Light" w:cs="Calibri Light"/>
          <w:sz w:val="22"/>
          <w:szCs w:val="22"/>
        </w:rPr>
        <w:t>intention</w:t>
      </w:r>
      <w:r w:rsidRPr="00177226" w:rsidR="00FE4155">
        <w:rPr>
          <w:rFonts w:ascii="Calibri Light" w:hAnsi="Calibri Light" w:cs="Calibri Light"/>
          <w:sz w:val="22"/>
          <w:szCs w:val="22"/>
        </w:rPr>
        <w:t xml:space="preserve"> </w:t>
      </w:r>
      <w:r w:rsidR="0032409B">
        <w:rPr>
          <w:rFonts w:ascii="Calibri Light" w:hAnsi="Calibri Light" w:cs="Calibri Light"/>
          <w:sz w:val="22"/>
          <w:szCs w:val="22"/>
        </w:rPr>
        <w:t>of Parliament</w:t>
      </w:r>
      <w:r w:rsidR="00C4416E">
        <w:rPr>
          <w:rFonts w:ascii="Calibri Light" w:hAnsi="Calibri Light" w:cs="Calibri Light"/>
          <w:sz w:val="22"/>
          <w:szCs w:val="22"/>
        </w:rPr>
        <w:t xml:space="preserve">, </w:t>
      </w:r>
      <w:r w:rsidRPr="00177226" w:rsidR="00FE4155">
        <w:rPr>
          <w:rFonts w:ascii="Calibri Light" w:hAnsi="Calibri Light" w:cs="Calibri Light"/>
          <w:sz w:val="22"/>
          <w:szCs w:val="22"/>
        </w:rPr>
        <w:t xml:space="preserve">with the </w:t>
      </w:r>
      <w:r w:rsidRPr="00177226" w:rsidR="00A936F2">
        <w:rPr>
          <w:rFonts w:ascii="Calibri Light" w:hAnsi="Calibri Light" w:cs="Calibri Light"/>
          <w:sz w:val="22"/>
          <w:szCs w:val="22"/>
        </w:rPr>
        <w:t>2024 Act</w:t>
      </w:r>
      <w:r w:rsidR="00C4416E">
        <w:rPr>
          <w:rFonts w:ascii="Calibri Light" w:hAnsi="Calibri Light" w:cs="Calibri Light"/>
          <w:sz w:val="22"/>
          <w:szCs w:val="22"/>
        </w:rPr>
        <w:t xml:space="preserve">, </w:t>
      </w:r>
      <w:r w:rsidRPr="00177226" w:rsidR="00E7763A">
        <w:rPr>
          <w:rFonts w:ascii="Calibri Light" w:hAnsi="Calibri Light" w:cs="Calibri Light"/>
          <w:sz w:val="22"/>
          <w:szCs w:val="22"/>
        </w:rPr>
        <w:t xml:space="preserve">to help leaseholders in mixed-use buildings </w:t>
      </w:r>
      <w:r w:rsidRPr="00177226" w:rsidR="008B4437">
        <w:rPr>
          <w:rFonts w:ascii="Calibri Light" w:hAnsi="Calibri Light" w:cs="Calibri Light"/>
          <w:sz w:val="22"/>
          <w:szCs w:val="22"/>
        </w:rPr>
        <w:t xml:space="preserve">gain rightful control of their homes </w:t>
      </w:r>
      <w:r w:rsidR="00375B80">
        <w:rPr>
          <w:rFonts w:ascii="Calibri Light" w:hAnsi="Calibri Light" w:cs="Calibri Light"/>
          <w:sz w:val="22"/>
          <w:szCs w:val="22"/>
        </w:rPr>
        <w:t xml:space="preserve">and service charges </w:t>
      </w:r>
      <w:r w:rsidRPr="00177226" w:rsidR="007C703F">
        <w:rPr>
          <w:rFonts w:ascii="Calibri Light" w:hAnsi="Calibri Light" w:cs="Calibri Light"/>
          <w:sz w:val="22"/>
          <w:szCs w:val="22"/>
        </w:rPr>
        <w:t xml:space="preserve">through </w:t>
      </w:r>
      <w:r w:rsidRPr="00177226" w:rsidR="005522EC">
        <w:rPr>
          <w:rFonts w:ascii="Calibri Light" w:hAnsi="Calibri Light" w:cs="Calibri Light"/>
          <w:sz w:val="22"/>
          <w:szCs w:val="22"/>
        </w:rPr>
        <w:t xml:space="preserve">reforms to collective enfranchisement (and Right to Manage) </w:t>
      </w:r>
      <w:r w:rsidRPr="00177226" w:rsidR="00A160F6">
        <w:rPr>
          <w:rFonts w:ascii="Calibri Light" w:hAnsi="Calibri Light" w:cs="Calibri Light"/>
          <w:sz w:val="22"/>
          <w:szCs w:val="22"/>
        </w:rPr>
        <w:t xml:space="preserve">such as </w:t>
      </w:r>
      <w:r w:rsidRPr="00177226" w:rsidR="001A37AA">
        <w:rPr>
          <w:rFonts w:ascii="Calibri Light" w:hAnsi="Calibri Light" w:cs="Calibri Light"/>
          <w:sz w:val="22"/>
          <w:szCs w:val="22"/>
        </w:rPr>
        <w:t>the 50% non-residential premises</w:t>
      </w:r>
      <w:r w:rsidRPr="00177226" w:rsidR="001D777E">
        <w:rPr>
          <w:rFonts w:ascii="Calibri Light" w:hAnsi="Calibri Light" w:cs="Calibri Light"/>
          <w:sz w:val="22"/>
          <w:szCs w:val="22"/>
        </w:rPr>
        <w:t xml:space="preserve"> limit</w:t>
      </w:r>
      <w:r w:rsidRPr="00177226" w:rsidR="00961881">
        <w:rPr>
          <w:rFonts w:ascii="Calibri Light" w:hAnsi="Calibri Light" w:cs="Calibri Light"/>
          <w:sz w:val="22"/>
          <w:szCs w:val="22"/>
        </w:rPr>
        <w:t xml:space="preserve"> </w:t>
      </w:r>
      <w:r w:rsidRPr="00177226" w:rsidR="00312871">
        <w:rPr>
          <w:rFonts w:ascii="Calibri Light" w:hAnsi="Calibri Light" w:cs="Calibri Light"/>
          <w:sz w:val="22"/>
          <w:szCs w:val="22"/>
        </w:rPr>
        <w:t xml:space="preserve">to expand qualifying criteria </w:t>
      </w:r>
      <w:r w:rsidRPr="00177226" w:rsidR="00961881">
        <w:rPr>
          <w:rFonts w:ascii="Calibri Light" w:hAnsi="Calibri Light" w:cs="Calibri Light"/>
          <w:sz w:val="22"/>
          <w:szCs w:val="22"/>
        </w:rPr>
        <w:t>and</w:t>
      </w:r>
      <w:r w:rsidRPr="00177226" w:rsidR="001A37AA">
        <w:rPr>
          <w:rFonts w:ascii="Calibri Light" w:hAnsi="Calibri Light" w:cs="Calibri Light"/>
          <w:sz w:val="22"/>
          <w:szCs w:val="22"/>
        </w:rPr>
        <w:t xml:space="preserve"> mandatory leasebacks on commercial premises to provide a mechanism by which the </w:t>
      </w:r>
      <w:r w:rsidRPr="00177226" w:rsidR="008D6D39">
        <w:rPr>
          <w:rFonts w:ascii="Calibri Light" w:hAnsi="Calibri Light" w:cs="Calibri Light"/>
          <w:sz w:val="22"/>
          <w:szCs w:val="22"/>
        </w:rPr>
        <w:t>leaseholders</w:t>
      </w:r>
      <w:r w:rsidRPr="00177226" w:rsidR="001A37AA">
        <w:rPr>
          <w:rFonts w:ascii="Calibri Light" w:hAnsi="Calibri Light" w:cs="Calibri Light"/>
          <w:sz w:val="22"/>
          <w:szCs w:val="22"/>
        </w:rPr>
        <w:t xml:space="preserve"> can split the flats </w:t>
      </w:r>
      <w:r w:rsidRPr="00177226" w:rsidR="00B71122">
        <w:rPr>
          <w:rFonts w:ascii="Calibri Light" w:hAnsi="Calibri Light" w:cs="Calibri Light"/>
          <w:sz w:val="22"/>
          <w:szCs w:val="22"/>
        </w:rPr>
        <w:t xml:space="preserve">and their side of the building </w:t>
      </w:r>
      <w:r w:rsidRPr="00177226" w:rsidR="001A37AA">
        <w:rPr>
          <w:rFonts w:ascii="Calibri Light" w:hAnsi="Calibri Light" w:cs="Calibri Light"/>
          <w:sz w:val="22"/>
          <w:szCs w:val="22"/>
        </w:rPr>
        <w:t xml:space="preserve">from the commercial </w:t>
      </w:r>
      <w:r w:rsidRPr="00177226" w:rsidR="00247E2F">
        <w:rPr>
          <w:rFonts w:ascii="Calibri Light" w:hAnsi="Calibri Light" w:cs="Calibri Light"/>
          <w:sz w:val="22"/>
          <w:szCs w:val="22"/>
        </w:rPr>
        <w:t>elements</w:t>
      </w:r>
      <w:r w:rsidRPr="00177226" w:rsidR="00A8028F">
        <w:rPr>
          <w:rFonts w:ascii="Calibri Light" w:hAnsi="Calibri Light" w:cs="Calibri Light"/>
          <w:sz w:val="22"/>
          <w:szCs w:val="22"/>
        </w:rPr>
        <w:t xml:space="preserve"> and also afford the freehold purchase. </w:t>
      </w:r>
    </w:p>
    <w:p w:rsidR="00C61540" w:rsidRPr="00C61540" w:rsidP="005441B2">
      <w:pPr>
        <w:ind w:left="360"/>
        <w:jc w:val="both"/>
        <w:rPr>
          <w:rFonts w:ascii="Calibri Light" w:hAnsi="Calibri Light" w:cs="Calibri Light"/>
          <w:sz w:val="22"/>
          <w:szCs w:val="22"/>
        </w:rPr>
      </w:pPr>
    </w:p>
    <w:p w:rsidR="00177226" w:rsidP="005441B2">
      <w:pPr>
        <w:pStyle w:val="ListParagraph"/>
        <w:numPr>
          <w:ilvl w:val="1"/>
          <w:numId w:val="21"/>
        </w:numPr>
        <w:jc w:val="both"/>
        <w:rPr>
          <w:rFonts w:ascii="Calibri Light" w:hAnsi="Calibri Light" w:cs="Calibri Light"/>
          <w:sz w:val="22"/>
          <w:szCs w:val="22"/>
        </w:rPr>
      </w:pPr>
      <w:r>
        <w:rPr>
          <w:rFonts w:ascii="Calibri Light" w:hAnsi="Calibri Light" w:cs="Calibri Light"/>
          <w:sz w:val="22"/>
          <w:szCs w:val="22"/>
        </w:rPr>
        <w:t>It is</w:t>
      </w:r>
      <w:r w:rsidRPr="00177226" w:rsidR="000729A9">
        <w:rPr>
          <w:rFonts w:ascii="Calibri Light" w:hAnsi="Calibri Light" w:cs="Calibri Light"/>
          <w:sz w:val="22"/>
          <w:szCs w:val="22"/>
        </w:rPr>
        <w:t xml:space="preserve"> </w:t>
      </w:r>
      <w:r w:rsidR="00BE0136">
        <w:rPr>
          <w:rFonts w:ascii="Calibri Light" w:hAnsi="Calibri Light" w:cs="Calibri Light"/>
          <w:sz w:val="22"/>
          <w:szCs w:val="22"/>
        </w:rPr>
        <w:t>contradictory</w:t>
      </w:r>
      <w:r w:rsidRPr="00177226" w:rsidR="000729A9">
        <w:rPr>
          <w:rFonts w:ascii="Calibri Light" w:hAnsi="Calibri Light" w:cs="Calibri Light"/>
          <w:sz w:val="22"/>
          <w:szCs w:val="22"/>
        </w:rPr>
        <w:t xml:space="preserve"> that this draft </w:t>
      </w:r>
      <w:r w:rsidRPr="00177226" w:rsidR="00870CEE">
        <w:rPr>
          <w:rFonts w:ascii="Calibri Light" w:hAnsi="Calibri Light" w:cs="Calibri Light"/>
          <w:sz w:val="22"/>
          <w:szCs w:val="22"/>
        </w:rPr>
        <w:t>Bill</w:t>
      </w:r>
      <w:r w:rsidRPr="00177226" w:rsidR="000729A9">
        <w:rPr>
          <w:rFonts w:ascii="Calibri Light" w:hAnsi="Calibri Light" w:cs="Calibri Light"/>
          <w:sz w:val="22"/>
          <w:szCs w:val="22"/>
        </w:rPr>
        <w:t xml:space="preserve"> is bringing forward a second generation commonhold</w:t>
      </w:r>
      <w:r w:rsidRPr="00177226" w:rsidR="00831F0A">
        <w:rPr>
          <w:rFonts w:ascii="Calibri Light" w:hAnsi="Calibri Light" w:cs="Calibri Light"/>
          <w:sz w:val="22"/>
          <w:szCs w:val="22"/>
        </w:rPr>
        <w:t xml:space="preserve"> </w:t>
      </w:r>
      <w:r w:rsidRPr="00177226" w:rsidR="000729A9">
        <w:rPr>
          <w:rFonts w:ascii="Calibri Light" w:hAnsi="Calibri Light" w:cs="Calibri Light"/>
          <w:sz w:val="22"/>
          <w:szCs w:val="22"/>
        </w:rPr>
        <w:t>tailored for mixed-use buildings with sections and separate heads of costs</w:t>
      </w:r>
      <w:r w:rsidRPr="00177226" w:rsidR="00945400">
        <w:rPr>
          <w:rFonts w:ascii="Calibri Light" w:hAnsi="Calibri Light" w:cs="Calibri Light"/>
          <w:sz w:val="22"/>
          <w:szCs w:val="22"/>
        </w:rPr>
        <w:t xml:space="preserve"> </w:t>
      </w:r>
      <w:r w:rsidR="006B2563">
        <w:rPr>
          <w:rFonts w:ascii="Calibri Light" w:hAnsi="Calibri Light" w:cs="Calibri Light"/>
          <w:sz w:val="22"/>
          <w:szCs w:val="22"/>
        </w:rPr>
        <w:t>while still denying</w:t>
      </w:r>
      <w:r w:rsidRPr="00177226" w:rsidR="00945400">
        <w:rPr>
          <w:rFonts w:ascii="Calibri Light" w:hAnsi="Calibri Light" w:cs="Calibri Light"/>
          <w:sz w:val="22"/>
          <w:szCs w:val="22"/>
        </w:rPr>
        <w:t xml:space="preserve"> </w:t>
      </w:r>
      <w:r w:rsidRPr="00177226" w:rsidR="000729A9">
        <w:rPr>
          <w:rFonts w:ascii="Calibri Light" w:hAnsi="Calibri Light" w:cs="Calibri Light"/>
          <w:sz w:val="22"/>
          <w:szCs w:val="22"/>
        </w:rPr>
        <w:t>countless leaseholders in mixed-use blocks</w:t>
      </w:r>
      <w:r w:rsidRPr="00177226" w:rsidR="00247339">
        <w:rPr>
          <w:rFonts w:ascii="Calibri Light" w:hAnsi="Calibri Light" w:cs="Calibri Light"/>
          <w:sz w:val="22"/>
          <w:szCs w:val="22"/>
        </w:rPr>
        <w:t xml:space="preserve"> </w:t>
      </w:r>
      <w:r w:rsidR="00237080">
        <w:rPr>
          <w:rFonts w:ascii="Calibri Light" w:hAnsi="Calibri Light" w:cs="Calibri Light"/>
          <w:sz w:val="22"/>
          <w:szCs w:val="22"/>
        </w:rPr>
        <w:t>from gaining</w:t>
      </w:r>
      <w:r w:rsidRPr="00177226" w:rsidR="00CF1B2A">
        <w:rPr>
          <w:rFonts w:ascii="Calibri Light" w:hAnsi="Calibri Light" w:cs="Calibri Light"/>
          <w:sz w:val="22"/>
          <w:szCs w:val="22"/>
        </w:rPr>
        <w:t xml:space="preserve"> </w:t>
      </w:r>
      <w:r w:rsidRPr="00177226" w:rsidR="00070C9D">
        <w:rPr>
          <w:rFonts w:ascii="Calibri Light" w:hAnsi="Calibri Light" w:cs="Calibri Light"/>
          <w:sz w:val="22"/>
          <w:szCs w:val="22"/>
        </w:rPr>
        <w:t>access to it</w:t>
      </w:r>
      <w:r w:rsidR="000259CB">
        <w:rPr>
          <w:rFonts w:ascii="Calibri Light" w:hAnsi="Calibri Light" w:cs="Calibri Light"/>
          <w:sz w:val="22"/>
          <w:szCs w:val="22"/>
        </w:rPr>
        <w:t xml:space="preserve"> through maintaining the</w:t>
      </w:r>
      <w:r w:rsidRPr="00177226" w:rsidR="001B30E7">
        <w:rPr>
          <w:rFonts w:ascii="Calibri Light" w:hAnsi="Calibri Light" w:cs="Calibri Light"/>
          <w:sz w:val="22"/>
          <w:szCs w:val="22"/>
        </w:rPr>
        <w:t xml:space="preserve"> shared services exclusion </w:t>
      </w:r>
      <w:r w:rsidR="000259CB">
        <w:rPr>
          <w:rFonts w:ascii="Calibri Light" w:hAnsi="Calibri Light" w:cs="Calibri Light"/>
          <w:sz w:val="22"/>
          <w:szCs w:val="22"/>
        </w:rPr>
        <w:t xml:space="preserve">in </w:t>
      </w:r>
      <w:r w:rsidR="00D32D2F">
        <w:rPr>
          <w:rFonts w:ascii="Calibri Light" w:hAnsi="Calibri Light" w:cs="Calibri Light"/>
          <w:sz w:val="22"/>
          <w:szCs w:val="22"/>
        </w:rPr>
        <w:t xml:space="preserve">the </w:t>
      </w:r>
      <w:r w:rsidR="000259CB">
        <w:rPr>
          <w:rFonts w:ascii="Calibri Light" w:hAnsi="Calibri Light" w:cs="Calibri Light"/>
          <w:sz w:val="22"/>
          <w:szCs w:val="22"/>
        </w:rPr>
        <w:t>collective enfranchisement</w:t>
      </w:r>
      <w:r w:rsidR="00D32D2F">
        <w:rPr>
          <w:rFonts w:ascii="Calibri Light" w:hAnsi="Calibri Light" w:cs="Calibri Light"/>
          <w:sz w:val="22"/>
          <w:szCs w:val="22"/>
        </w:rPr>
        <w:t xml:space="preserve"> qualifying criteria</w:t>
      </w:r>
      <w:r w:rsidRPr="00177226" w:rsidR="001B30E7">
        <w:rPr>
          <w:rFonts w:ascii="Calibri Light" w:hAnsi="Calibri Light" w:cs="Calibri Light"/>
          <w:sz w:val="22"/>
          <w:szCs w:val="22"/>
        </w:rPr>
        <w:t>.</w:t>
      </w:r>
    </w:p>
    <w:p w:rsidR="00C61540" w:rsidP="005441B2">
      <w:pPr>
        <w:pStyle w:val="ListParagraph"/>
        <w:jc w:val="both"/>
        <w:rPr>
          <w:rFonts w:ascii="Calibri Light" w:hAnsi="Calibri Light" w:cs="Calibri Light"/>
          <w:sz w:val="22"/>
          <w:szCs w:val="22"/>
        </w:rPr>
      </w:pPr>
    </w:p>
    <w:p w:rsidR="00177226" w:rsidP="005441B2">
      <w:pPr>
        <w:pStyle w:val="ListParagraph"/>
        <w:numPr>
          <w:ilvl w:val="1"/>
          <w:numId w:val="21"/>
        </w:numPr>
        <w:jc w:val="both"/>
        <w:rPr>
          <w:rFonts w:ascii="Calibri Light" w:hAnsi="Calibri Light" w:cs="Calibri Light"/>
          <w:sz w:val="22"/>
          <w:szCs w:val="22"/>
        </w:rPr>
      </w:pPr>
      <w:r>
        <w:rPr>
          <w:rFonts w:ascii="Calibri Light" w:hAnsi="Calibri Light" w:cs="Calibri Light"/>
          <w:sz w:val="22"/>
          <w:szCs w:val="22"/>
        </w:rPr>
        <w:t xml:space="preserve">This exclusion </w:t>
      </w:r>
      <w:r w:rsidR="00D83814">
        <w:rPr>
          <w:rFonts w:ascii="Calibri Light" w:hAnsi="Calibri Light" w:cs="Calibri Light"/>
          <w:sz w:val="22"/>
          <w:szCs w:val="22"/>
        </w:rPr>
        <w:t xml:space="preserve">is </w:t>
      </w:r>
      <w:r w:rsidRPr="00177226" w:rsidR="00A17099">
        <w:rPr>
          <w:rFonts w:ascii="Calibri Light" w:hAnsi="Calibri Light" w:cs="Calibri Light"/>
          <w:sz w:val="22"/>
          <w:szCs w:val="22"/>
        </w:rPr>
        <w:t xml:space="preserve">even more incongruous </w:t>
      </w:r>
      <w:r w:rsidR="00187B95">
        <w:rPr>
          <w:rFonts w:ascii="Calibri Light" w:hAnsi="Calibri Light" w:cs="Calibri Light"/>
          <w:sz w:val="22"/>
          <w:szCs w:val="22"/>
        </w:rPr>
        <w:t xml:space="preserve">given it is not </w:t>
      </w:r>
      <w:r w:rsidR="0084030C">
        <w:rPr>
          <w:rFonts w:ascii="Calibri Light" w:hAnsi="Calibri Light" w:cs="Calibri Light"/>
          <w:sz w:val="22"/>
          <w:szCs w:val="22"/>
        </w:rPr>
        <w:t>present</w:t>
      </w:r>
      <w:r w:rsidRPr="00177226" w:rsidR="00EC0EF8">
        <w:rPr>
          <w:rFonts w:ascii="Calibri Light" w:hAnsi="Calibri Light" w:cs="Calibri Light"/>
          <w:sz w:val="22"/>
          <w:szCs w:val="22"/>
        </w:rPr>
        <w:t xml:space="preserve"> in other schemes of freehold acquisition – </w:t>
      </w:r>
      <w:r w:rsidRPr="00177226" w:rsidR="00152F73">
        <w:rPr>
          <w:rFonts w:ascii="Calibri Light" w:hAnsi="Calibri Light" w:cs="Calibri Light"/>
          <w:sz w:val="22"/>
          <w:szCs w:val="22"/>
        </w:rPr>
        <w:t>‘</w:t>
      </w:r>
      <w:r w:rsidRPr="00177226" w:rsidR="00EC0EF8">
        <w:rPr>
          <w:rFonts w:ascii="Calibri Light" w:hAnsi="Calibri Light" w:cs="Calibri Light"/>
          <w:sz w:val="22"/>
          <w:szCs w:val="22"/>
        </w:rPr>
        <w:t>Right of First Refusal</w:t>
      </w:r>
      <w:r w:rsidRPr="00177226" w:rsidR="00152F73">
        <w:rPr>
          <w:rFonts w:ascii="Calibri Light" w:hAnsi="Calibri Light" w:cs="Calibri Light"/>
          <w:sz w:val="22"/>
          <w:szCs w:val="22"/>
        </w:rPr>
        <w:t>’</w:t>
      </w:r>
      <w:r w:rsidRPr="00177226" w:rsidR="00EC0EF8">
        <w:rPr>
          <w:rFonts w:ascii="Calibri Light" w:hAnsi="Calibri Light" w:cs="Calibri Light"/>
          <w:sz w:val="22"/>
          <w:szCs w:val="22"/>
        </w:rPr>
        <w:t xml:space="preserve"> and </w:t>
      </w:r>
      <w:r w:rsidRPr="00177226" w:rsidR="00152F73">
        <w:rPr>
          <w:rFonts w:ascii="Calibri Light" w:hAnsi="Calibri Light" w:cs="Calibri Light"/>
          <w:sz w:val="22"/>
          <w:szCs w:val="22"/>
        </w:rPr>
        <w:t>‘</w:t>
      </w:r>
      <w:r w:rsidRPr="00177226" w:rsidR="00EC0EF8">
        <w:rPr>
          <w:rFonts w:ascii="Calibri Light" w:hAnsi="Calibri Light" w:cs="Calibri Light"/>
          <w:sz w:val="22"/>
          <w:szCs w:val="22"/>
        </w:rPr>
        <w:t>Acquisition Orders</w:t>
      </w:r>
      <w:r w:rsidRPr="00177226" w:rsidR="00152F73">
        <w:rPr>
          <w:rFonts w:ascii="Calibri Light" w:hAnsi="Calibri Light" w:cs="Calibri Light"/>
          <w:sz w:val="22"/>
          <w:szCs w:val="22"/>
        </w:rPr>
        <w:t>’</w:t>
      </w:r>
      <w:r w:rsidRPr="00177226" w:rsidR="00EC0EF8">
        <w:rPr>
          <w:rFonts w:ascii="Calibri Light" w:hAnsi="Calibri Light" w:cs="Calibri Light"/>
          <w:sz w:val="22"/>
          <w:szCs w:val="22"/>
        </w:rPr>
        <w:t xml:space="preserve"> under the Landlord and Tenant Act 1987</w:t>
      </w:r>
      <w:r w:rsidR="004C02AA">
        <w:rPr>
          <w:rFonts w:ascii="Calibri Light" w:hAnsi="Calibri Light" w:cs="Calibri Light"/>
          <w:sz w:val="22"/>
          <w:szCs w:val="22"/>
        </w:rPr>
        <w:t xml:space="preserve">, </w:t>
      </w:r>
      <w:r w:rsidRPr="00177226" w:rsidR="00BD2DD6">
        <w:rPr>
          <w:rFonts w:ascii="Calibri Light" w:hAnsi="Calibri Light" w:cs="Calibri Light"/>
          <w:sz w:val="22"/>
          <w:szCs w:val="22"/>
        </w:rPr>
        <w:t>significant as the</w:t>
      </w:r>
      <w:r w:rsidRPr="00177226" w:rsidR="00A95364">
        <w:rPr>
          <w:rFonts w:ascii="Calibri Light" w:hAnsi="Calibri Light" w:cs="Calibri Light"/>
          <w:sz w:val="22"/>
          <w:szCs w:val="22"/>
        </w:rPr>
        <w:t xml:space="preserve"> drafters</w:t>
      </w:r>
      <w:r w:rsidR="000E125F">
        <w:rPr>
          <w:rFonts w:ascii="Calibri Light" w:hAnsi="Calibri Light" w:cs="Calibri Light"/>
          <w:sz w:val="22"/>
          <w:szCs w:val="22"/>
        </w:rPr>
        <w:t xml:space="preserve"> of the legislation</w:t>
      </w:r>
      <w:r w:rsidRPr="00177226" w:rsidR="00BD2DD6">
        <w:rPr>
          <w:rFonts w:ascii="Calibri Light" w:hAnsi="Calibri Light" w:cs="Calibri Light"/>
          <w:sz w:val="22"/>
          <w:szCs w:val="22"/>
        </w:rPr>
        <w:t xml:space="preserve"> </w:t>
      </w:r>
      <w:r w:rsidRPr="00177226" w:rsidR="00A95364">
        <w:rPr>
          <w:rFonts w:ascii="Calibri Light" w:hAnsi="Calibri Light" w:cs="Calibri Light"/>
          <w:sz w:val="22"/>
          <w:szCs w:val="22"/>
        </w:rPr>
        <w:t xml:space="preserve">had clearly considered mixed-use buildings </w:t>
      </w:r>
      <w:r w:rsidRPr="00177226" w:rsidR="00FF5FFC">
        <w:rPr>
          <w:rFonts w:ascii="Calibri Light" w:hAnsi="Calibri Light" w:cs="Calibri Light"/>
          <w:sz w:val="22"/>
          <w:szCs w:val="22"/>
        </w:rPr>
        <w:t xml:space="preserve">since </w:t>
      </w:r>
      <w:r w:rsidR="00AC5793">
        <w:rPr>
          <w:rFonts w:ascii="Calibri Light" w:hAnsi="Calibri Light" w:cs="Calibri Light"/>
          <w:sz w:val="22"/>
          <w:szCs w:val="22"/>
        </w:rPr>
        <w:t>it</w:t>
      </w:r>
      <w:r w:rsidRPr="00177226" w:rsidR="00B60CD5">
        <w:rPr>
          <w:rFonts w:ascii="Calibri Light" w:hAnsi="Calibri Light" w:cs="Calibri Light"/>
          <w:sz w:val="22"/>
          <w:szCs w:val="22"/>
        </w:rPr>
        <w:t xml:space="preserve"> involve</w:t>
      </w:r>
      <w:r w:rsidRPr="00177226" w:rsidR="004443EF">
        <w:rPr>
          <w:rFonts w:ascii="Calibri Light" w:hAnsi="Calibri Light" w:cs="Calibri Light"/>
          <w:sz w:val="22"/>
          <w:szCs w:val="22"/>
        </w:rPr>
        <w:t>s</w:t>
      </w:r>
      <w:r w:rsidRPr="00177226" w:rsidR="00B60CD5">
        <w:rPr>
          <w:rFonts w:ascii="Calibri Light" w:hAnsi="Calibri Light" w:cs="Calibri Light"/>
          <w:sz w:val="22"/>
          <w:szCs w:val="22"/>
        </w:rPr>
        <w:t xml:space="preserve"> the</w:t>
      </w:r>
      <w:r w:rsidRPr="00177226" w:rsidR="00407688">
        <w:rPr>
          <w:rFonts w:ascii="Calibri Light" w:hAnsi="Calibri Light" w:cs="Calibri Light"/>
          <w:sz w:val="22"/>
          <w:szCs w:val="22"/>
        </w:rPr>
        <w:t xml:space="preserve"> 50% non-residential premises limit</w:t>
      </w:r>
      <w:r w:rsidRPr="00177226" w:rsidR="00375E8D">
        <w:rPr>
          <w:rFonts w:ascii="Calibri Light" w:hAnsi="Calibri Light" w:cs="Calibri Light"/>
          <w:sz w:val="22"/>
          <w:szCs w:val="22"/>
        </w:rPr>
        <w:t>.</w:t>
      </w:r>
      <w:r w:rsidRPr="00177226" w:rsidR="00D66399">
        <w:rPr>
          <w:rFonts w:ascii="Calibri Light" w:hAnsi="Calibri Light" w:cs="Calibri Light"/>
          <w:sz w:val="22"/>
          <w:szCs w:val="22"/>
        </w:rPr>
        <w:t xml:space="preserve"> </w:t>
      </w:r>
    </w:p>
    <w:p w:rsidR="00C61540" w:rsidP="005441B2">
      <w:pPr>
        <w:pStyle w:val="ListParagraph"/>
        <w:jc w:val="both"/>
        <w:rPr>
          <w:rFonts w:ascii="Calibri Light" w:hAnsi="Calibri Light" w:cs="Calibri Light"/>
          <w:sz w:val="22"/>
          <w:szCs w:val="22"/>
        </w:rPr>
      </w:pPr>
    </w:p>
    <w:p w:rsidR="00177226" w:rsidP="005441B2">
      <w:pPr>
        <w:pStyle w:val="ListParagraph"/>
        <w:numPr>
          <w:ilvl w:val="1"/>
          <w:numId w:val="21"/>
        </w:numPr>
        <w:jc w:val="both"/>
        <w:rPr>
          <w:rFonts w:ascii="Calibri Light" w:hAnsi="Calibri Light" w:cs="Calibri Light"/>
          <w:sz w:val="22"/>
          <w:szCs w:val="22"/>
        </w:rPr>
      </w:pPr>
      <w:r w:rsidRPr="00177226">
        <w:rPr>
          <w:rFonts w:ascii="Calibri Light" w:hAnsi="Calibri Light" w:cs="Calibri Light"/>
          <w:sz w:val="22"/>
          <w:szCs w:val="22"/>
        </w:rPr>
        <w:t xml:space="preserve">The argument about the need to avoid </w:t>
      </w:r>
      <w:r w:rsidRPr="00177226" w:rsidR="008705DD">
        <w:rPr>
          <w:rFonts w:ascii="Calibri Light" w:hAnsi="Calibri Light" w:cs="Calibri Light"/>
          <w:sz w:val="22"/>
          <w:szCs w:val="22"/>
        </w:rPr>
        <w:t>‘</w:t>
      </w:r>
      <w:r w:rsidRPr="00177226">
        <w:rPr>
          <w:rFonts w:ascii="Calibri Light" w:hAnsi="Calibri Light" w:cs="Calibri Light"/>
          <w:sz w:val="22"/>
          <w:szCs w:val="22"/>
        </w:rPr>
        <w:t>flying freeholds</w:t>
      </w:r>
      <w:r w:rsidRPr="00177226" w:rsidR="008705DD">
        <w:rPr>
          <w:rFonts w:ascii="Calibri Light" w:hAnsi="Calibri Light" w:cs="Calibri Light"/>
          <w:sz w:val="22"/>
          <w:szCs w:val="22"/>
        </w:rPr>
        <w:t>’</w:t>
      </w:r>
      <w:r w:rsidRPr="00177226">
        <w:rPr>
          <w:rFonts w:ascii="Calibri Light" w:hAnsi="Calibri Light" w:cs="Calibri Light"/>
          <w:sz w:val="22"/>
          <w:szCs w:val="22"/>
        </w:rPr>
        <w:t xml:space="preserve">, an assumption that </w:t>
      </w:r>
      <w:r w:rsidRPr="00177226" w:rsidR="00A4757B">
        <w:rPr>
          <w:rFonts w:ascii="Calibri Light" w:hAnsi="Calibri Light" w:cs="Calibri Light"/>
          <w:sz w:val="22"/>
          <w:szCs w:val="22"/>
        </w:rPr>
        <w:t xml:space="preserve">allegedly </w:t>
      </w:r>
      <w:r w:rsidRPr="00177226">
        <w:rPr>
          <w:rFonts w:ascii="Calibri Light" w:hAnsi="Calibri Light" w:cs="Calibri Light"/>
          <w:sz w:val="22"/>
          <w:szCs w:val="22"/>
        </w:rPr>
        <w:t xml:space="preserve">underpinned the 1993 Act and </w:t>
      </w:r>
      <w:r w:rsidRPr="00177226" w:rsidR="00474DD0">
        <w:rPr>
          <w:rFonts w:ascii="Calibri Light" w:hAnsi="Calibri Light" w:cs="Calibri Light"/>
          <w:sz w:val="22"/>
          <w:szCs w:val="22"/>
        </w:rPr>
        <w:t xml:space="preserve">which </w:t>
      </w:r>
      <w:r w:rsidRPr="00177226">
        <w:rPr>
          <w:rFonts w:ascii="Calibri Light" w:hAnsi="Calibri Light" w:cs="Calibri Light"/>
          <w:sz w:val="22"/>
          <w:szCs w:val="22"/>
        </w:rPr>
        <w:t xml:space="preserve">pre-dated the rise of </w:t>
      </w:r>
      <w:r w:rsidR="00FC1333">
        <w:rPr>
          <w:rFonts w:ascii="Calibri Light" w:hAnsi="Calibri Light" w:cs="Calibri Light"/>
          <w:sz w:val="22"/>
          <w:szCs w:val="22"/>
        </w:rPr>
        <w:t xml:space="preserve">leasehold </w:t>
      </w:r>
      <w:r w:rsidRPr="00177226">
        <w:rPr>
          <w:rFonts w:ascii="Calibri Light" w:hAnsi="Calibri Light" w:cs="Calibri Light"/>
          <w:sz w:val="22"/>
          <w:szCs w:val="22"/>
        </w:rPr>
        <w:t>mixed-use development</w:t>
      </w:r>
      <w:r w:rsidRPr="00177226" w:rsidR="006C102F">
        <w:rPr>
          <w:rFonts w:ascii="Calibri Light" w:hAnsi="Calibri Light" w:cs="Calibri Light"/>
          <w:sz w:val="22"/>
          <w:szCs w:val="22"/>
        </w:rPr>
        <w:t>s</w:t>
      </w:r>
      <w:r w:rsidRPr="00177226">
        <w:rPr>
          <w:rFonts w:ascii="Calibri Light" w:hAnsi="Calibri Light" w:cs="Calibri Light"/>
          <w:sz w:val="22"/>
          <w:szCs w:val="22"/>
        </w:rPr>
        <w:t xml:space="preserve"> in England, was grossly overstated in the Law Commission’s work and fails to take into account t</w:t>
      </w:r>
      <w:r w:rsidRPr="00177226" w:rsidR="00976FA1">
        <w:rPr>
          <w:rFonts w:ascii="Calibri Light" w:hAnsi="Calibri Light" w:cs="Calibri Light"/>
          <w:sz w:val="22"/>
          <w:szCs w:val="22"/>
        </w:rPr>
        <w:t>wo key points:</w:t>
      </w:r>
      <w:r>
        <w:rPr>
          <w:rFonts w:ascii="Calibri Light" w:hAnsi="Calibri Light" w:cs="Calibri Light"/>
          <w:sz w:val="22"/>
          <w:szCs w:val="22"/>
        </w:rPr>
        <w:t xml:space="preserve"> </w:t>
      </w:r>
    </w:p>
    <w:p w:rsidR="00C61540" w:rsidP="005441B2">
      <w:pPr>
        <w:pStyle w:val="ListParagraph"/>
        <w:jc w:val="both"/>
        <w:rPr>
          <w:rFonts w:ascii="Calibri Light" w:hAnsi="Calibri Light" w:cs="Calibri Light"/>
          <w:sz w:val="22"/>
          <w:szCs w:val="22"/>
        </w:rPr>
      </w:pPr>
    </w:p>
    <w:p w:rsidR="00177226" w:rsidP="005441B2">
      <w:pPr>
        <w:pStyle w:val="ListParagraph"/>
        <w:numPr>
          <w:ilvl w:val="0"/>
          <w:numId w:val="22"/>
        </w:numPr>
        <w:jc w:val="both"/>
        <w:rPr>
          <w:rFonts w:ascii="Calibri Light" w:hAnsi="Calibri Light" w:cs="Calibri Light"/>
          <w:sz w:val="22"/>
          <w:szCs w:val="22"/>
        </w:rPr>
      </w:pPr>
      <w:r w:rsidRPr="00177226">
        <w:rPr>
          <w:rFonts w:ascii="Calibri Light" w:hAnsi="Calibri Light" w:cs="Calibri Light"/>
          <w:sz w:val="22"/>
          <w:szCs w:val="22"/>
        </w:rPr>
        <w:t>M</w:t>
      </w:r>
      <w:r w:rsidRPr="00177226" w:rsidR="00C43334">
        <w:rPr>
          <w:rFonts w:ascii="Calibri Light" w:hAnsi="Calibri Light" w:cs="Calibri Light"/>
          <w:sz w:val="22"/>
          <w:szCs w:val="22"/>
        </w:rPr>
        <w:t>any mixed-use buildings are already subject to residential head leases which separate the flats from the commercial premise</w:t>
      </w:r>
      <w:r w:rsidR="00945534">
        <w:rPr>
          <w:rFonts w:ascii="Calibri Light" w:hAnsi="Calibri Light" w:cs="Calibri Light"/>
          <w:sz w:val="22"/>
          <w:szCs w:val="22"/>
        </w:rPr>
        <w:t>s</w:t>
      </w:r>
      <w:r w:rsidRPr="00177226" w:rsidR="00730053">
        <w:rPr>
          <w:rFonts w:ascii="Calibri Light" w:hAnsi="Calibri Light" w:cs="Calibri Light"/>
          <w:sz w:val="22"/>
          <w:szCs w:val="22"/>
        </w:rPr>
        <w:t>.</w:t>
      </w:r>
      <w:r>
        <w:rPr>
          <w:rFonts w:ascii="Calibri Light" w:hAnsi="Calibri Light" w:cs="Calibri Light"/>
          <w:sz w:val="22"/>
          <w:szCs w:val="22"/>
        </w:rPr>
        <w:t xml:space="preserve"> </w:t>
      </w:r>
    </w:p>
    <w:p w:rsidR="00C61540" w:rsidP="005441B2">
      <w:pPr>
        <w:pStyle w:val="ListParagraph"/>
        <w:ind w:left="1800"/>
        <w:jc w:val="both"/>
        <w:rPr>
          <w:rFonts w:ascii="Calibri Light" w:hAnsi="Calibri Light" w:cs="Calibri Light"/>
          <w:sz w:val="22"/>
          <w:szCs w:val="22"/>
        </w:rPr>
      </w:pPr>
    </w:p>
    <w:p w:rsidR="00177226" w:rsidP="005441B2">
      <w:pPr>
        <w:pStyle w:val="ListParagraph"/>
        <w:numPr>
          <w:ilvl w:val="0"/>
          <w:numId w:val="22"/>
        </w:numPr>
        <w:jc w:val="both"/>
        <w:rPr>
          <w:rFonts w:ascii="Calibri Light" w:hAnsi="Calibri Light" w:cs="Calibri Light"/>
          <w:sz w:val="22"/>
          <w:szCs w:val="22"/>
        </w:rPr>
      </w:pPr>
      <w:r w:rsidRPr="00177226">
        <w:rPr>
          <w:rFonts w:ascii="Calibri Light" w:hAnsi="Calibri Light" w:cs="Calibri Light"/>
          <w:sz w:val="22"/>
          <w:szCs w:val="22"/>
        </w:rPr>
        <w:t>The</w:t>
      </w:r>
      <w:r w:rsidRPr="00177226" w:rsidR="00C43334">
        <w:rPr>
          <w:rFonts w:ascii="Calibri Light" w:hAnsi="Calibri Light" w:cs="Calibri Light"/>
          <w:sz w:val="22"/>
          <w:szCs w:val="22"/>
        </w:rPr>
        <w:t xml:space="preserve"> advent of mandatory 999-year leasebacks of commercial premises to the departing freeholder </w:t>
      </w:r>
      <w:r w:rsidRPr="00177226" w:rsidR="00937525">
        <w:rPr>
          <w:rFonts w:ascii="Calibri Light" w:hAnsi="Calibri Light" w:cs="Calibri Light"/>
          <w:sz w:val="22"/>
          <w:szCs w:val="22"/>
        </w:rPr>
        <w:t xml:space="preserve">to make collective enfranchisement claims viable for leaseholders in mixed-use buildings </w:t>
      </w:r>
      <w:r w:rsidRPr="00177226" w:rsidR="00D81943">
        <w:rPr>
          <w:rFonts w:ascii="Calibri Light" w:hAnsi="Calibri Light" w:cs="Calibri Light"/>
          <w:sz w:val="22"/>
          <w:szCs w:val="22"/>
        </w:rPr>
        <w:t xml:space="preserve">provides a mechanism by which to separate the flats from the </w:t>
      </w:r>
      <w:r w:rsidRPr="00177226" w:rsidR="00DA4DF5">
        <w:rPr>
          <w:rFonts w:ascii="Calibri Light" w:hAnsi="Calibri Light" w:cs="Calibri Light"/>
          <w:sz w:val="22"/>
          <w:szCs w:val="22"/>
        </w:rPr>
        <w:t>commercial premises</w:t>
      </w:r>
      <w:r w:rsidR="00945534">
        <w:rPr>
          <w:rFonts w:ascii="Calibri Light" w:hAnsi="Calibri Light" w:cs="Calibri Light"/>
          <w:sz w:val="22"/>
          <w:szCs w:val="22"/>
        </w:rPr>
        <w:t>.</w:t>
      </w:r>
    </w:p>
    <w:p w:rsidR="00AE6C8E" w:rsidRPr="00AE6C8E" w:rsidP="005441B2">
      <w:pPr>
        <w:jc w:val="both"/>
        <w:rPr>
          <w:rFonts w:ascii="Calibri Light" w:hAnsi="Calibri Light" w:cs="Calibri Light"/>
          <w:sz w:val="22"/>
          <w:szCs w:val="22"/>
        </w:rPr>
      </w:pPr>
    </w:p>
    <w:p w:rsidR="00AB4F0C" w:rsidRPr="00177226" w:rsidP="002A7B2F">
      <w:pPr>
        <w:pStyle w:val="ListParagraph"/>
        <w:numPr>
          <w:ilvl w:val="1"/>
          <w:numId w:val="21"/>
        </w:numPr>
        <w:jc w:val="both"/>
        <w:rPr>
          <w:rFonts w:ascii="Calibri Light" w:hAnsi="Calibri Light" w:cs="Calibri Light"/>
          <w:sz w:val="22"/>
          <w:szCs w:val="22"/>
        </w:rPr>
      </w:pPr>
      <w:r w:rsidRPr="00177226">
        <w:rPr>
          <w:rFonts w:ascii="Calibri Light" w:hAnsi="Calibri Light" w:cs="Calibri Light"/>
          <w:sz w:val="22"/>
          <w:szCs w:val="22"/>
        </w:rPr>
        <w:t xml:space="preserve">In the last Parliament, amendments were raised by parliamentarians </w:t>
      </w:r>
      <w:r w:rsidRPr="00177226" w:rsidR="00071252">
        <w:rPr>
          <w:rFonts w:ascii="Calibri Light" w:hAnsi="Calibri Light" w:cs="Calibri Light"/>
          <w:sz w:val="22"/>
          <w:szCs w:val="22"/>
        </w:rPr>
        <w:t>–</w:t>
      </w:r>
      <w:r w:rsidRPr="00177226">
        <w:rPr>
          <w:rFonts w:ascii="Calibri Light" w:hAnsi="Calibri Light" w:cs="Calibri Light"/>
          <w:sz w:val="22"/>
          <w:szCs w:val="22"/>
        </w:rPr>
        <w:t xml:space="preserve"> from Barry Gardiner to Nickie Aiken and Lord Bailey of Paddington</w:t>
      </w:r>
      <w:r w:rsidRPr="00177226" w:rsidR="00071252">
        <w:rPr>
          <w:rFonts w:ascii="Calibri Light" w:hAnsi="Calibri Light" w:cs="Calibri Light"/>
          <w:sz w:val="22"/>
          <w:szCs w:val="22"/>
        </w:rPr>
        <w:t xml:space="preserve"> –</w:t>
      </w:r>
      <w:r w:rsidRPr="00177226">
        <w:rPr>
          <w:rFonts w:ascii="Calibri Light" w:hAnsi="Calibri Light" w:cs="Calibri Light"/>
          <w:sz w:val="22"/>
          <w:szCs w:val="22"/>
        </w:rPr>
        <w:t xml:space="preserve"> in a bid to repeal the 1993 Act’s unfair shared services exclusion in collective enfranchisement. Those giving evidence to the Public Bill Committee, from Free Leaseholders to Dr James Vitali of Policy Exchange, also urged that action be taken.</w:t>
      </w:r>
    </w:p>
    <w:p w:rsidR="00E46A45" w:rsidP="002A7B2F">
      <w:pPr>
        <w:jc w:val="both"/>
        <w:rPr>
          <w:rFonts w:ascii="Calibri" w:hAnsi="Calibri" w:cs="Calibri"/>
          <w:sz w:val="22"/>
          <w:szCs w:val="22"/>
        </w:rPr>
      </w:pPr>
    </w:p>
    <w:p w:rsidR="00274209" w:rsidRPr="00C813D2" w:rsidP="002A7B2F">
      <w:pPr>
        <w:pStyle w:val="ListParagraph"/>
        <w:numPr>
          <w:ilvl w:val="0"/>
          <w:numId w:val="4"/>
        </w:numPr>
        <w:jc w:val="both"/>
        <w:rPr>
          <w:rFonts w:asciiTheme="majorHAnsi" w:hAnsiTheme="majorHAnsi" w:cstheme="majorHAnsi"/>
          <w:b/>
          <w:bCs/>
          <w:sz w:val="30"/>
          <w:szCs w:val="30"/>
        </w:rPr>
      </w:pPr>
      <w:r w:rsidRPr="00C813D2">
        <w:rPr>
          <w:rFonts w:asciiTheme="majorHAnsi" w:hAnsiTheme="majorHAnsi" w:cstheme="majorHAnsi"/>
          <w:b/>
          <w:bCs/>
          <w:sz w:val="30"/>
          <w:szCs w:val="30"/>
        </w:rPr>
        <w:t>Absence of other long-discussed policies benefiting leaseholders in mixed-use buildings</w:t>
      </w:r>
    </w:p>
    <w:p w:rsidR="00E46A45" w:rsidRPr="00C813D2" w:rsidP="002A7B2F">
      <w:pPr>
        <w:jc w:val="both"/>
        <w:rPr>
          <w:rFonts w:asciiTheme="majorHAnsi" w:hAnsiTheme="majorHAnsi" w:cstheme="majorHAnsi"/>
          <w:sz w:val="22"/>
          <w:szCs w:val="22"/>
        </w:rPr>
      </w:pPr>
    </w:p>
    <w:p w:rsidR="00CA63A7" w:rsidP="002A7B2F">
      <w:pPr>
        <w:pStyle w:val="ListParagraph"/>
        <w:numPr>
          <w:ilvl w:val="1"/>
          <w:numId w:val="4"/>
        </w:numPr>
        <w:jc w:val="both"/>
        <w:rPr>
          <w:rFonts w:asciiTheme="majorHAnsi" w:hAnsiTheme="majorHAnsi" w:cstheme="majorHAnsi"/>
          <w:b/>
          <w:bCs/>
          <w:sz w:val="22"/>
          <w:szCs w:val="22"/>
        </w:rPr>
      </w:pPr>
      <w:r w:rsidRPr="00C813D2">
        <w:rPr>
          <w:rFonts w:asciiTheme="majorHAnsi" w:hAnsiTheme="majorHAnsi" w:cstheme="majorHAnsi"/>
          <w:b/>
          <w:bCs/>
          <w:sz w:val="22"/>
          <w:szCs w:val="22"/>
        </w:rPr>
        <w:t xml:space="preserve">Recovering </w:t>
      </w:r>
      <w:r w:rsidR="00811930">
        <w:rPr>
          <w:rFonts w:asciiTheme="majorHAnsi" w:hAnsiTheme="majorHAnsi" w:cstheme="majorHAnsi"/>
          <w:b/>
          <w:bCs/>
          <w:sz w:val="22"/>
          <w:szCs w:val="22"/>
        </w:rPr>
        <w:t xml:space="preserve">the </w:t>
      </w:r>
      <w:r w:rsidRPr="00C813D2">
        <w:rPr>
          <w:rFonts w:asciiTheme="majorHAnsi" w:hAnsiTheme="majorHAnsi" w:cstheme="majorHAnsi"/>
          <w:b/>
          <w:bCs/>
          <w:sz w:val="22"/>
          <w:szCs w:val="22"/>
        </w:rPr>
        <w:t xml:space="preserve">Section 24 scheme </w:t>
      </w:r>
      <w:r w:rsidRPr="00C813D2" w:rsidR="001B5335">
        <w:rPr>
          <w:rFonts w:asciiTheme="majorHAnsi" w:hAnsiTheme="majorHAnsi" w:cstheme="majorHAnsi"/>
          <w:b/>
          <w:bCs/>
          <w:sz w:val="22"/>
          <w:szCs w:val="22"/>
        </w:rPr>
        <w:t>for</w:t>
      </w:r>
      <w:r w:rsidRPr="00C813D2">
        <w:rPr>
          <w:rFonts w:asciiTheme="majorHAnsi" w:hAnsiTheme="majorHAnsi" w:cstheme="majorHAnsi"/>
          <w:b/>
          <w:bCs/>
          <w:sz w:val="22"/>
          <w:szCs w:val="22"/>
        </w:rPr>
        <w:t xml:space="preserve"> blocks 18 metres</w:t>
      </w:r>
      <w:r w:rsidRPr="00C813D2" w:rsidR="00F316FB">
        <w:rPr>
          <w:rFonts w:asciiTheme="majorHAnsi" w:hAnsiTheme="majorHAnsi" w:cstheme="majorHAnsi"/>
          <w:b/>
          <w:bCs/>
          <w:sz w:val="22"/>
          <w:szCs w:val="22"/>
        </w:rPr>
        <w:t xml:space="preserve"> tall</w:t>
      </w:r>
      <w:r w:rsidRPr="00C813D2">
        <w:rPr>
          <w:rFonts w:asciiTheme="majorHAnsi" w:hAnsiTheme="majorHAnsi" w:cstheme="majorHAnsi"/>
          <w:b/>
          <w:bCs/>
          <w:sz w:val="22"/>
          <w:szCs w:val="22"/>
        </w:rPr>
        <w:t xml:space="preserve"> or higher </w:t>
      </w:r>
      <w:r w:rsidRPr="00C813D2" w:rsidR="0058004D">
        <w:rPr>
          <w:rFonts w:asciiTheme="majorHAnsi" w:hAnsiTheme="majorHAnsi" w:cstheme="majorHAnsi"/>
          <w:b/>
          <w:bCs/>
          <w:sz w:val="22"/>
          <w:szCs w:val="22"/>
        </w:rPr>
        <w:t xml:space="preserve">by </w:t>
      </w:r>
      <w:r w:rsidR="00210A53">
        <w:rPr>
          <w:rFonts w:asciiTheme="majorHAnsi" w:hAnsiTheme="majorHAnsi" w:cstheme="majorHAnsi"/>
          <w:b/>
          <w:bCs/>
          <w:sz w:val="22"/>
          <w:szCs w:val="22"/>
        </w:rPr>
        <w:t>fixing the clash with the</w:t>
      </w:r>
      <w:r w:rsidRPr="00C813D2" w:rsidR="0058004D">
        <w:rPr>
          <w:rFonts w:asciiTheme="majorHAnsi" w:hAnsiTheme="majorHAnsi" w:cstheme="majorHAnsi"/>
          <w:b/>
          <w:bCs/>
          <w:sz w:val="22"/>
          <w:szCs w:val="22"/>
        </w:rPr>
        <w:t xml:space="preserve"> Building Safety Act 2022’s Accountable Person</w:t>
      </w:r>
      <w:r w:rsidRPr="00C813D2" w:rsidR="00E354D8">
        <w:rPr>
          <w:rFonts w:asciiTheme="majorHAnsi" w:hAnsiTheme="majorHAnsi" w:cstheme="majorHAnsi"/>
          <w:b/>
          <w:bCs/>
          <w:sz w:val="22"/>
          <w:szCs w:val="22"/>
        </w:rPr>
        <w:t xml:space="preserve"> regime </w:t>
      </w:r>
    </w:p>
    <w:p w:rsidR="00CA63A7" w:rsidP="00CA63A7">
      <w:pPr>
        <w:pStyle w:val="ListParagraph"/>
        <w:ind w:left="792"/>
        <w:rPr>
          <w:rFonts w:asciiTheme="majorHAnsi" w:hAnsiTheme="majorHAnsi" w:cstheme="majorHAnsi"/>
          <w:b/>
          <w:bCs/>
          <w:sz w:val="22"/>
          <w:szCs w:val="22"/>
        </w:rPr>
      </w:pPr>
    </w:p>
    <w:p w:rsidR="00C87184" w:rsidRPr="00C87184" w:rsidP="00C87184">
      <w:pPr>
        <w:pStyle w:val="ListParagraph"/>
        <w:numPr>
          <w:ilvl w:val="2"/>
          <w:numId w:val="48"/>
        </w:numPr>
        <w:jc w:val="both"/>
        <w:rPr>
          <w:rFonts w:asciiTheme="majorHAnsi" w:hAnsiTheme="majorHAnsi" w:cstheme="majorHAnsi"/>
          <w:b/>
          <w:bCs/>
          <w:sz w:val="22"/>
          <w:szCs w:val="22"/>
        </w:rPr>
      </w:pPr>
      <w:r w:rsidRPr="00C87184">
        <w:rPr>
          <w:rFonts w:ascii="Calibri Light" w:hAnsi="Calibri Light" w:cs="Calibri Light"/>
          <w:sz w:val="22"/>
          <w:szCs w:val="22"/>
        </w:rPr>
        <w:t xml:space="preserve">As confirmed by the Canary Riverside case, a Section 24 </w:t>
      </w:r>
      <w:r w:rsidRPr="00C87184" w:rsidR="00341F42">
        <w:rPr>
          <w:rFonts w:ascii="Calibri Light" w:hAnsi="Calibri Light" w:cs="Calibri Light"/>
          <w:sz w:val="22"/>
          <w:szCs w:val="22"/>
        </w:rPr>
        <w:t>M</w:t>
      </w:r>
      <w:r w:rsidRPr="00C87184">
        <w:rPr>
          <w:rFonts w:ascii="Calibri Light" w:hAnsi="Calibri Light" w:cs="Calibri Light"/>
          <w:sz w:val="22"/>
          <w:szCs w:val="22"/>
        </w:rPr>
        <w:t xml:space="preserve">anager – specially vetted and appointed by the tribunal under the Landlord and Tenant Act 1987 following a finding of fault against the freeholder – is not permitted to serve simultaneously as the Accountable Person, due to the drafting of the Building Safety Act 2022. </w:t>
      </w:r>
      <w:r w:rsidRPr="00C87184" w:rsidR="00B87096">
        <w:rPr>
          <w:rFonts w:ascii="Calibri Light" w:hAnsi="Calibri Light" w:cs="Calibri Light"/>
          <w:sz w:val="22"/>
          <w:szCs w:val="22"/>
        </w:rPr>
        <w:t>T</w:t>
      </w:r>
      <w:r w:rsidRPr="00C87184" w:rsidR="00A7030D">
        <w:rPr>
          <w:rFonts w:ascii="Calibri Light" w:hAnsi="Calibri Light" w:cs="Calibri Light"/>
          <w:sz w:val="22"/>
          <w:szCs w:val="22"/>
        </w:rPr>
        <w:t>his is despite almost every other single kind of actor from</w:t>
      </w:r>
      <w:r w:rsidRPr="00C87184" w:rsidR="00951777">
        <w:rPr>
          <w:rFonts w:ascii="Calibri Light" w:hAnsi="Calibri Light" w:cs="Calibri Light"/>
          <w:sz w:val="22"/>
          <w:szCs w:val="22"/>
        </w:rPr>
        <w:t xml:space="preserve"> freeholders to</w:t>
      </w:r>
      <w:r w:rsidRPr="00C87184" w:rsidR="00B46D73">
        <w:rPr>
          <w:rFonts w:ascii="Calibri Light" w:hAnsi="Calibri Light" w:cs="Calibri Light"/>
          <w:sz w:val="22"/>
          <w:szCs w:val="22"/>
        </w:rPr>
        <w:t xml:space="preserve"> </w:t>
      </w:r>
      <w:r w:rsidRPr="00C87184" w:rsidR="00951777">
        <w:rPr>
          <w:rFonts w:ascii="Calibri Light" w:hAnsi="Calibri Light" w:cs="Calibri Light"/>
          <w:sz w:val="22"/>
          <w:szCs w:val="22"/>
        </w:rPr>
        <w:t xml:space="preserve">Resident Management Companies and non-freehold-owning Right to Manage Companies </w:t>
      </w:r>
      <w:r w:rsidRPr="00C87184" w:rsidR="000C0AF4">
        <w:rPr>
          <w:rFonts w:ascii="Calibri Light" w:hAnsi="Calibri Light" w:cs="Calibri Light"/>
          <w:sz w:val="22"/>
          <w:szCs w:val="22"/>
        </w:rPr>
        <w:t>being allowed to be the AP.</w:t>
      </w:r>
    </w:p>
    <w:p w:rsidR="00C87184" w:rsidRPr="00C87184" w:rsidP="00C87184">
      <w:pPr>
        <w:pStyle w:val="ListParagraph"/>
        <w:numPr>
          <w:ilvl w:val="2"/>
          <w:numId w:val="48"/>
        </w:numPr>
        <w:jc w:val="both"/>
        <w:rPr>
          <w:rFonts w:asciiTheme="majorHAnsi" w:hAnsiTheme="majorHAnsi" w:cstheme="majorHAnsi"/>
          <w:b/>
          <w:bCs/>
          <w:sz w:val="22"/>
          <w:szCs w:val="22"/>
        </w:rPr>
      </w:pPr>
      <w:r w:rsidRPr="00C87184">
        <w:rPr>
          <w:rFonts w:ascii="Calibri Light" w:eastAsia="Times New Roman" w:hAnsi="Calibri Light" w:cs="Calibri Light"/>
          <w:sz w:val="22"/>
          <w:szCs w:val="22"/>
          <w:lang w:eastAsia="en-GB"/>
        </w:rPr>
        <w:t xml:space="preserve">The problem with the policy, which avoided parliamentary scrutiny at the time, is that a building under tribunal protection, where leaseholders’ funds are no longer controlled by a problematic freeholder, now gives that same freeholder, who lost management rights, a deserve domain of power, as the AP, to challenge the independent Section 24 Manager. </w:t>
      </w:r>
      <w:r w:rsidRPr="00C87184" w:rsidR="00CA413C">
        <w:rPr>
          <w:rFonts w:ascii="Calibri Light" w:hAnsi="Calibri Light" w:cs="Calibri Light"/>
          <w:sz w:val="22"/>
          <w:szCs w:val="22"/>
        </w:rPr>
        <w:t xml:space="preserve">This creates split management </w:t>
      </w:r>
      <w:r w:rsidRPr="00C87184" w:rsidR="009E2E7C">
        <w:rPr>
          <w:rFonts w:ascii="Calibri Light" w:hAnsi="Calibri Light" w:cs="Calibri Light"/>
          <w:sz w:val="22"/>
          <w:szCs w:val="22"/>
        </w:rPr>
        <w:t xml:space="preserve">as the freeholder, as AP, is meant to be in charge of “building safety risks”, which could cover everything from </w:t>
      </w:r>
      <w:r w:rsidRPr="00C87184" w:rsidR="00701C2A">
        <w:rPr>
          <w:rFonts w:ascii="Calibri Light" w:hAnsi="Calibri Light" w:cs="Calibri Light"/>
          <w:sz w:val="22"/>
          <w:szCs w:val="22"/>
        </w:rPr>
        <w:t xml:space="preserve">cladding </w:t>
      </w:r>
      <w:r w:rsidRPr="00C87184" w:rsidR="001948A6">
        <w:rPr>
          <w:rFonts w:ascii="Calibri Light" w:hAnsi="Calibri Light" w:cs="Calibri Light"/>
          <w:sz w:val="22"/>
          <w:szCs w:val="22"/>
        </w:rPr>
        <w:t>remediation</w:t>
      </w:r>
      <w:r w:rsidRPr="00C87184" w:rsidR="00701C2A">
        <w:rPr>
          <w:rFonts w:ascii="Calibri Light" w:hAnsi="Calibri Light" w:cs="Calibri Light"/>
          <w:sz w:val="22"/>
          <w:szCs w:val="22"/>
        </w:rPr>
        <w:t xml:space="preserve"> to </w:t>
      </w:r>
      <w:r w:rsidRPr="00C87184" w:rsidR="00980EAA">
        <w:rPr>
          <w:rFonts w:ascii="Calibri Light" w:hAnsi="Calibri Light" w:cs="Calibri Light"/>
          <w:sz w:val="22"/>
          <w:szCs w:val="22"/>
        </w:rPr>
        <w:t xml:space="preserve">the designing of a capital expenditure plan </w:t>
      </w:r>
      <w:r w:rsidRPr="00C87184" w:rsidR="007774A0">
        <w:rPr>
          <w:rFonts w:ascii="Calibri Light" w:hAnsi="Calibri Light" w:cs="Calibri Light"/>
          <w:sz w:val="22"/>
          <w:szCs w:val="22"/>
        </w:rPr>
        <w:t xml:space="preserve">justified on the basis that maintenance of the external glass façade involves management of building safety risks. </w:t>
      </w:r>
    </w:p>
    <w:p w:rsidR="00C87184" w:rsidRPr="00C87184" w:rsidP="00C87184">
      <w:pPr>
        <w:pStyle w:val="ListParagraph"/>
        <w:ind w:left="1428"/>
        <w:jc w:val="both"/>
        <w:rPr>
          <w:rFonts w:asciiTheme="majorHAnsi" w:hAnsiTheme="majorHAnsi" w:cstheme="majorHAnsi"/>
          <w:b/>
          <w:bCs/>
          <w:sz w:val="22"/>
          <w:szCs w:val="22"/>
        </w:rPr>
      </w:pPr>
    </w:p>
    <w:p w:rsidR="00C87184" w:rsidRPr="00C87184" w:rsidP="00C87184">
      <w:pPr>
        <w:pStyle w:val="ListParagraph"/>
        <w:numPr>
          <w:ilvl w:val="2"/>
          <w:numId w:val="48"/>
        </w:numPr>
        <w:jc w:val="both"/>
        <w:rPr>
          <w:rFonts w:asciiTheme="majorHAnsi" w:hAnsiTheme="majorHAnsi" w:cstheme="majorHAnsi"/>
          <w:b/>
          <w:bCs/>
          <w:sz w:val="22"/>
          <w:szCs w:val="22"/>
        </w:rPr>
      </w:pPr>
      <w:r w:rsidRPr="00C87184">
        <w:rPr>
          <w:rFonts w:ascii="Calibri Light" w:hAnsi="Calibri Light" w:cs="Calibri Light"/>
          <w:sz w:val="22"/>
          <w:szCs w:val="22"/>
        </w:rPr>
        <w:t>T</w:t>
      </w:r>
      <w:r w:rsidRPr="00C87184" w:rsidR="009E1F5C">
        <w:rPr>
          <w:rFonts w:ascii="Calibri Light" w:hAnsi="Calibri Light" w:cs="Calibri Light"/>
          <w:sz w:val="22"/>
          <w:szCs w:val="22"/>
        </w:rPr>
        <w:t>he A</w:t>
      </w:r>
      <w:r w:rsidRPr="00C87184" w:rsidR="004E0C46">
        <w:rPr>
          <w:rFonts w:ascii="Calibri Light" w:hAnsi="Calibri Light" w:cs="Calibri Light"/>
          <w:sz w:val="22"/>
          <w:szCs w:val="22"/>
        </w:rPr>
        <w:t>ccountable Person</w:t>
      </w:r>
      <w:r w:rsidRPr="00C87184" w:rsidR="009E1F5C">
        <w:rPr>
          <w:rFonts w:ascii="Calibri Light" w:hAnsi="Calibri Light" w:cs="Calibri Light"/>
          <w:sz w:val="22"/>
          <w:szCs w:val="22"/>
        </w:rPr>
        <w:t xml:space="preserve"> exclusion of Section 24 Managers risks a chilling effect since tribunals will a</w:t>
      </w:r>
      <w:r w:rsidRPr="00C87184" w:rsidR="004B36F0">
        <w:rPr>
          <w:rFonts w:ascii="Calibri Light" w:hAnsi="Calibri Light" w:cs="Calibri Light"/>
          <w:sz w:val="22"/>
          <w:szCs w:val="22"/>
        </w:rPr>
        <w:t xml:space="preserve">void </w:t>
      </w:r>
      <w:r w:rsidRPr="00C87184" w:rsidR="00884C7E">
        <w:rPr>
          <w:rFonts w:ascii="Calibri Light" w:hAnsi="Calibri Light" w:cs="Calibri Light"/>
          <w:sz w:val="22"/>
          <w:szCs w:val="22"/>
        </w:rPr>
        <w:t>granting new</w:t>
      </w:r>
      <w:r w:rsidRPr="00C87184" w:rsidR="004B36F0">
        <w:rPr>
          <w:rFonts w:ascii="Calibri Light" w:hAnsi="Calibri Light" w:cs="Calibri Light"/>
          <w:sz w:val="22"/>
          <w:szCs w:val="22"/>
        </w:rPr>
        <w:t xml:space="preserve"> S</w:t>
      </w:r>
      <w:r w:rsidRPr="00C87184" w:rsidR="00C83CC4">
        <w:rPr>
          <w:rFonts w:ascii="Calibri Light" w:hAnsi="Calibri Light" w:cs="Calibri Light"/>
          <w:sz w:val="22"/>
          <w:szCs w:val="22"/>
        </w:rPr>
        <w:t>24 Management</w:t>
      </w:r>
      <w:r w:rsidRPr="00C87184" w:rsidR="004B36F0">
        <w:rPr>
          <w:rFonts w:ascii="Calibri Light" w:hAnsi="Calibri Light" w:cs="Calibri Light"/>
          <w:sz w:val="22"/>
          <w:szCs w:val="22"/>
        </w:rPr>
        <w:t xml:space="preserve"> Orders </w:t>
      </w:r>
      <w:r w:rsidRPr="00C87184" w:rsidR="00AC1BFE">
        <w:rPr>
          <w:rFonts w:ascii="Calibri Light" w:hAnsi="Calibri Light" w:cs="Calibri Light"/>
          <w:sz w:val="22"/>
          <w:szCs w:val="22"/>
        </w:rPr>
        <w:t>for blocks 18 metres or higher</w:t>
      </w:r>
      <w:r w:rsidRPr="00C87184" w:rsidR="001E698E">
        <w:rPr>
          <w:rFonts w:ascii="Calibri Light" w:hAnsi="Calibri Light" w:cs="Calibri Light"/>
          <w:sz w:val="22"/>
          <w:szCs w:val="22"/>
        </w:rPr>
        <w:t xml:space="preserve"> </w:t>
      </w:r>
      <w:r w:rsidRPr="00C87184" w:rsidR="009E778D">
        <w:rPr>
          <w:rFonts w:ascii="Calibri Light" w:hAnsi="Calibri Light" w:cs="Calibri Light"/>
          <w:sz w:val="22"/>
          <w:szCs w:val="22"/>
        </w:rPr>
        <w:t xml:space="preserve">because of the problems of split management </w:t>
      </w:r>
      <w:r w:rsidRPr="00C87184" w:rsidR="00F23FF6">
        <w:rPr>
          <w:rFonts w:ascii="Calibri Light" w:hAnsi="Calibri Light" w:cs="Calibri Light"/>
          <w:sz w:val="22"/>
          <w:szCs w:val="22"/>
        </w:rPr>
        <w:t xml:space="preserve">meaning it would no longer pass the “just and convenient” test. </w:t>
      </w:r>
    </w:p>
    <w:p w:rsidR="00C87184" w:rsidRPr="00C87184" w:rsidP="00C87184">
      <w:pPr>
        <w:pStyle w:val="ListParagraph"/>
        <w:ind w:left="1428"/>
        <w:jc w:val="both"/>
        <w:rPr>
          <w:rFonts w:asciiTheme="majorHAnsi" w:hAnsiTheme="majorHAnsi" w:cstheme="majorHAnsi"/>
          <w:b/>
          <w:bCs/>
          <w:sz w:val="22"/>
          <w:szCs w:val="22"/>
        </w:rPr>
      </w:pPr>
    </w:p>
    <w:p w:rsidR="00C87184" w:rsidRPr="00C87184" w:rsidP="00C87184">
      <w:pPr>
        <w:pStyle w:val="ListParagraph"/>
        <w:numPr>
          <w:ilvl w:val="2"/>
          <w:numId w:val="48"/>
        </w:numPr>
        <w:jc w:val="both"/>
        <w:rPr>
          <w:rFonts w:asciiTheme="majorHAnsi" w:hAnsiTheme="majorHAnsi" w:cstheme="majorHAnsi"/>
          <w:b/>
          <w:bCs/>
          <w:sz w:val="22"/>
          <w:szCs w:val="22"/>
        </w:rPr>
      </w:pPr>
      <w:r w:rsidRPr="00C87184">
        <w:rPr>
          <w:rFonts w:ascii="Calibri Light" w:hAnsi="Calibri Light" w:cs="Calibri Light"/>
          <w:sz w:val="22"/>
          <w:szCs w:val="22"/>
        </w:rPr>
        <w:t xml:space="preserve">This </w:t>
      </w:r>
      <w:r w:rsidRPr="00C87184" w:rsidR="005A07AD">
        <w:rPr>
          <w:rFonts w:ascii="Calibri Light" w:hAnsi="Calibri Light" w:cs="Calibri Light"/>
          <w:sz w:val="22"/>
          <w:szCs w:val="22"/>
        </w:rPr>
        <w:t xml:space="preserve">blight on </w:t>
      </w:r>
      <w:r w:rsidRPr="00C87184">
        <w:rPr>
          <w:rFonts w:ascii="Calibri Light" w:hAnsi="Calibri Light" w:cs="Calibri Light"/>
          <w:sz w:val="22"/>
          <w:szCs w:val="22"/>
        </w:rPr>
        <w:t xml:space="preserve">the Section 24 scheme </w:t>
      </w:r>
      <w:r w:rsidRPr="00C87184" w:rsidR="00694D12">
        <w:rPr>
          <w:rFonts w:ascii="Calibri Light" w:hAnsi="Calibri Light" w:cs="Calibri Light"/>
          <w:sz w:val="22"/>
          <w:szCs w:val="22"/>
        </w:rPr>
        <w:t xml:space="preserve">was recognised </w:t>
      </w:r>
      <w:r w:rsidRPr="00C87184" w:rsidR="005A07AD">
        <w:rPr>
          <w:rFonts w:ascii="Calibri Light" w:hAnsi="Calibri Light" w:cs="Calibri Light"/>
          <w:sz w:val="22"/>
          <w:szCs w:val="22"/>
        </w:rPr>
        <w:t xml:space="preserve">by the last government who, had Prime Minister Rishi Sunak not called an early general election, </w:t>
      </w:r>
      <w:r w:rsidRPr="00C87184" w:rsidR="00C44275">
        <w:rPr>
          <w:rFonts w:ascii="Calibri Light" w:hAnsi="Calibri Light" w:cs="Calibri Light"/>
          <w:sz w:val="22"/>
          <w:szCs w:val="22"/>
        </w:rPr>
        <w:t xml:space="preserve">would have brought forward amendments to </w:t>
      </w:r>
      <w:r w:rsidRPr="00C87184" w:rsidR="00770557">
        <w:rPr>
          <w:rFonts w:ascii="Calibri Light" w:hAnsi="Calibri Light" w:cs="Calibri Light"/>
          <w:sz w:val="22"/>
          <w:szCs w:val="22"/>
        </w:rPr>
        <w:t xml:space="preserve">what became the 2024 Act to end it. </w:t>
      </w:r>
      <w:r w:rsidRPr="00C87184" w:rsidR="00E718D3">
        <w:rPr>
          <w:rFonts w:ascii="Calibri Light" w:hAnsi="Calibri Light" w:cs="Calibri Light"/>
          <w:sz w:val="22"/>
          <w:szCs w:val="22"/>
        </w:rPr>
        <w:t xml:space="preserve">Similarly, the Labour government’s first deputy prime minister and housing secretary, Angela Rayner, wrote to the Commons Housing Select Committee </w:t>
      </w:r>
      <w:r w:rsidRPr="00C87184" w:rsidR="00464ED4">
        <w:rPr>
          <w:rFonts w:ascii="Calibri Light" w:hAnsi="Calibri Light" w:cs="Calibri Light"/>
          <w:sz w:val="22"/>
          <w:szCs w:val="22"/>
        </w:rPr>
        <w:t xml:space="preserve">in February 2025 </w:t>
      </w:r>
      <w:r w:rsidRPr="00C87184" w:rsidR="00EB55E6">
        <w:rPr>
          <w:rFonts w:ascii="Calibri Light" w:hAnsi="Calibri Light" w:cs="Calibri Light"/>
          <w:sz w:val="22"/>
          <w:szCs w:val="22"/>
        </w:rPr>
        <w:t>announcing</w:t>
      </w:r>
      <w:r w:rsidRPr="00C87184" w:rsidR="0050342E">
        <w:rPr>
          <w:rFonts w:ascii="Calibri Light" w:hAnsi="Calibri Light" w:cs="Calibri Light"/>
          <w:sz w:val="22"/>
          <w:szCs w:val="22"/>
        </w:rPr>
        <w:t xml:space="preserve"> </w:t>
      </w:r>
      <w:r w:rsidRPr="00C87184" w:rsidR="00CC28C7">
        <w:rPr>
          <w:rFonts w:ascii="Calibri Light" w:hAnsi="Calibri Light" w:cs="Calibri Light"/>
          <w:sz w:val="22"/>
          <w:szCs w:val="22"/>
        </w:rPr>
        <w:t xml:space="preserve">that the law would be changed </w:t>
      </w:r>
      <w:r w:rsidRPr="00C87184" w:rsidR="00EB55E6">
        <w:rPr>
          <w:rFonts w:ascii="Calibri Light" w:hAnsi="Calibri Light" w:cs="Calibri Light"/>
          <w:sz w:val="22"/>
          <w:szCs w:val="22"/>
        </w:rPr>
        <w:t xml:space="preserve">as “soon as parliamentary time allows” </w:t>
      </w:r>
      <w:r w:rsidRPr="00C87184" w:rsidR="00CC28C7">
        <w:rPr>
          <w:rFonts w:ascii="Calibri Light" w:hAnsi="Calibri Light" w:cs="Calibri Light"/>
          <w:sz w:val="22"/>
          <w:szCs w:val="22"/>
        </w:rPr>
        <w:t>so that “the First-tier Tribunal [could] give a section 24 building manager responsibilities to remediate a building”.</w:t>
      </w:r>
      <w:r>
        <w:rPr>
          <w:rStyle w:val="FootnoteReference"/>
          <w:rFonts w:ascii="Calibri Light" w:hAnsi="Calibri Light" w:cs="Calibri Light"/>
          <w:sz w:val="22"/>
          <w:szCs w:val="22"/>
        </w:rPr>
        <w:footnoteReference w:id="12"/>
      </w:r>
    </w:p>
    <w:p w:rsidR="00C87184" w:rsidRPr="00C87184" w:rsidP="00C87184">
      <w:pPr>
        <w:pStyle w:val="ListParagraph"/>
        <w:ind w:left="1428"/>
        <w:jc w:val="both"/>
        <w:rPr>
          <w:rFonts w:asciiTheme="majorHAnsi" w:hAnsiTheme="majorHAnsi" w:cstheme="majorHAnsi"/>
          <w:b/>
          <w:bCs/>
          <w:sz w:val="22"/>
          <w:szCs w:val="22"/>
        </w:rPr>
      </w:pPr>
    </w:p>
    <w:p w:rsidR="00E960CE" w:rsidRPr="00C87184" w:rsidP="00C87184">
      <w:pPr>
        <w:pStyle w:val="ListParagraph"/>
        <w:numPr>
          <w:ilvl w:val="2"/>
          <w:numId w:val="48"/>
        </w:numPr>
        <w:jc w:val="both"/>
        <w:rPr>
          <w:rFonts w:asciiTheme="majorHAnsi" w:hAnsiTheme="majorHAnsi" w:cstheme="majorHAnsi"/>
          <w:b/>
          <w:bCs/>
          <w:sz w:val="22"/>
          <w:szCs w:val="22"/>
        </w:rPr>
      </w:pPr>
      <w:r w:rsidRPr="00C87184">
        <w:rPr>
          <w:rFonts w:ascii="Calibri Light" w:hAnsi="Calibri Light" w:cs="Calibri Light"/>
          <w:sz w:val="22"/>
          <w:szCs w:val="22"/>
        </w:rPr>
        <w:t xml:space="preserve">Section 24 </w:t>
      </w:r>
      <w:r w:rsidRPr="00C87184" w:rsidR="003B2AA1">
        <w:rPr>
          <w:rFonts w:ascii="Calibri Light" w:hAnsi="Calibri Light" w:cs="Calibri Light"/>
          <w:sz w:val="22"/>
          <w:szCs w:val="22"/>
        </w:rPr>
        <w:t xml:space="preserve">is a lifeline right for flat leaseholders, especially those who do not qualify </w:t>
      </w:r>
      <w:r w:rsidRPr="00C87184" w:rsidR="00F44B16">
        <w:rPr>
          <w:rFonts w:ascii="Calibri Light" w:hAnsi="Calibri Light" w:cs="Calibri Light"/>
          <w:sz w:val="22"/>
          <w:szCs w:val="22"/>
        </w:rPr>
        <w:t xml:space="preserve">for collective enfranchisement </w:t>
      </w:r>
      <w:r w:rsidRPr="00C87184" w:rsidR="003B2AA1">
        <w:rPr>
          <w:rFonts w:ascii="Calibri Light" w:hAnsi="Calibri Light" w:cs="Calibri Light"/>
          <w:sz w:val="22"/>
          <w:szCs w:val="22"/>
        </w:rPr>
        <w:t>or Right to Manage</w:t>
      </w:r>
      <w:r w:rsidRPr="00C87184" w:rsidR="00E47ECD">
        <w:rPr>
          <w:rFonts w:ascii="Calibri Light" w:hAnsi="Calibri Light" w:cs="Calibri Light"/>
          <w:sz w:val="22"/>
          <w:szCs w:val="22"/>
        </w:rPr>
        <w:t xml:space="preserve"> and it is therefore </w:t>
      </w:r>
      <w:r w:rsidRPr="00C87184" w:rsidR="00491C34">
        <w:rPr>
          <w:rFonts w:ascii="Calibri Light" w:hAnsi="Calibri Light" w:cs="Calibri Light"/>
          <w:sz w:val="22"/>
          <w:szCs w:val="22"/>
        </w:rPr>
        <w:t xml:space="preserve">vital to </w:t>
      </w:r>
      <w:r w:rsidRPr="00C87184" w:rsidR="00F75C48">
        <w:rPr>
          <w:rFonts w:ascii="Calibri Light" w:hAnsi="Calibri Light" w:cs="Calibri Light"/>
          <w:sz w:val="22"/>
          <w:szCs w:val="22"/>
        </w:rPr>
        <w:t xml:space="preserve">allow the Section 24 Manager to take on </w:t>
      </w:r>
      <w:r w:rsidRPr="00C87184" w:rsidR="002C0B13">
        <w:rPr>
          <w:rFonts w:ascii="Calibri Light" w:hAnsi="Calibri Light" w:cs="Calibri Light"/>
          <w:sz w:val="22"/>
          <w:szCs w:val="22"/>
        </w:rPr>
        <w:t xml:space="preserve">the AP </w:t>
      </w:r>
      <w:r w:rsidRPr="00C87184" w:rsidR="002C0B13">
        <w:rPr>
          <w:rFonts w:ascii="Calibri Light" w:hAnsi="Calibri Light" w:cs="Calibri Light"/>
          <w:sz w:val="22"/>
          <w:szCs w:val="22"/>
        </w:rPr>
        <w:t>dutyholder</w:t>
      </w:r>
      <w:r w:rsidRPr="00C87184" w:rsidR="002C0B13">
        <w:rPr>
          <w:rFonts w:ascii="Calibri Light" w:hAnsi="Calibri Light" w:cs="Calibri Light"/>
          <w:sz w:val="22"/>
          <w:szCs w:val="22"/>
        </w:rPr>
        <w:t xml:space="preserve"> responsibilities</w:t>
      </w:r>
      <w:r w:rsidRPr="00C87184" w:rsidR="004D0AFC">
        <w:rPr>
          <w:rFonts w:ascii="Calibri Light" w:hAnsi="Calibri Light" w:cs="Calibri Light"/>
          <w:sz w:val="22"/>
          <w:szCs w:val="22"/>
        </w:rPr>
        <w:t xml:space="preserve">. </w:t>
      </w:r>
    </w:p>
    <w:p w:rsidR="00E960CE" w:rsidRPr="00C813D2" w:rsidP="00D05BD0">
      <w:pPr>
        <w:rPr>
          <w:rFonts w:asciiTheme="majorHAnsi" w:hAnsiTheme="majorHAnsi" w:cstheme="majorHAnsi"/>
          <w:b/>
          <w:bCs/>
          <w:sz w:val="22"/>
          <w:szCs w:val="22"/>
        </w:rPr>
      </w:pPr>
    </w:p>
    <w:p w:rsidR="00C813D2" w:rsidRPr="00343A67" w:rsidP="00794475">
      <w:pPr>
        <w:pStyle w:val="ListParagraph"/>
        <w:numPr>
          <w:ilvl w:val="1"/>
          <w:numId w:val="37"/>
        </w:numPr>
        <w:jc w:val="both"/>
        <w:rPr>
          <w:rFonts w:asciiTheme="majorHAnsi" w:hAnsiTheme="majorHAnsi" w:cstheme="majorHAnsi"/>
          <w:b/>
          <w:bCs/>
          <w:sz w:val="22"/>
          <w:szCs w:val="22"/>
        </w:rPr>
      </w:pPr>
      <w:r w:rsidRPr="00343A67">
        <w:rPr>
          <w:rFonts w:asciiTheme="majorHAnsi" w:hAnsiTheme="majorHAnsi" w:cstheme="majorHAnsi"/>
          <w:b/>
          <w:bCs/>
          <w:sz w:val="22"/>
          <w:szCs w:val="22"/>
        </w:rPr>
        <w:t>Expanding</w:t>
      </w:r>
      <w:r w:rsidRPr="00343A67" w:rsidR="00F361BA">
        <w:rPr>
          <w:rFonts w:asciiTheme="majorHAnsi" w:hAnsiTheme="majorHAnsi" w:cstheme="majorHAnsi"/>
          <w:b/>
          <w:bCs/>
          <w:sz w:val="22"/>
          <w:szCs w:val="22"/>
        </w:rPr>
        <w:t xml:space="preserve"> qualifying criteria by further increasing the non-residential premises limit for collective enfranchisement, thereby enabling access to a commonhold designed for mixed-use developments, and the Right to Manage</w:t>
      </w:r>
    </w:p>
    <w:p w:rsidR="00E960CE" w:rsidRPr="00E960CE" w:rsidP="00E960CE">
      <w:pPr>
        <w:ind w:left="360"/>
        <w:rPr>
          <w:rFonts w:asciiTheme="majorHAnsi" w:hAnsiTheme="majorHAnsi" w:cstheme="majorHAnsi"/>
          <w:b/>
          <w:bCs/>
          <w:sz w:val="22"/>
          <w:szCs w:val="22"/>
        </w:rPr>
      </w:pPr>
    </w:p>
    <w:p w:rsidR="00343A67" w:rsidRPr="00343A67" w:rsidP="00343A67">
      <w:pPr>
        <w:pStyle w:val="ListParagraph"/>
        <w:numPr>
          <w:ilvl w:val="2"/>
          <w:numId w:val="38"/>
        </w:numPr>
        <w:jc w:val="both"/>
        <w:rPr>
          <w:rFonts w:asciiTheme="majorHAnsi" w:hAnsiTheme="majorHAnsi" w:cstheme="majorHAnsi"/>
          <w:b/>
          <w:bCs/>
          <w:sz w:val="22"/>
          <w:szCs w:val="22"/>
        </w:rPr>
      </w:pPr>
      <w:r w:rsidRPr="00343A67">
        <w:rPr>
          <w:rFonts w:asciiTheme="majorHAnsi" w:hAnsiTheme="majorHAnsi" w:cstheme="majorHAnsi"/>
          <w:sz w:val="22"/>
          <w:szCs w:val="22"/>
        </w:rPr>
        <w:t xml:space="preserve">In bringing forward a </w:t>
      </w:r>
      <w:r w:rsidRPr="00343A67" w:rsidR="00512302">
        <w:rPr>
          <w:rFonts w:asciiTheme="majorHAnsi" w:hAnsiTheme="majorHAnsi" w:cstheme="majorHAnsi"/>
          <w:sz w:val="22"/>
          <w:szCs w:val="22"/>
        </w:rPr>
        <w:t>second generation commonhold with sections and separate heads of costs</w:t>
      </w:r>
      <w:r w:rsidRPr="00343A67" w:rsidR="005F4710">
        <w:rPr>
          <w:rFonts w:asciiTheme="majorHAnsi" w:hAnsiTheme="majorHAnsi" w:cstheme="majorHAnsi"/>
          <w:sz w:val="22"/>
          <w:szCs w:val="22"/>
        </w:rPr>
        <w:t xml:space="preserve">, together with </w:t>
      </w:r>
      <w:r w:rsidRPr="00343A67" w:rsidR="00512302">
        <w:rPr>
          <w:rFonts w:asciiTheme="majorHAnsi" w:hAnsiTheme="majorHAnsi" w:cstheme="majorHAnsi"/>
          <w:sz w:val="22"/>
          <w:szCs w:val="22"/>
        </w:rPr>
        <w:t xml:space="preserve">a ban on new leasehold flats </w:t>
      </w:r>
      <w:r w:rsidRPr="00343A67" w:rsidR="00091A11">
        <w:rPr>
          <w:rFonts w:asciiTheme="majorHAnsi" w:hAnsiTheme="majorHAnsi" w:cstheme="majorHAnsi"/>
          <w:sz w:val="22"/>
          <w:szCs w:val="22"/>
        </w:rPr>
        <w:t>with no carve-outs</w:t>
      </w:r>
      <w:r w:rsidRPr="00343A67" w:rsidR="006966A0">
        <w:rPr>
          <w:rFonts w:asciiTheme="majorHAnsi" w:hAnsiTheme="majorHAnsi" w:cstheme="majorHAnsi"/>
          <w:sz w:val="22"/>
          <w:szCs w:val="22"/>
        </w:rPr>
        <w:t xml:space="preserve"> for mixed-use developments</w:t>
      </w:r>
      <w:r w:rsidRPr="00343A67" w:rsidR="00FE0EDA">
        <w:rPr>
          <w:rFonts w:asciiTheme="majorHAnsi" w:hAnsiTheme="majorHAnsi" w:cstheme="majorHAnsi"/>
          <w:sz w:val="22"/>
          <w:szCs w:val="22"/>
        </w:rPr>
        <w:t xml:space="preserve">, this government </w:t>
      </w:r>
      <w:r w:rsidR="00F30A32">
        <w:rPr>
          <w:rFonts w:asciiTheme="majorHAnsi" w:hAnsiTheme="majorHAnsi" w:cstheme="majorHAnsi"/>
          <w:sz w:val="22"/>
          <w:szCs w:val="22"/>
        </w:rPr>
        <w:t xml:space="preserve">correctly </w:t>
      </w:r>
      <w:r w:rsidRPr="00343A67" w:rsidR="00FE0EDA">
        <w:rPr>
          <w:rFonts w:asciiTheme="majorHAnsi" w:hAnsiTheme="majorHAnsi" w:cstheme="majorHAnsi"/>
          <w:sz w:val="22"/>
          <w:szCs w:val="22"/>
        </w:rPr>
        <w:t xml:space="preserve">recognises </w:t>
      </w:r>
      <w:r w:rsidRPr="00343A67" w:rsidR="00BC5971">
        <w:rPr>
          <w:rFonts w:asciiTheme="majorHAnsi" w:hAnsiTheme="majorHAnsi" w:cstheme="majorHAnsi"/>
          <w:sz w:val="22"/>
          <w:szCs w:val="22"/>
        </w:rPr>
        <w:t xml:space="preserve">that </w:t>
      </w:r>
      <w:r w:rsidRPr="00343A67" w:rsidR="00195485">
        <w:rPr>
          <w:rFonts w:asciiTheme="majorHAnsi" w:hAnsiTheme="majorHAnsi" w:cstheme="majorHAnsi"/>
          <w:sz w:val="22"/>
          <w:szCs w:val="22"/>
        </w:rPr>
        <w:t>commonhold</w:t>
      </w:r>
      <w:r w:rsidRPr="00343A67" w:rsidR="005318AA">
        <w:rPr>
          <w:rFonts w:asciiTheme="majorHAnsi" w:hAnsiTheme="majorHAnsi" w:cstheme="majorHAnsi"/>
          <w:sz w:val="22"/>
          <w:szCs w:val="22"/>
        </w:rPr>
        <w:t xml:space="preserve"> </w:t>
      </w:r>
      <w:r w:rsidRPr="00343A67" w:rsidR="00D541CC">
        <w:rPr>
          <w:rFonts w:asciiTheme="majorHAnsi" w:hAnsiTheme="majorHAnsi" w:cstheme="majorHAnsi"/>
          <w:sz w:val="22"/>
          <w:szCs w:val="22"/>
        </w:rPr>
        <w:t>“can, and should, be the default for shared residential flats and mixed-use blocks</w:t>
      </w:r>
      <w:r w:rsidRPr="00343A67" w:rsidR="008343A8">
        <w:rPr>
          <w:rFonts w:asciiTheme="majorHAnsi" w:hAnsiTheme="majorHAnsi" w:cstheme="majorHAnsi"/>
          <w:sz w:val="22"/>
          <w:szCs w:val="22"/>
        </w:rPr>
        <w:t xml:space="preserve">”. </w:t>
      </w:r>
    </w:p>
    <w:p w:rsidR="00343A67" w:rsidRPr="00343A67" w:rsidP="00343A67">
      <w:pPr>
        <w:pStyle w:val="ListParagraph"/>
        <w:jc w:val="both"/>
        <w:rPr>
          <w:rFonts w:asciiTheme="majorHAnsi" w:hAnsiTheme="majorHAnsi" w:cstheme="majorHAnsi"/>
          <w:b/>
          <w:bCs/>
          <w:sz w:val="22"/>
          <w:szCs w:val="22"/>
        </w:rPr>
      </w:pPr>
    </w:p>
    <w:p w:rsidR="00343A67" w:rsidRPr="00343A67" w:rsidP="00343A67">
      <w:pPr>
        <w:pStyle w:val="ListParagraph"/>
        <w:numPr>
          <w:ilvl w:val="2"/>
          <w:numId w:val="38"/>
        </w:numPr>
        <w:jc w:val="both"/>
        <w:rPr>
          <w:rFonts w:asciiTheme="majorHAnsi" w:hAnsiTheme="majorHAnsi" w:cstheme="majorHAnsi"/>
          <w:b/>
          <w:bCs/>
          <w:sz w:val="22"/>
          <w:szCs w:val="22"/>
        </w:rPr>
      </w:pPr>
      <w:r w:rsidRPr="00343A67">
        <w:rPr>
          <w:rFonts w:asciiTheme="majorHAnsi" w:hAnsiTheme="majorHAnsi" w:cstheme="majorHAnsi"/>
          <w:sz w:val="22"/>
          <w:szCs w:val="22"/>
        </w:rPr>
        <w:t xml:space="preserve">Parliament’s approach to leaseholders in mixed-use blocks has shifted over time. Initially, blocks with up to 50% of internal floor space occupied by non-residential premises could claim their freehold under </w:t>
      </w:r>
      <w:r w:rsidRPr="00343A67" w:rsidR="009709D2">
        <w:rPr>
          <w:rFonts w:asciiTheme="majorHAnsi" w:hAnsiTheme="majorHAnsi" w:cstheme="majorHAnsi"/>
          <w:sz w:val="22"/>
          <w:szCs w:val="22"/>
        </w:rPr>
        <w:t>two schemes</w:t>
      </w:r>
      <w:r w:rsidRPr="00343A67">
        <w:rPr>
          <w:rFonts w:asciiTheme="majorHAnsi" w:hAnsiTheme="majorHAnsi" w:cstheme="majorHAnsi"/>
          <w:sz w:val="22"/>
          <w:szCs w:val="22"/>
        </w:rPr>
        <w:t xml:space="preserve"> in the 1987</w:t>
      </w:r>
      <w:r w:rsidRPr="00343A67" w:rsidR="00354860">
        <w:rPr>
          <w:rFonts w:asciiTheme="majorHAnsi" w:hAnsiTheme="majorHAnsi" w:cstheme="majorHAnsi"/>
          <w:sz w:val="22"/>
          <w:szCs w:val="22"/>
        </w:rPr>
        <w:t xml:space="preserve"> Act</w:t>
      </w:r>
      <w:r w:rsidRPr="00343A67">
        <w:rPr>
          <w:rFonts w:asciiTheme="majorHAnsi" w:hAnsiTheme="majorHAnsi" w:cstheme="majorHAnsi"/>
          <w:sz w:val="22"/>
          <w:szCs w:val="22"/>
        </w:rPr>
        <w:t xml:space="preserve">. This </w:t>
      </w:r>
      <w:r w:rsidR="0080102F">
        <w:rPr>
          <w:rFonts w:asciiTheme="majorHAnsi" w:hAnsiTheme="majorHAnsi" w:cstheme="majorHAnsi"/>
          <w:sz w:val="22"/>
          <w:szCs w:val="22"/>
        </w:rPr>
        <w:t xml:space="preserve">limit </w:t>
      </w:r>
      <w:r w:rsidRPr="00343A67">
        <w:rPr>
          <w:rFonts w:asciiTheme="majorHAnsi" w:hAnsiTheme="majorHAnsi" w:cstheme="majorHAnsi"/>
          <w:sz w:val="22"/>
          <w:szCs w:val="22"/>
        </w:rPr>
        <w:t xml:space="preserve">was </w:t>
      </w:r>
      <w:r w:rsidR="007A7CA8">
        <w:rPr>
          <w:rFonts w:asciiTheme="majorHAnsi" w:hAnsiTheme="majorHAnsi" w:cstheme="majorHAnsi"/>
          <w:sz w:val="22"/>
          <w:szCs w:val="22"/>
        </w:rPr>
        <w:t>set</w:t>
      </w:r>
      <w:r w:rsidRPr="00343A67">
        <w:rPr>
          <w:rFonts w:asciiTheme="majorHAnsi" w:hAnsiTheme="majorHAnsi" w:cstheme="majorHAnsi"/>
          <w:sz w:val="22"/>
          <w:szCs w:val="22"/>
        </w:rPr>
        <w:t xml:space="preserve"> to </w:t>
      </w:r>
      <w:r w:rsidR="00423445">
        <w:rPr>
          <w:rFonts w:asciiTheme="majorHAnsi" w:hAnsiTheme="majorHAnsi" w:cstheme="majorHAnsi"/>
          <w:sz w:val="22"/>
          <w:szCs w:val="22"/>
        </w:rPr>
        <w:t xml:space="preserve">a highly restrictive </w:t>
      </w:r>
      <w:r w:rsidRPr="00343A67">
        <w:rPr>
          <w:rFonts w:asciiTheme="majorHAnsi" w:hAnsiTheme="majorHAnsi" w:cstheme="majorHAnsi"/>
          <w:sz w:val="22"/>
          <w:szCs w:val="22"/>
        </w:rPr>
        <w:t>10% for collective enfranchisement claims under the 1993</w:t>
      </w:r>
      <w:r w:rsidRPr="00343A67" w:rsidR="00647884">
        <w:rPr>
          <w:rFonts w:asciiTheme="majorHAnsi" w:hAnsiTheme="majorHAnsi" w:cstheme="majorHAnsi"/>
          <w:sz w:val="22"/>
          <w:szCs w:val="22"/>
        </w:rPr>
        <w:t xml:space="preserve"> Act</w:t>
      </w:r>
      <w:r w:rsidRPr="00343A67">
        <w:rPr>
          <w:rFonts w:asciiTheme="majorHAnsi" w:hAnsiTheme="majorHAnsi" w:cstheme="majorHAnsi"/>
          <w:sz w:val="22"/>
          <w:szCs w:val="22"/>
        </w:rPr>
        <w:t xml:space="preserve"> – following extensive industry lobbying and opposition in the House of Lords</w:t>
      </w:r>
      <w:r w:rsidRPr="00343A67" w:rsidR="00A22D0C">
        <w:rPr>
          <w:rFonts w:asciiTheme="majorHAnsi" w:hAnsiTheme="majorHAnsi" w:cstheme="majorHAnsi"/>
          <w:sz w:val="22"/>
          <w:szCs w:val="22"/>
        </w:rPr>
        <w:t xml:space="preserve"> – before </w:t>
      </w:r>
      <w:r w:rsidRPr="00343A67">
        <w:rPr>
          <w:rFonts w:asciiTheme="majorHAnsi" w:hAnsiTheme="majorHAnsi" w:cstheme="majorHAnsi"/>
          <w:sz w:val="22"/>
          <w:szCs w:val="22"/>
        </w:rPr>
        <w:t>increas</w:t>
      </w:r>
      <w:r w:rsidRPr="00343A67" w:rsidR="006C4D58">
        <w:rPr>
          <w:rFonts w:asciiTheme="majorHAnsi" w:hAnsiTheme="majorHAnsi" w:cstheme="majorHAnsi"/>
          <w:sz w:val="22"/>
          <w:szCs w:val="22"/>
        </w:rPr>
        <w:t>ing</w:t>
      </w:r>
      <w:r w:rsidRPr="00343A67">
        <w:rPr>
          <w:rFonts w:asciiTheme="majorHAnsi" w:hAnsiTheme="majorHAnsi" w:cstheme="majorHAnsi"/>
          <w:sz w:val="22"/>
          <w:szCs w:val="22"/>
        </w:rPr>
        <w:t xml:space="preserve"> to 25% in the Commonhold and Leasehold Reform Act 2002, and</w:t>
      </w:r>
      <w:r w:rsidR="003859E6">
        <w:rPr>
          <w:rFonts w:asciiTheme="majorHAnsi" w:hAnsiTheme="majorHAnsi" w:cstheme="majorHAnsi"/>
          <w:sz w:val="22"/>
          <w:szCs w:val="22"/>
        </w:rPr>
        <w:t xml:space="preserve"> again</w:t>
      </w:r>
      <w:r w:rsidRPr="00343A67">
        <w:rPr>
          <w:rFonts w:asciiTheme="majorHAnsi" w:hAnsiTheme="majorHAnsi" w:cstheme="majorHAnsi"/>
          <w:sz w:val="22"/>
          <w:szCs w:val="22"/>
        </w:rPr>
        <w:t xml:space="preserve"> </w:t>
      </w:r>
      <w:r w:rsidRPr="00343A67" w:rsidR="00D15415">
        <w:rPr>
          <w:rFonts w:asciiTheme="majorHAnsi" w:hAnsiTheme="majorHAnsi" w:cstheme="majorHAnsi"/>
          <w:sz w:val="22"/>
          <w:szCs w:val="22"/>
        </w:rPr>
        <w:t>liberalised</w:t>
      </w:r>
      <w:r w:rsidRPr="00343A67">
        <w:rPr>
          <w:rFonts w:asciiTheme="majorHAnsi" w:hAnsiTheme="majorHAnsi" w:cstheme="majorHAnsi"/>
          <w:sz w:val="22"/>
          <w:szCs w:val="22"/>
        </w:rPr>
        <w:t xml:space="preserve"> to 50% in the 2024 Act.</w:t>
      </w:r>
    </w:p>
    <w:p w:rsidR="00343A67" w:rsidRPr="00343A67" w:rsidP="00343A67">
      <w:pPr>
        <w:jc w:val="both"/>
        <w:rPr>
          <w:rFonts w:asciiTheme="majorHAnsi" w:hAnsiTheme="majorHAnsi" w:cstheme="majorHAnsi"/>
          <w:b/>
          <w:bCs/>
          <w:sz w:val="22"/>
          <w:szCs w:val="22"/>
        </w:rPr>
      </w:pPr>
    </w:p>
    <w:p w:rsidR="00343A67" w:rsidRPr="00343A67" w:rsidP="00343A67">
      <w:pPr>
        <w:pStyle w:val="ListParagraph"/>
        <w:numPr>
          <w:ilvl w:val="2"/>
          <w:numId w:val="38"/>
        </w:numPr>
        <w:jc w:val="both"/>
        <w:rPr>
          <w:rFonts w:asciiTheme="majorHAnsi" w:hAnsiTheme="majorHAnsi" w:cstheme="majorHAnsi"/>
          <w:b/>
          <w:bCs/>
          <w:sz w:val="22"/>
          <w:szCs w:val="22"/>
        </w:rPr>
      </w:pPr>
      <w:r w:rsidRPr="00343A67">
        <w:rPr>
          <w:rFonts w:asciiTheme="majorHAnsi" w:hAnsiTheme="majorHAnsi" w:cstheme="majorHAnsi"/>
          <w:sz w:val="22"/>
          <w:szCs w:val="22"/>
        </w:rPr>
        <w:t xml:space="preserve">Free Leaseholders has supporters who do not qualify to buy their freehold or claim Right to Manage because they </w:t>
      </w:r>
      <w:r w:rsidRPr="00343A67" w:rsidR="000D5106">
        <w:rPr>
          <w:rFonts w:asciiTheme="majorHAnsi" w:hAnsiTheme="majorHAnsi" w:cstheme="majorHAnsi"/>
          <w:sz w:val="22"/>
          <w:szCs w:val="22"/>
        </w:rPr>
        <w:t xml:space="preserve">still </w:t>
      </w:r>
      <w:r w:rsidRPr="00343A67" w:rsidR="003A6492">
        <w:rPr>
          <w:rFonts w:asciiTheme="majorHAnsi" w:hAnsiTheme="majorHAnsi" w:cstheme="majorHAnsi"/>
          <w:sz w:val="22"/>
          <w:szCs w:val="22"/>
        </w:rPr>
        <w:t>fall foul of</w:t>
      </w:r>
      <w:r w:rsidRPr="00343A67">
        <w:rPr>
          <w:rFonts w:asciiTheme="majorHAnsi" w:hAnsiTheme="majorHAnsi" w:cstheme="majorHAnsi"/>
          <w:sz w:val="22"/>
          <w:szCs w:val="22"/>
        </w:rPr>
        <w:t xml:space="preserve"> the new 50% non-residential premises limit. </w:t>
      </w:r>
      <w:r w:rsidRPr="00343A67" w:rsidR="004F1CA3">
        <w:rPr>
          <w:rFonts w:asciiTheme="majorHAnsi" w:hAnsiTheme="majorHAnsi" w:cstheme="majorHAnsi"/>
          <w:sz w:val="22"/>
          <w:szCs w:val="22"/>
        </w:rPr>
        <w:t xml:space="preserve">Since </w:t>
      </w:r>
      <w:r w:rsidRPr="00343A67">
        <w:rPr>
          <w:rFonts w:asciiTheme="majorHAnsi" w:hAnsiTheme="majorHAnsi" w:cstheme="majorHAnsi"/>
          <w:sz w:val="22"/>
          <w:szCs w:val="22"/>
        </w:rPr>
        <w:t xml:space="preserve"> the new commonhold </w:t>
      </w:r>
      <w:r w:rsidRPr="00343A67" w:rsidR="009157F6">
        <w:rPr>
          <w:rFonts w:asciiTheme="majorHAnsi" w:hAnsiTheme="majorHAnsi" w:cstheme="majorHAnsi"/>
          <w:sz w:val="22"/>
          <w:szCs w:val="22"/>
        </w:rPr>
        <w:t>has been</w:t>
      </w:r>
      <w:r w:rsidRPr="00343A67">
        <w:rPr>
          <w:rFonts w:asciiTheme="majorHAnsi" w:hAnsiTheme="majorHAnsi" w:cstheme="majorHAnsi"/>
          <w:sz w:val="22"/>
          <w:szCs w:val="22"/>
        </w:rPr>
        <w:t xml:space="preserve"> designed with mixed-use </w:t>
      </w:r>
      <w:r w:rsidRPr="00343A67" w:rsidR="006A39D6">
        <w:rPr>
          <w:rFonts w:asciiTheme="majorHAnsi" w:hAnsiTheme="majorHAnsi" w:cstheme="majorHAnsi"/>
          <w:sz w:val="22"/>
          <w:szCs w:val="22"/>
        </w:rPr>
        <w:t>developments</w:t>
      </w:r>
      <w:r w:rsidRPr="00343A67">
        <w:rPr>
          <w:rFonts w:asciiTheme="majorHAnsi" w:hAnsiTheme="majorHAnsi" w:cstheme="majorHAnsi"/>
          <w:sz w:val="22"/>
          <w:szCs w:val="22"/>
        </w:rPr>
        <w:t xml:space="preserve"> in mind, it is not clear why </w:t>
      </w:r>
      <w:r w:rsidRPr="00343A67" w:rsidR="00F02A29">
        <w:rPr>
          <w:rFonts w:asciiTheme="majorHAnsi" w:hAnsiTheme="majorHAnsi" w:cstheme="majorHAnsi"/>
          <w:sz w:val="22"/>
          <w:szCs w:val="22"/>
        </w:rPr>
        <w:t>leaseholders should be required to ascertain how much of the</w:t>
      </w:r>
      <w:r w:rsidRPr="00343A67" w:rsidR="00417207">
        <w:rPr>
          <w:rFonts w:asciiTheme="majorHAnsi" w:hAnsiTheme="majorHAnsi" w:cstheme="majorHAnsi"/>
          <w:sz w:val="22"/>
          <w:szCs w:val="22"/>
        </w:rPr>
        <w:t>ir block’s</w:t>
      </w:r>
      <w:r w:rsidRPr="00343A67" w:rsidR="00F02A29">
        <w:rPr>
          <w:rFonts w:asciiTheme="majorHAnsi" w:hAnsiTheme="majorHAnsi" w:cstheme="majorHAnsi"/>
          <w:sz w:val="22"/>
          <w:szCs w:val="22"/>
        </w:rPr>
        <w:t xml:space="preserve"> internal floor area represents non-residential premise</w:t>
      </w:r>
      <w:r w:rsidRPr="00343A67" w:rsidR="00C81B57">
        <w:rPr>
          <w:rFonts w:asciiTheme="majorHAnsi" w:hAnsiTheme="majorHAnsi" w:cstheme="majorHAnsi"/>
          <w:sz w:val="22"/>
          <w:szCs w:val="22"/>
        </w:rPr>
        <w:t xml:space="preserve">s. This </w:t>
      </w:r>
      <w:r w:rsidRPr="00343A67" w:rsidR="000915D3">
        <w:rPr>
          <w:rFonts w:asciiTheme="majorHAnsi" w:hAnsiTheme="majorHAnsi" w:cstheme="majorHAnsi"/>
          <w:sz w:val="22"/>
          <w:szCs w:val="22"/>
        </w:rPr>
        <w:t xml:space="preserve">exercise </w:t>
      </w:r>
      <w:r w:rsidRPr="00343A67" w:rsidR="00F02A29">
        <w:rPr>
          <w:rFonts w:asciiTheme="majorHAnsi" w:hAnsiTheme="majorHAnsi" w:cstheme="majorHAnsi"/>
          <w:sz w:val="22"/>
          <w:szCs w:val="22"/>
        </w:rPr>
        <w:t xml:space="preserve">can be </w:t>
      </w:r>
      <w:r w:rsidRPr="00343A67" w:rsidR="0017301E">
        <w:rPr>
          <w:rFonts w:asciiTheme="majorHAnsi" w:hAnsiTheme="majorHAnsi" w:cstheme="majorHAnsi"/>
          <w:sz w:val="22"/>
          <w:szCs w:val="22"/>
        </w:rPr>
        <w:t>time-consuming</w:t>
      </w:r>
      <w:r w:rsidRPr="00343A67" w:rsidR="000915D3">
        <w:rPr>
          <w:rFonts w:asciiTheme="majorHAnsi" w:hAnsiTheme="majorHAnsi" w:cstheme="majorHAnsi"/>
          <w:sz w:val="22"/>
          <w:szCs w:val="22"/>
        </w:rPr>
        <w:t xml:space="preserve"> and</w:t>
      </w:r>
      <w:r w:rsidRPr="00343A67" w:rsidR="0020010B">
        <w:rPr>
          <w:rFonts w:asciiTheme="majorHAnsi" w:hAnsiTheme="majorHAnsi" w:cstheme="majorHAnsi"/>
          <w:sz w:val="22"/>
          <w:szCs w:val="22"/>
        </w:rPr>
        <w:t xml:space="preserve"> </w:t>
      </w:r>
      <w:r w:rsidRPr="00343A67" w:rsidR="00F02A29">
        <w:rPr>
          <w:rFonts w:asciiTheme="majorHAnsi" w:hAnsiTheme="majorHAnsi" w:cstheme="majorHAnsi"/>
          <w:sz w:val="22"/>
          <w:szCs w:val="22"/>
        </w:rPr>
        <w:t>expensiv</w:t>
      </w:r>
      <w:r w:rsidRPr="00343A67" w:rsidR="00EB6385">
        <w:rPr>
          <w:rFonts w:asciiTheme="majorHAnsi" w:hAnsiTheme="majorHAnsi" w:cstheme="majorHAnsi"/>
          <w:sz w:val="22"/>
          <w:szCs w:val="22"/>
        </w:rPr>
        <w:t>e</w:t>
      </w:r>
      <w:r w:rsidRPr="00343A67" w:rsidR="000915D3">
        <w:rPr>
          <w:rFonts w:asciiTheme="majorHAnsi" w:hAnsiTheme="majorHAnsi" w:cstheme="majorHAnsi"/>
          <w:sz w:val="22"/>
          <w:szCs w:val="22"/>
        </w:rPr>
        <w:t>, with the requirement also</w:t>
      </w:r>
      <w:r w:rsidRPr="00343A67" w:rsidR="003B7078">
        <w:rPr>
          <w:rFonts w:asciiTheme="majorHAnsi" w:hAnsiTheme="majorHAnsi" w:cstheme="majorHAnsi"/>
          <w:sz w:val="22"/>
          <w:szCs w:val="22"/>
        </w:rPr>
        <w:t xml:space="preserve"> invit</w:t>
      </w:r>
      <w:r w:rsidRPr="00343A67" w:rsidR="000915D3">
        <w:rPr>
          <w:rFonts w:asciiTheme="majorHAnsi" w:hAnsiTheme="majorHAnsi" w:cstheme="majorHAnsi"/>
          <w:sz w:val="22"/>
          <w:szCs w:val="22"/>
        </w:rPr>
        <w:t>ing</w:t>
      </w:r>
      <w:r w:rsidRPr="00343A67" w:rsidR="003B7078">
        <w:rPr>
          <w:rFonts w:asciiTheme="majorHAnsi" w:hAnsiTheme="majorHAnsi" w:cstheme="majorHAnsi"/>
          <w:sz w:val="22"/>
          <w:szCs w:val="22"/>
        </w:rPr>
        <w:t xml:space="preserve"> </w:t>
      </w:r>
      <w:r w:rsidRPr="00343A67" w:rsidR="00A16CFF">
        <w:rPr>
          <w:rFonts w:asciiTheme="majorHAnsi" w:hAnsiTheme="majorHAnsi" w:cstheme="majorHAnsi"/>
          <w:sz w:val="22"/>
          <w:szCs w:val="22"/>
        </w:rPr>
        <w:t>game-playing behaviour and litigation from freeholders.</w:t>
      </w:r>
    </w:p>
    <w:p w:rsidR="00343A67" w:rsidRPr="00343A67" w:rsidP="00343A67">
      <w:pPr>
        <w:jc w:val="both"/>
        <w:rPr>
          <w:rFonts w:asciiTheme="majorHAnsi" w:hAnsiTheme="majorHAnsi" w:cstheme="majorHAnsi"/>
          <w:b/>
          <w:bCs/>
          <w:sz w:val="22"/>
          <w:szCs w:val="22"/>
        </w:rPr>
      </w:pPr>
    </w:p>
    <w:p w:rsidR="00343A67" w:rsidRPr="00343A67" w:rsidP="00343A67">
      <w:pPr>
        <w:pStyle w:val="ListParagraph"/>
        <w:numPr>
          <w:ilvl w:val="2"/>
          <w:numId w:val="38"/>
        </w:numPr>
        <w:jc w:val="both"/>
        <w:rPr>
          <w:rFonts w:asciiTheme="majorHAnsi" w:hAnsiTheme="majorHAnsi" w:cstheme="majorHAnsi"/>
          <w:b/>
          <w:bCs/>
          <w:sz w:val="22"/>
          <w:szCs w:val="22"/>
        </w:rPr>
      </w:pPr>
      <w:r w:rsidRPr="00343A67">
        <w:rPr>
          <w:rFonts w:asciiTheme="majorHAnsi" w:hAnsiTheme="majorHAnsi" w:cstheme="majorHAnsi"/>
          <w:sz w:val="22"/>
          <w:szCs w:val="22"/>
        </w:rPr>
        <w:t xml:space="preserve">Similarly, the Law Commission </w:t>
      </w:r>
      <w:r w:rsidRPr="00343A67" w:rsidR="007B63B6">
        <w:rPr>
          <w:rFonts w:asciiTheme="majorHAnsi" w:hAnsiTheme="majorHAnsi" w:cstheme="majorHAnsi"/>
          <w:sz w:val="22"/>
          <w:szCs w:val="22"/>
        </w:rPr>
        <w:t xml:space="preserve">originally proposed removing the 25% non-residential premises limit </w:t>
      </w:r>
      <w:r w:rsidRPr="00343A67" w:rsidR="00D81251">
        <w:rPr>
          <w:rFonts w:asciiTheme="majorHAnsi" w:hAnsiTheme="majorHAnsi" w:cstheme="majorHAnsi"/>
          <w:sz w:val="22"/>
          <w:szCs w:val="22"/>
        </w:rPr>
        <w:t xml:space="preserve">completely from Right to Manage qualifying criteria, only to u-turn and settle for a 50% </w:t>
      </w:r>
      <w:r w:rsidRPr="00343A67" w:rsidR="00824A2B">
        <w:rPr>
          <w:rFonts w:asciiTheme="majorHAnsi" w:hAnsiTheme="majorHAnsi" w:cstheme="majorHAnsi"/>
          <w:sz w:val="22"/>
          <w:szCs w:val="22"/>
        </w:rPr>
        <w:t xml:space="preserve">limit because industry insiders invoked the </w:t>
      </w:r>
      <w:r w:rsidRPr="00343A67" w:rsidR="00250288">
        <w:rPr>
          <w:rFonts w:asciiTheme="majorHAnsi" w:hAnsiTheme="majorHAnsi" w:cstheme="majorHAnsi"/>
          <w:sz w:val="22"/>
          <w:szCs w:val="22"/>
        </w:rPr>
        <w:t>outlier</w:t>
      </w:r>
      <w:r w:rsidRPr="00343A67" w:rsidR="00824A2B">
        <w:rPr>
          <w:rFonts w:asciiTheme="majorHAnsi" w:hAnsiTheme="majorHAnsi" w:cstheme="majorHAnsi"/>
          <w:sz w:val="22"/>
          <w:szCs w:val="22"/>
        </w:rPr>
        <w:t xml:space="preserve"> case of the</w:t>
      </w:r>
      <w:r w:rsidRPr="00343A67" w:rsidR="001A640D">
        <w:rPr>
          <w:rFonts w:asciiTheme="majorHAnsi" w:hAnsiTheme="majorHAnsi" w:cstheme="majorHAnsi"/>
          <w:sz w:val="22"/>
          <w:szCs w:val="22"/>
        </w:rPr>
        <w:t xml:space="preserve"> high-value</w:t>
      </w:r>
      <w:r w:rsidRPr="00343A67" w:rsidR="00824A2B">
        <w:rPr>
          <w:rFonts w:asciiTheme="majorHAnsi" w:hAnsiTheme="majorHAnsi" w:cstheme="majorHAnsi"/>
          <w:sz w:val="22"/>
          <w:szCs w:val="22"/>
        </w:rPr>
        <w:t xml:space="preserve"> Shard</w:t>
      </w:r>
      <w:r w:rsidRPr="00343A67" w:rsidR="00250288">
        <w:rPr>
          <w:rFonts w:asciiTheme="majorHAnsi" w:hAnsiTheme="majorHAnsi" w:cstheme="majorHAnsi"/>
          <w:sz w:val="22"/>
          <w:szCs w:val="22"/>
        </w:rPr>
        <w:t xml:space="preserve">, which was spurious </w:t>
      </w:r>
      <w:r w:rsidRPr="00343A67" w:rsidR="002B39DA">
        <w:rPr>
          <w:rFonts w:asciiTheme="majorHAnsi" w:hAnsiTheme="majorHAnsi" w:cstheme="majorHAnsi"/>
          <w:sz w:val="22"/>
          <w:szCs w:val="22"/>
        </w:rPr>
        <w:t xml:space="preserve">because </w:t>
      </w:r>
      <w:r w:rsidRPr="00343A67" w:rsidR="00CE7C61">
        <w:rPr>
          <w:rFonts w:asciiTheme="majorHAnsi" w:hAnsiTheme="majorHAnsi" w:cstheme="majorHAnsi"/>
          <w:sz w:val="22"/>
          <w:szCs w:val="22"/>
        </w:rPr>
        <w:t>the leasehold flats were not sold in the end.</w:t>
      </w:r>
      <w:r w:rsidRPr="00343A67" w:rsidR="00CA7E7D">
        <w:rPr>
          <w:rFonts w:asciiTheme="majorHAnsi" w:hAnsiTheme="majorHAnsi" w:cstheme="majorHAnsi"/>
          <w:sz w:val="22"/>
          <w:szCs w:val="22"/>
        </w:rPr>
        <w:t xml:space="preserve"> </w:t>
      </w:r>
      <w:r w:rsidRPr="00343A67" w:rsidR="00D571AE">
        <w:rPr>
          <w:rFonts w:asciiTheme="majorHAnsi" w:hAnsiTheme="majorHAnsi" w:cstheme="majorHAnsi"/>
          <w:sz w:val="22"/>
          <w:szCs w:val="22"/>
        </w:rPr>
        <w:t xml:space="preserve">Ultimately, Right to Manage does not give leaseholders </w:t>
      </w:r>
      <w:r w:rsidR="000E012E">
        <w:rPr>
          <w:rFonts w:asciiTheme="majorHAnsi" w:hAnsiTheme="majorHAnsi" w:cstheme="majorHAnsi"/>
          <w:sz w:val="22"/>
          <w:szCs w:val="22"/>
        </w:rPr>
        <w:t xml:space="preserve">management </w:t>
      </w:r>
      <w:r w:rsidRPr="00343A67" w:rsidR="00D571AE">
        <w:rPr>
          <w:rFonts w:asciiTheme="majorHAnsi" w:hAnsiTheme="majorHAnsi" w:cstheme="majorHAnsi"/>
          <w:sz w:val="22"/>
          <w:szCs w:val="22"/>
        </w:rPr>
        <w:t xml:space="preserve">control </w:t>
      </w:r>
      <w:r w:rsidRPr="00343A67" w:rsidR="004157A5">
        <w:rPr>
          <w:rFonts w:asciiTheme="majorHAnsi" w:hAnsiTheme="majorHAnsi" w:cstheme="majorHAnsi"/>
          <w:sz w:val="22"/>
          <w:szCs w:val="22"/>
        </w:rPr>
        <w:t>of wholly commercial parts of the building</w:t>
      </w:r>
      <w:r w:rsidRPr="00343A67" w:rsidR="00A73DDD">
        <w:rPr>
          <w:rFonts w:asciiTheme="majorHAnsi" w:hAnsiTheme="majorHAnsi" w:cstheme="majorHAnsi"/>
          <w:sz w:val="22"/>
          <w:szCs w:val="22"/>
        </w:rPr>
        <w:t>.</w:t>
      </w:r>
    </w:p>
    <w:p w:rsidR="00343A67" w:rsidRPr="00343A67" w:rsidP="00343A67">
      <w:pPr>
        <w:jc w:val="both"/>
        <w:rPr>
          <w:rFonts w:asciiTheme="majorHAnsi" w:hAnsiTheme="majorHAnsi" w:cstheme="majorHAnsi"/>
          <w:b/>
          <w:bCs/>
          <w:sz w:val="22"/>
          <w:szCs w:val="22"/>
        </w:rPr>
      </w:pPr>
    </w:p>
    <w:p w:rsidR="00343A67" w:rsidRPr="00E52F54" w:rsidP="00343A67">
      <w:pPr>
        <w:pStyle w:val="ListParagraph"/>
        <w:numPr>
          <w:ilvl w:val="2"/>
          <w:numId w:val="38"/>
        </w:numPr>
        <w:jc w:val="both"/>
        <w:rPr>
          <w:rFonts w:asciiTheme="majorHAnsi" w:hAnsiTheme="majorHAnsi" w:cstheme="majorHAnsi"/>
          <w:b/>
          <w:bCs/>
          <w:sz w:val="22"/>
          <w:szCs w:val="22"/>
        </w:rPr>
      </w:pPr>
      <w:r w:rsidRPr="00343A67">
        <w:rPr>
          <w:rFonts w:asciiTheme="majorHAnsi" w:hAnsiTheme="majorHAnsi" w:cstheme="majorHAnsi"/>
          <w:sz w:val="22"/>
          <w:szCs w:val="22"/>
        </w:rPr>
        <w:t xml:space="preserve">If a freeholder is already vulnerable to losing </w:t>
      </w:r>
      <w:r w:rsidRPr="00343A67" w:rsidR="00622589">
        <w:rPr>
          <w:rFonts w:asciiTheme="majorHAnsi" w:hAnsiTheme="majorHAnsi" w:cstheme="majorHAnsi"/>
          <w:sz w:val="22"/>
          <w:szCs w:val="22"/>
        </w:rPr>
        <w:t xml:space="preserve">his rights </w:t>
      </w:r>
      <w:r w:rsidRPr="00343A67" w:rsidR="008223E5">
        <w:rPr>
          <w:rFonts w:asciiTheme="majorHAnsi" w:hAnsiTheme="majorHAnsi" w:cstheme="majorHAnsi"/>
          <w:sz w:val="22"/>
          <w:szCs w:val="22"/>
        </w:rPr>
        <w:t xml:space="preserve">to control the management of leaseholders’ homes and the </w:t>
      </w:r>
      <w:r w:rsidRPr="00343A67" w:rsidR="00622589">
        <w:rPr>
          <w:rFonts w:asciiTheme="majorHAnsi" w:hAnsiTheme="majorHAnsi" w:cstheme="majorHAnsi"/>
          <w:sz w:val="22"/>
          <w:szCs w:val="22"/>
        </w:rPr>
        <w:t>service charges</w:t>
      </w:r>
      <w:r w:rsidRPr="00343A67" w:rsidR="008223E5">
        <w:rPr>
          <w:rFonts w:asciiTheme="majorHAnsi" w:hAnsiTheme="majorHAnsi" w:cstheme="majorHAnsi"/>
          <w:sz w:val="22"/>
          <w:szCs w:val="22"/>
        </w:rPr>
        <w:t xml:space="preserve"> they must pay under the Section 24 scheme in the 1987 Act with no restriction on non-residential premises, why should this protective regulation </w:t>
      </w:r>
      <w:r w:rsidRPr="00343A67" w:rsidR="00F70485">
        <w:rPr>
          <w:rFonts w:asciiTheme="majorHAnsi" w:hAnsiTheme="majorHAnsi" w:cstheme="majorHAnsi"/>
          <w:sz w:val="22"/>
          <w:szCs w:val="22"/>
        </w:rPr>
        <w:t>exist for Right to Manage?</w:t>
      </w:r>
      <w:r w:rsidRPr="00343A67" w:rsidR="00DB03A6">
        <w:rPr>
          <w:rFonts w:asciiTheme="majorHAnsi" w:hAnsiTheme="majorHAnsi" w:cstheme="majorHAnsi"/>
          <w:sz w:val="22"/>
          <w:szCs w:val="22"/>
        </w:rPr>
        <w:t xml:space="preserve"> During the passage of the 2024 Act, amendments were </w:t>
      </w:r>
      <w:r w:rsidRPr="00343A67" w:rsidR="00F2106A">
        <w:rPr>
          <w:rFonts w:asciiTheme="majorHAnsi" w:hAnsiTheme="majorHAnsi" w:cstheme="majorHAnsi"/>
          <w:sz w:val="22"/>
          <w:szCs w:val="22"/>
        </w:rPr>
        <w:t>moved</w:t>
      </w:r>
      <w:r w:rsidRPr="00343A67" w:rsidR="00DB03A6">
        <w:rPr>
          <w:rFonts w:asciiTheme="majorHAnsi" w:hAnsiTheme="majorHAnsi" w:cstheme="majorHAnsi"/>
          <w:sz w:val="22"/>
          <w:szCs w:val="22"/>
        </w:rPr>
        <w:t xml:space="preserve"> to </w:t>
      </w:r>
      <w:r w:rsidRPr="00343A67" w:rsidR="00901D46">
        <w:rPr>
          <w:rFonts w:asciiTheme="majorHAnsi" w:hAnsiTheme="majorHAnsi" w:cstheme="majorHAnsi"/>
          <w:sz w:val="22"/>
          <w:szCs w:val="22"/>
        </w:rPr>
        <w:t xml:space="preserve">lift </w:t>
      </w:r>
      <w:r w:rsidRPr="00343A67" w:rsidR="00DB03A6">
        <w:rPr>
          <w:rFonts w:asciiTheme="majorHAnsi" w:hAnsiTheme="majorHAnsi" w:cstheme="majorHAnsi"/>
          <w:sz w:val="22"/>
          <w:szCs w:val="22"/>
        </w:rPr>
        <w:t xml:space="preserve">the 50% limit to 75%. </w:t>
      </w:r>
    </w:p>
    <w:p w:rsidR="00E52F54" w:rsidRPr="00E52F54" w:rsidP="00E52F54">
      <w:pPr>
        <w:jc w:val="both"/>
        <w:rPr>
          <w:rFonts w:asciiTheme="majorHAnsi" w:hAnsiTheme="majorHAnsi" w:cstheme="majorHAnsi"/>
          <w:b/>
          <w:bCs/>
          <w:sz w:val="22"/>
          <w:szCs w:val="22"/>
        </w:rPr>
      </w:pPr>
    </w:p>
    <w:p w:rsidR="00C527DB" w:rsidRPr="00652982" w:rsidP="00652982">
      <w:pPr>
        <w:pStyle w:val="ListParagraph"/>
        <w:numPr>
          <w:ilvl w:val="2"/>
          <w:numId w:val="38"/>
        </w:numPr>
        <w:jc w:val="both"/>
        <w:rPr>
          <w:rStyle w:val="Hyperlink"/>
          <w:rFonts w:asciiTheme="majorHAnsi" w:hAnsiTheme="majorHAnsi" w:cstheme="majorHAnsi"/>
          <w:b/>
          <w:bCs/>
          <w:color w:val="auto"/>
          <w:sz w:val="22"/>
          <w:szCs w:val="22"/>
          <w:u w:val="none"/>
        </w:rPr>
      </w:pPr>
      <w:r w:rsidRPr="00343A67">
        <w:rPr>
          <w:rFonts w:asciiTheme="majorHAnsi" w:hAnsiTheme="majorHAnsi" w:cstheme="majorHAnsi"/>
          <w:sz w:val="22"/>
          <w:szCs w:val="22"/>
        </w:rPr>
        <w:t xml:space="preserve">Minister Pennycook in opposition </w:t>
      </w:r>
      <w:r w:rsidRPr="00343A67" w:rsidR="00252286">
        <w:rPr>
          <w:rFonts w:asciiTheme="majorHAnsi" w:hAnsiTheme="majorHAnsi" w:cstheme="majorHAnsi"/>
          <w:sz w:val="22"/>
          <w:szCs w:val="22"/>
        </w:rPr>
        <w:t>endorsed</w:t>
      </w:r>
      <w:r w:rsidRPr="00343A67" w:rsidR="007F38A4">
        <w:rPr>
          <w:rFonts w:asciiTheme="majorHAnsi" w:hAnsiTheme="majorHAnsi" w:cstheme="majorHAnsi"/>
          <w:sz w:val="22"/>
          <w:szCs w:val="22"/>
        </w:rPr>
        <w:t xml:space="preserve"> the push </w:t>
      </w:r>
      <w:r w:rsidRPr="00343A67" w:rsidR="00C862E9">
        <w:rPr>
          <w:rFonts w:asciiTheme="majorHAnsi" w:hAnsiTheme="majorHAnsi" w:cstheme="majorHAnsi"/>
          <w:sz w:val="22"/>
          <w:szCs w:val="22"/>
        </w:rPr>
        <w:t>to not abandon</w:t>
      </w:r>
      <w:r w:rsidRPr="00343A67" w:rsidR="00A82D15">
        <w:rPr>
          <w:rFonts w:asciiTheme="majorHAnsi" w:hAnsiTheme="majorHAnsi" w:cstheme="majorHAnsi"/>
          <w:sz w:val="22"/>
          <w:szCs w:val="22"/>
        </w:rPr>
        <w:t xml:space="preserve"> leaseholders in mixed-use buildings, telling Parliament during the passage of the 2024 Act</w:t>
      </w:r>
      <w:r w:rsidRPr="00343A67" w:rsidR="00051877">
        <w:rPr>
          <w:rFonts w:asciiTheme="majorHAnsi" w:hAnsiTheme="majorHAnsi" w:cstheme="majorHAnsi"/>
          <w:sz w:val="22"/>
          <w:szCs w:val="22"/>
        </w:rPr>
        <w:t xml:space="preserve">: </w:t>
      </w:r>
      <w:r w:rsidRPr="00343A67">
        <w:rPr>
          <w:rFonts w:asciiTheme="majorHAnsi" w:hAnsiTheme="majorHAnsi" w:cstheme="majorHAnsi"/>
          <w:sz w:val="22"/>
          <w:szCs w:val="22"/>
        </w:rPr>
        <w:t>“</w:t>
      </w:r>
      <w:r w:rsidRPr="00343A67">
        <w:rPr>
          <w:rFonts w:asciiTheme="majorHAnsi" w:hAnsiTheme="majorHAnsi" w:cstheme="majorHAnsi"/>
          <w:sz w:val="22"/>
          <w:szCs w:val="22"/>
        </w:rPr>
        <w:t>As with the non-residential limit for collective enfranchisement claims, the threshold is inherently arbitrary, but we feel</w:t>
      </w:r>
      <w:r w:rsidRPr="00343A67">
        <w:rPr>
          <w:rFonts w:asciiTheme="majorHAnsi" w:hAnsiTheme="majorHAnsi" w:cstheme="majorHAnsi"/>
          <w:sz w:val="22"/>
          <w:szCs w:val="22"/>
        </w:rPr>
        <w:t xml:space="preserve"> … </w:t>
      </w:r>
      <w:r w:rsidRPr="00343A67">
        <w:rPr>
          <w:rFonts w:asciiTheme="majorHAnsi" w:hAnsiTheme="majorHAnsi" w:cstheme="majorHAnsi"/>
          <w:sz w:val="22"/>
          <w:szCs w:val="22"/>
        </w:rPr>
        <w:t>that we need to address the fact that 50% will leave large numbers of leaseholders shut out from the right to manage</w:t>
      </w:r>
      <w:r w:rsidRPr="00343A67">
        <w:rPr>
          <w:rFonts w:asciiTheme="majorHAnsi" w:hAnsiTheme="majorHAnsi" w:cstheme="majorHAnsi"/>
          <w:sz w:val="22"/>
          <w:szCs w:val="22"/>
        </w:rPr>
        <w:t xml:space="preserve"> … </w:t>
      </w:r>
      <w:r w:rsidRPr="00343A67">
        <w:rPr>
          <w:rFonts w:asciiTheme="majorHAnsi" w:hAnsiTheme="majorHAnsi" w:cstheme="majorHAnsi"/>
          <w:sz w:val="22"/>
          <w:szCs w:val="22"/>
        </w:rPr>
        <w:t>we propose to give a degree of flexibility to the non-residential limit on right to manage claims, so that any future changes to increase it</w:t>
      </w:r>
      <w:r w:rsidR="00652982">
        <w:rPr>
          <w:rFonts w:asciiTheme="majorHAnsi" w:hAnsiTheme="majorHAnsi" w:cstheme="majorHAnsi"/>
          <w:sz w:val="22"/>
          <w:szCs w:val="22"/>
        </w:rPr>
        <w:t xml:space="preserve"> – </w:t>
      </w:r>
      <w:r w:rsidRPr="00652982">
        <w:rPr>
          <w:rFonts w:asciiTheme="majorHAnsi" w:hAnsiTheme="majorHAnsi" w:cstheme="majorHAnsi"/>
          <w:sz w:val="22"/>
          <w:szCs w:val="22"/>
        </w:rPr>
        <w:t>and only to increase it</w:t>
      </w:r>
      <w:r w:rsidR="00652982">
        <w:rPr>
          <w:rFonts w:asciiTheme="majorHAnsi" w:hAnsiTheme="majorHAnsi" w:cstheme="majorHAnsi"/>
          <w:sz w:val="22"/>
          <w:szCs w:val="22"/>
        </w:rPr>
        <w:t xml:space="preserve"> – </w:t>
      </w:r>
      <w:r w:rsidRPr="00652982">
        <w:rPr>
          <w:rFonts w:asciiTheme="majorHAnsi" w:hAnsiTheme="majorHAnsi" w:cstheme="majorHAnsi"/>
          <w:sz w:val="22"/>
          <w:szCs w:val="22"/>
        </w:rPr>
        <w:t>do not require primary legislation.</w:t>
      </w:r>
      <w:r w:rsidRPr="00652982">
        <w:rPr>
          <w:rFonts w:asciiTheme="majorHAnsi" w:hAnsiTheme="majorHAnsi" w:cstheme="majorHAnsi"/>
          <w:sz w:val="22"/>
          <w:szCs w:val="22"/>
        </w:rPr>
        <w:t>”</w:t>
      </w:r>
      <w:r>
        <w:rPr>
          <w:rStyle w:val="FootnoteReference"/>
          <w:rFonts w:asciiTheme="majorHAnsi" w:hAnsiTheme="majorHAnsi" w:cstheme="majorHAnsi"/>
          <w:sz w:val="22"/>
          <w:szCs w:val="22"/>
        </w:rPr>
        <w:footnoteReference w:id="13"/>
      </w:r>
    </w:p>
    <w:p w:rsidR="00E960CE" w:rsidRPr="00025CD0" w:rsidP="00E960CE">
      <w:pPr>
        <w:pStyle w:val="ListParagraph"/>
        <w:ind w:left="1080"/>
        <w:jc w:val="both"/>
        <w:rPr>
          <w:rFonts w:asciiTheme="majorHAnsi" w:hAnsiTheme="majorHAnsi" w:cstheme="majorHAnsi"/>
          <w:b/>
          <w:bCs/>
          <w:sz w:val="22"/>
          <w:szCs w:val="22"/>
        </w:rPr>
      </w:pPr>
    </w:p>
    <w:p w:rsidR="006A0D93" w:rsidRPr="00E960CE" w:rsidP="00343A67">
      <w:pPr>
        <w:pStyle w:val="ListParagraph"/>
        <w:numPr>
          <w:ilvl w:val="0"/>
          <w:numId w:val="38"/>
        </w:numPr>
        <w:rPr>
          <w:rFonts w:asciiTheme="majorHAnsi" w:hAnsiTheme="majorHAnsi" w:cstheme="majorHAnsi"/>
          <w:b/>
          <w:bCs/>
          <w:sz w:val="30"/>
          <w:szCs w:val="30"/>
        </w:rPr>
      </w:pPr>
      <w:r w:rsidRPr="00E960CE">
        <w:rPr>
          <w:rFonts w:asciiTheme="majorHAnsi" w:hAnsiTheme="majorHAnsi" w:cstheme="majorHAnsi"/>
          <w:b/>
          <w:bCs/>
          <w:sz w:val="30"/>
          <w:szCs w:val="30"/>
        </w:rPr>
        <w:t xml:space="preserve">Absence of a </w:t>
      </w:r>
      <w:r w:rsidRPr="00E960CE" w:rsidR="007664E3">
        <w:rPr>
          <w:rFonts w:asciiTheme="majorHAnsi" w:hAnsiTheme="majorHAnsi" w:cstheme="majorHAnsi"/>
          <w:b/>
          <w:bCs/>
          <w:sz w:val="30"/>
          <w:szCs w:val="30"/>
        </w:rPr>
        <w:t>Right to Participate</w:t>
      </w:r>
      <w:r w:rsidRPr="00E960CE" w:rsidR="0023259B">
        <w:rPr>
          <w:rFonts w:asciiTheme="majorHAnsi" w:hAnsiTheme="majorHAnsi" w:cstheme="majorHAnsi"/>
          <w:b/>
          <w:bCs/>
          <w:sz w:val="30"/>
          <w:szCs w:val="30"/>
        </w:rPr>
        <w:t xml:space="preserve"> in collective enfranchisement</w:t>
      </w:r>
      <w:r w:rsidRPr="00E960CE" w:rsidR="007664E3">
        <w:rPr>
          <w:rFonts w:asciiTheme="majorHAnsi" w:hAnsiTheme="majorHAnsi" w:cstheme="majorHAnsi"/>
          <w:b/>
          <w:bCs/>
          <w:sz w:val="30"/>
          <w:szCs w:val="30"/>
        </w:rPr>
        <w:t xml:space="preserve"> </w:t>
      </w:r>
    </w:p>
    <w:p w:rsidR="00C00164" w:rsidRPr="00E960CE" w:rsidP="00C00164">
      <w:pPr>
        <w:ind w:left="360"/>
        <w:rPr>
          <w:rFonts w:ascii="Calibri Light" w:hAnsi="Calibri Light" w:cs="Calibri Light"/>
          <w:sz w:val="22"/>
          <w:szCs w:val="22"/>
        </w:rPr>
      </w:pPr>
    </w:p>
    <w:p w:rsidR="00C813D2" w:rsidP="007F7D40">
      <w:pPr>
        <w:pStyle w:val="ListParagraph"/>
        <w:numPr>
          <w:ilvl w:val="1"/>
          <w:numId w:val="28"/>
        </w:numPr>
        <w:jc w:val="both"/>
        <w:rPr>
          <w:rFonts w:ascii="Calibri Light" w:hAnsi="Calibri Light" w:cs="Calibri Light"/>
          <w:sz w:val="22"/>
          <w:szCs w:val="22"/>
        </w:rPr>
      </w:pPr>
      <w:r w:rsidRPr="00E960CE">
        <w:rPr>
          <w:rFonts w:ascii="Calibri Light" w:hAnsi="Calibri Light" w:cs="Calibri Light"/>
          <w:sz w:val="22"/>
          <w:szCs w:val="22"/>
        </w:rPr>
        <w:t xml:space="preserve">Since collective enfranchisement was introduced in the 1993 </w:t>
      </w:r>
      <w:r w:rsidR="00B30482">
        <w:rPr>
          <w:rFonts w:ascii="Calibri Light" w:hAnsi="Calibri Light" w:cs="Calibri Light"/>
          <w:sz w:val="22"/>
          <w:szCs w:val="22"/>
        </w:rPr>
        <w:t>Act</w:t>
      </w:r>
      <w:r w:rsidRPr="00E960CE">
        <w:rPr>
          <w:rFonts w:ascii="Calibri Light" w:hAnsi="Calibri Light" w:cs="Calibri Light"/>
          <w:sz w:val="22"/>
          <w:szCs w:val="22"/>
        </w:rPr>
        <w:t xml:space="preserve">, a problem has arisen for leaseholders who never bought a share of the freehold in the original claim, either because they couldn’t afford it or because they </w:t>
      </w:r>
      <w:r w:rsidR="001A04AB">
        <w:rPr>
          <w:rFonts w:ascii="Calibri Light" w:hAnsi="Calibri Light" w:cs="Calibri Light"/>
          <w:sz w:val="22"/>
          <w:szCs w:val="22"/>
        </w:rPr>
        <w:t>purchased</w:t>
      </w:r>
      <w:r w:rsidRPr="00E960CE">
        <w:rPr>
          <w:rFonts w:ascii="Calibri Light" w:hAnsi="Calibri Light" w:cs="Calibri Light"/>
          <w:sz w:val="22"/>
          <w:szCs w:val="22"/>
        </w:rPr>
        <w:t xml:space="preserve"> </w:t>
      </w:r>
      <w:r w:rsidR="001A04AB">
        <w:rPr>
          <w:rFonts w:ascii="Calibri Light" w:hAnsi="Calibri Light" w:cs="Calibri Light"/>
          <w:sz w:val="22"/>
          <w:szCs w:val="22"/>
        </w:rPr>
        <w:t>the flat</w:t>
      </w:r>
      <w:r w:rsidRPr="00E960CE">
        <w:rPr>
          <w:rFonts w:ascii="Calibri Light" w:hAnsi="Calibri Light" w:cs="Calibri Light"/>
          <w:sz w:val="22"/>
          <w:szCs w:val="22"/>
        </w:rPr>
        <w:t xml:space="preserve"> </w:t>
      </w:r>
      <w:r w:rsidR="005C65E4">
        <w:rPr>
          <w:rFonts w:ascii="Calibri Light" w:hAnsi="Calibri Light" w:cs="Calibri Light"/>
          <w:sz w:val="22"/>
          <w:szCs w:val="22"/>
        </w:rPr>
        <w:t>after the claim was made</w:t>
      </w:r>
      <w:r w:rsidRPr="00E960CE">
        <w:rPr>
          <w:rFonts w:ascii="Calibri Light" w:hAnsi="Calibri Light" w:cs="Calibri Light"/>
          <w:sz w:val="22"/>
          <w:szCs w:val="22"/>
        </w:rPr>
        <w:t>. Parliament recognised this</w:t>
      </w:r>
      <w:r w:rsidR="00997A86">
        <w:rPr>
          <w:rFonts w:ascii="Calibri Light" w:hAnsi="Calibri Light" w:cs="Calibri Light"/>
          <w:sz w:val="22"/>
          <w:szCs w:val="22"/>
        </w:rPr>
        <w:t xml:space="preserve"> inequity</w:t>
      </w:r>
      <w:r w:rsidRPr="00E960CE">
        <w:rPr>
          <w:rFonts w:ascii="Calibri Light" w:hAnsi="Calibri Light" w:cs="Calibri Light"/>
          <w:sz w:val="22"/>
          <w:szCs w:val="22"/>
        </w:rPr>
        <w:t xml:space="preserve"> </w:t>
      </w:r>
      <w:r w:rsidR="00C76A96">
        <w:rPr>
          <w:rFonts w:ascii="Calibri Light" w:hAnsi="Calibri Light" w:cs="Calibri Light"/>
          <w:sz w:val="22"/>
          <w:szCs w:val="22"/>
        </w:rPr>
        <w:t>with</w:t>
      </w:r>
      <w:r w:rsidRPr="00E960CE">
        <w:rPr>
          <w:rFonts w:ascii="Calibri Light" w:hAnsi="Calibri Light" w:cs="Calibri Light"/>
          <w:sz w:val="22"/>
          <w:szCs w:val="22"/>
        </w:rPr>
        <w:t xml:space="preserve"> the 2002 Act and </w:t>
      </w:r>
      <w:r w:rsidR="00C76A96">
        <w:rPr>
          <w:rFonts w:ascii="Calibri Light" w:hAnsi="Calibri Light" w:cs="Calibri Light"/>
          <w:sz w:val="22"/>
          <w:szCs w:val="22"/>
        </w:rPr>
        <w:t xml:space="preserve">its </w:t>
      </w:r>
      <w:r w:rsidRPr="00E960CE" w:rsidR="007F7D40">
        <w:rPr>
          <w:rFonts w:ascii="Calibri Light" w:hAnsi="Calibri Light" w:cs="Calibri Light"/>
          <w:sz w:val="22"/>
          <w:szCs w:val="22"/>
        </w:rPr>
        <w:t>‘</w:t>
      </w:r>
      <w:r w:rsidRPr="00E960CE">
        <w:rPr>
          <w:rFonts w:ascii="Calibri Light" w:hAnsi="Calibri Light" w:cs="Calibri Light"/>
          <w:sz w:val="22"/>
          <w:szCs w:val="22"/>
        </w:rPr>
        <w:t>Right to Enfranchise</w:t>
      </w:r>
      <w:r w:rsidRPr="00E960CE" w:rsidR="007F7D40">
        <w:rPr>
          <w:rFonts w:ascii="Calibri Light" w:hAnsi="Calibri Light" w:cs="Calibri Light"/>
          <w:sz w:val="22"/>
          <w:szCs w:val="22"/>
        </w:rPr>
        <w:t>’</w:t>
      </w:r>
      <w:r w:rsidRPr="00E960CE">
        <w:rPr>
          <w:rFonts w:ascii="Calibri Light" w:hAnsi="Calibri Light" w:cs="Calibri Light"/>
          <w:sz w:val="22"/>
          <w:szCs w:val="22"/>
        </w:rPr>
        <w:t>, later abandoned following a government consultation on drafting the enabling secondary legislation that received</w:t>
      </w:r>
      <w:r w:rsidR="00342C74">
        <w:rPr>
          <w:rFonts w:ascii="Calibri Light" w:hAnsi="Calibri Light" w:cs="Calibri Light"/>
          <w:sz w:val="22"/>
          <w:szCs w:val="22"/>
        </w:rPr>
        <w:t xml:space="preserve"> just</w:t>
      </w:r>
      <w:r w:rsidRPr="00E960CE">
        <w:rPr>
          <w:rFonts w:ascii="Calibri Light" w:hAnsi="Calibri Light" w:cs="Calibri Light"/>
          <w:sz w:val="22"/>
          <w:szCs w:val="22"/>
        </w:rPr>
        <w:t xml:space="preserve"> 34 responses</w:t>
      </w:r>
      <w:r w:rsidRPr="00E960CE" w:rsidR="00647014">
        <w:rPr>
          <w:rFonts w:ascii="Calibri Light" w:hAnsi="Calibri Light" w:cs="Calibri Light"/>
          <w:sz w:val="22"/>
          <w:szCs w:val="22"/>
        </w:rPr>
        <w:t>.</w:t>
      </w:r>
      <w:r>
        <w:rPr>
          <w:rStyle w:val="FootnoteReference"/>
          <w:rFonts w:ascii="Calibri Light" w:hAnsi="Calibri Light" w:cs="Calibri Light"/>
          <w:sz w:val="22"/>
          <w:szCs w:val="22"/>
        </w:rPr>
        <w:footnoteReference w:id="14"/>
      </w:r>
      <w:r w:rsidR="006408A9">
        <w:rPr>
          <w:rFonts w:ascii="Calibri Light" w:hAnsi="Calibri Light" w:cs="Calibri Light"/>
          <w:sz w:val="22"/>
          <w:szCs w:val="22"/>
        </w:rPr>
        <w:t xml:space="preserve"> </w:t>
      </w:r>
      <w:r w:rsidR="00861761">
        <w:rPr>
          <w:rFonts w:ascii="Calibri Light" w:hAnsi="Calibri Light" w:cs="Calibri Light"/>
          <w:sz w:val="22"/>
          <w:szCs w:val="22"/>
        </w:rPr>
        <w:t xml:space="preserve"> </w:t>
      </w:r>
    </w:p>
    <w:p w:rsidR="005325F6" w:rsidRPr="00E960CE" w:rsidP="005325F6">
      <w:pPr>
        <w:pStyle w:val="ListParagraph"/>
        <w:jc w:val="both"/>
        <w:rPr>
          <w:rFonts w:ascii="Calibri Light" w:hAnsi="Calibri Light" w:cs="Calibri Light"/>
          <w:sz w:val="22"/>
          <w:szCs w:val="22"/>
        </w:rPr>
      </w:pPr>
    </w:p>
    <w:p w:rsidR="00C813D2" w:rsidP="007F7D40">
      <w:pPr>
        <w:pStyle w:val="ListParagraph"/>
        <w:numPr>
          <w:ilvl w:val="1"/>
          <w:numId w:val="28"/>
        </w:numPr>
        <w:jc w:val="both"/>
        <w:rPr>
          <w:rFonts w:ascii="Calibri Light" w:hAnsi="Calibri Light" w:cs="Calibri Light"/>
          <w:sz w:val="22"/>
          <w:szCs w:val="22"/>
        </w:rPr>
      </w:pPr>
      <w:r w:rsidRPr="00E960CE">
        <w:rPr>
          <w:rFonts w:ascii="Calibri Light" w:hAnsi="Calibri Light" w:cs="Calibri Light"/>
          <w:sz w:val="22"/>
          <w:szCs w:val="22"/>
        </w:rPr>
        <w:t>In its 2017-</w:t>
      </w:r>
      <w:r w:rsidR="00C308D3">
        <w:rPr>
          <w:rFonts w:ascii="Calibri Light" w:hAnsi="Calibri Light" w:cs="Calibri Light"/>
          <w:sz w:val="22"/>
          <w:szCs w:val="22"/>
        </w:rPr>
        <w:t>20</w:t>
      </w:r>
      <w:r w:rsidRPr="00E960CE">
        <w:rPr>
          <w:rFonts w:ascii="Calibri Light" w:hAnsi="Calibri Light" w:cs="Calibri Light"/>
          <w:sz w:val="22"/>
          <w:szCs w:val="22"/>
        </w:rPr>
        <w:t>20 work, the Law Commission proposed dealing with th</w:t>
      </w:r>
      <w:r w:rsidR="00F1333E">
        <w:rPr>
          <w:rFonts w:ascii="Calibri Light" w:hAnsi="Calibri Light" w:cs="Calibri Light"/>
          <w:sz w:val="22"/>
          <w:szCs w:val="22"/>
        </w:rPr>
        <w:t xml:space="preserve">e problem </w:t>
      </w:r>
      <w:r w:rsidRPr="00E960CE">
        <w:rPr>
          <w:rFonts w:ascii="Calibri Light" w:hAnsi="Calibri Light" w:cs="Calibri Light"/>
          <w:sz w:val="22"/>
          <w:szCs w:val="22"/>
        </w:rPr>
        <w:t xml:space="preserve">via a </w:t>
      </w:r>
      <w:r w:rsidRPr="00E960CE" w:rsidR="007F7D40">
        <w:rPr>
          <w:rFonts w:ascii="Calibri Light" w:hAnsi="Calibri Light" w:cs="Calibri Light"/>
          <w:sz w:val="22"/>
          <w:szCs w:val="22"/>
        </w:rPr>
        <w:t>‘</w:t>
      </w:r>
      <w:r w:rsidRPr="00E960CE">
        <w:rPr>
          <w:rFonts w:ascii="Calibri Light" w:hAnsi="Calibri Light" w:cs="Calibri Light"/>
          <w:sz w:val="22"/>
          <w:szCs w:val="22"/>
        </w:rPr>
        <w:t>Right to Participate</w:t>
      </w:r>
      <w:r w:rsidRPr="00E960CE" w:rsidR="007F7D40">
        <w:rPr>
          <w:rFonts w:ascii="Calibri Light" w:hAnsi="Calibri Light" w:cs="Calibri Light"/>
          <w:sz w:val="22"/>
          <w:szCs w:val="22"/>
        </w:rPr>
        <w:t>’</w:t>
      </w:r>
      <w:r w:rsidRPr="00E960CE">
        <w:rPr>
          <w:rFonts w:ascii="Calibri Light" w:hAnsi="Calibri Light" w:cs="Calibri Light"/>
          <w:sz w:val="22"/>
          <w:szCs w:val="22"/>
        </w:rPr>
        <w:t>, which had support from</w:t>
      </w:r>
      <w:r w:rsidR="00E54DC7">
        <w:rPr>
          <w:rFonts w:ascii="Calibri Light" w:hAnsi="Calibri Light" w:cs="Calibri Light"/>
          <w:sz w:val="22"/>
          <w:szCs w:val="22"/>
        </w:rPr>
        <w:t xml:space="preserve"> the</w:t>
      </w:r>
      <w:r w:rsidRPr="00E960CE">
        <w:rPr>
          <w:rFonts w:ascii="Calibri Light" w:hAnsi="Calibri Light" w:cs="Calibri Light"/>
          <w:sz w:val="22"/>
          <w:szCs w:val="22"/>
        </w:rPr>
        <w:t xml:space="preserve"> leaseholders, freeholders and valuers who responded to the consultation.</w:t>
      </w:r>
      <w:r w:rsidR="007837E3">
        <w:rPr>
          <w:rFonts w:ascii="Calibri Light" w:hAnsi="Calibri Light" w:cs="Calibri Light"/>
          <w:sz w:val="22"/>
          <w:szCs w:val="22"/>
        </w:rPr>
        <w:t xml:space="preserve"> </w:t>
      </w:r>
      <w:r w:rsidR="001F4591">
        <w:rPr>
          <w:rFonts w:ascii="Calibri Light" w:hAnsi="Calibri Light" w:cs="Calibri Light"/>
          <w:sz w:val="22"/>
          <w:szCs w:val="22"/>
        </w:rPr>
        <w:t>It appears t</w:t>
      </w:r>
      <w:r w:rsidR="005A6FA4">
        <w:rPr>
          <w:rFonts w:ascii="Calibri Light" w:hAnsi="Calibri Light" w:cs="Calibri Light"/>
          <w:sz w:val="22"/>
          <w:szCs w:val="22"/>
        </w:rPr>
        <w:t>he</w:t>
      </w:r>
      <w:r w:rsidR="007D0B06">
        <w:rPr>
          <w:rFonts w:ascii="Calibri Light" w:hAnsi="Calibri Light" w:cs="Calibri Light"/>
          <w:sz w:val="22"/>
          <w:szCs w:val="22"/>
        </w:rPr>
        <w:t xml:space="preserve"> Law Commission</w:t>
      </w:r>
      <w:r w:rsidR="005A6FA4">
        <w:rPr>
          <w:rFonts w:ascii="Calibri Light" w:hAnsi="Calibri Light" w:cs="Calibri Light"/>
          <w:sz w:val="22"/>
          <w:szCs w:val="22"/>
        </w:rPr>
        <w:t xml:space="preserve"> </w:t>
      </w:r>
      <w:r w:rsidR="007D0B06">
        <w:rPr>
          <w:rFonts w:ascii="Calibri Light" w:hAnsi="Calibri Light" w:cs="Calibri Light"/>
          <w:sz w:val="22"/>
          <w:szCs w:val="22"/>
        </w:rPr>
        <w:t>was</w:t>
      </w:r>
      <w:r w:rsidR="005A6FA4">
        <w:rPr>
          <w:rFonts w:ascii="Calibri Light" w:hAnsi="Calibri Light" w:cs="Calibri Light"/>
          <w:sz w:val="22"/>
          <w:szCs w:val="22"/>
        </w:rPr>
        <w:t xml:space="preserve"> pressured to</w:t>
      </w:r>
      <w:r w:rsidRPr="00E960CE" w:rsidR="00AD51F3">
        <w:rPr>
          <w:rFonts w:ascii="Calibri Light" w:hAnsi="Calibri Light" w:cs="Calibri Light"/>
          <w:sz w:val="22"/>
          <w:szCs w:val="22"/>
        </w:rPr>
        <w:t xml:space="preserve"> withdraw the policy from </w:t>
      </w:r>
      <w:r w:rsidR="000E17F4">
        <w:rPr>
          <w:rFonts w:ascii="Calibri Light" w:hAnsi="Calibri Light" w:cs="Calibri Light"/>
          <w:sz w:val="22"/>
          <w:szCs w:val="22"/>
        </w:rPr>
        <w:t>its</w:t>
      </w:r>
      <w:r w:rsidRPr="00E960CE" w:rsidR="00AD51F3">
        <w:rPr>
          <w:rFonts w:ascii="Calibri Light" w:hAnsi="Calibri Light" w:cs="Calibri Light"/>
          <w:sz w:val="22"/>
          <w:szCs w:val="22"/>
        </w:rPr>
        <w:t xml:space="preserve"> final recommendations</w:t>
      </w:r>
      <w:r w:rsidR="00A12221">
        <w:rPr>
          <w:rFonts w:ascii="Calibri Light" w:hAnsi="Calibri Light" w:cs="Calibri Light"/>
          <w:sz w:val="22"/>
          <w:szCs w:val="22"/>
        </w:rPr>
        <w:t>.</w:t>
      </w:r>
    </w:p>
    <w:p w:rsidR="005325F6" w:rsidRPr="005325F6" w:rsidP="005325F6">
      <w:pPr>
        <w:jc w:val="both"/>
        <w:rPr>
          <w:rFonts w:ascii="Calibri Light" w:hAnsi="Calibri Light" w:cs="Calibri Light"/>
          <w:sz w:val="22"/>
          <w:szCs w:val="22"/>
        </w:rPr>
      </w:pPr>
    </w:p>
    <w:p w:rsidR="00C813D2" w:rsidP="007F7D40">
      <w:pPr>
        <w:pStyle w:val="ListParagraph"/>
        <w:numPr>
          <w:ilvl w:val="1"/>
          <w:numId w:val="28"/>
        </w:numPr>
        <w:jc w:val="both"/>
        <w:rPr>
          <w:rFonts w:ascii="Calibri Light" w:hAnsi="Calibri Light" w:cs="Calibri Light"/>
          <w:sz w:val="22"/>
          <w:szCs w:val="22"/>
        </w:rPr>
      </w:pPr>
      <w:r>
        <w:rPr>
          <w:rFonts w:ascii="Calibri Light" w:hAnsi="Calibri Light" w:cs="Calibri Light"/>
          <w:sz w:val="22"/>
          <w:szCs w:val="22"/>
        </w:rPr>
        <w:t>I</w:t>
      </w:r>
      <w:r w:rsidRPr="00E960CE" w:rsidR="00B50013">
        <w:rPr>
          <w:rFonts w:ascii="Calibri Light" w:hAnsi="Calibri Light" w:cs="Calibri Light"/>
          <w:sz w:val="22"/>
          <w:szCs w:val="22"/>
        </w:rPr>
        <w:t xml:space="preserve">n an environment where </w:t>
      </w:r>
      <w:r w:rsidR="002D4E98">
        <w:rPr>
          <w:rFonts w:ascii="Calibri Light" w:hAnsi="Calibri Light" w:cs="Calibri Light"/>
          <w:sz w:val="22"/>
          <w:szCs w:val="22"/>
        </w:rPr>
        <w:t xml:space="preserve">Parliament will be </w:t>
      </w:r>
      <w:r w:rsidRPr="00E960CE" w:rsidR="00B50013">
        <w:rPr>
          <w:rFonts w:ascii="Calibri Light" w:hAnsi="Calibri Light" w:cs="Calibri Light"/>
          <w:sz w:val="22"/>
          <w:szCs w:val="22"/>
        </w:rPr>
        <w:t xml:space="preserve">requiring all new flats to be sold as commonhold, </w:t>
      </w:r>
      <w:r w:rsidRPr="00E960CE" w:rsidR="00CF04CD">
        <w:rPr>
          <w:rFonts w:ascii="Calibri Light" w:hAnsi="Calibri Light" w:cs="Calibri Light"/>
          <w:sz w:val="22"/>
          <w:szCs w:val="22"/>
        </w:rPr>
        <w:t xml:space="preserve">the need for </w:t>
      </w:r>
      <w:r w:rsidR="00C10864">
        <w:rPr>
          <w:rFonts w:ascii="Calibri Light" w:hAnsi="Calibri Light" w:cs="Calibri Light"/>
          <w:sz w:val="22"/>
          <w:szCs w:val="22"/>
        </w:rPr>
        <w:t>effective</w:t>
      </w:r>
      <w:r w:rsidRPr="00E960CE" w:rsidR="00CF04CD">
        <w:rPr>
          <w:rFonts w:ascii="Calibri Light" w:hAnsi="Calibri Light" w:cs="Calibri Light"/>
          <w:sz w:val="22"/>
          <w:szCs w:val="22"/>
        </w:rPr>
        <w:t xml:space="preserve"> </w:t>
      </w:r>
      <w:r w:rsidR="00000785">
        <w:rPr>
          <w:rFonts w:ascii="Calibri Light" w:hAnsi="Calibri Light" w:cs="Calibri Light"/>
          <w:sz w:val="22"/>
          <w:szCs w:val="22"/>
        </w:rPr>
        <w:t>mechanisms</w:t>
      </w:r>
      <w:r w:rsidRPr="00E960CE" w:rsidR="00CF04CD">
        <w:rPr>
          <w:rFonts w:ascii="Calibri Light" w:hAnsi="Calibri Light" w:cs="Calibri Light"/>
          <w:sz w:val="22"/>
          <w:szCs w:val="22"/>
        </w:rPr>
        <w:t xml:space="preserve"> for existing leaseholders to upgrade their property interest </w:t>
      </w:r>
      <w:r w:rsidRPr="00E960CE" w:rsidR="005E51E8">
        <w:rPr>
          <w:rFonts w:ascii="Calibri Light" w:hAnsi="Calibri Light" w:cs="Calibri Light"/>
          <w:sz w:val="22"/>
          <w:szCs w:val="22"/>
        </w:rPr>
        <w:t>become</w:t>
      </w:r>
      <w:r w:rsidR="003E1B54">
        <w:rPr>
          <w:rFonts w:ascii="Calibri Light" w:hAnsi="Calibri Light" w:cs="Calibri Light"/>
          <w:sz w:val="22"/>
          <w:szCs w:val="22"/>
        </w:rPr>
        <w:t>s</w:t>
      </w:r>
      <w:r w:rsidRPr="00E960CE" w:rsidR="005E51E8">
        <w:rPr>
          <w:rFonts w:ascii="Calibri Light" w:hAnsi="Calibri Light" w:cs="Calibri Light"/>
          <w:sz w:val="22"/>
          <w:szCs w:val="22"/>
        </w:rPr>
        <w:t xml:space="preserve"> much stronger to avoid </w:t>
      </w:r>
      <w:r w:rsidR="004F18C1">
        <w:rPr>
          <w:rFonts w:ascii="Calibri Light" w:hAnsi="Calibri Light" w:cs="Calibri Light"/>
          <w:sz w:val="22"/>
          <w:szCs w:val="22"/>
        </w:rPr>
        <w:t xml:space="preserve">them </w:t>
      </w:r>
      <w:r w:rsidR="00666BA4">
        <w:rPr>
          <w:rFonts w:ascii="Calibri Light" w:hAnsi="Calibri Light" w:cs="Calibri Light"/>
          <w:sz w:val="22"/>
          <w:szCs w:val="22"/>
        </w:rPr>
        <w:t xml:space="preserve">being stuck </w:t>
      </w:r>
      <w:r w:rsidR="00100AEA">
        <w:rPr>
          <w:rFonts w:ascii="Calibri Light" w:hAnsi="Calibri Light" w:cs="Calibri Light"/>
          <w:sz w:val="22"/>
          <w:szCs w:val="22"/>
        </w:rPr>
        <w:t xml:space="preserve">in </w:t>
      </w:r>
      <w:r w:rsidRPr="00E960CE" w:rsidR="005E51E8">
        <w:rPr>
          <w:rFonts w:ascii="Calibri Light" w:hAnsi="Calibri Light" w:cs="Calibri Light"/>
          <w:sz w:val="22"/>
          <w:szCs w:val="22"/>
        </w:rPr>
        <w:t xml:space="preserve">a harmful two-tier market and </w:t>
      </w:r>
      <w:r w:rsidR="000E40D4">
        <w:rPr>
          <w:rFonts w:ascii="Calibri Light" w:hAnsi="Calibri Light" w:cs="Calibri Light"/>
          <w:sz w:val="22"/>
          <w:szCs w:val="22"/>
        </w:rPr>
        <w:t xml:space="preserve">to </w:t>
      </w:r>
      <w:r w:rsidR="004D065B">
        <w:rPr>
          <w:rFonts w:ascii="Calibri Light" w:hAnsi="Calibri Light" w:cs="Calibri Light"/>
          <w:sz w:val="22"/>
          <w:szCs w:val="22"/>
        </w:rPr>
        <w:t xml:space="preserve">protect against </w:t>
      </w:r>
      <w:r w:rsidRPr="00E960CE" w:rsidR="005E51E8">
        <w:rPr>
          <w:rFonts w:ascii="Calibri Light" w:hAnsi="Calibri Light" w:cs="Calibri Light"/>
          <w:sz w:val="22"/>
          <w:szCs w:val="22"/>
        </w:rPr>
        <w:t>further devaluation</w:t>
      </w:r>
      <w:r w:rsidR="00885F1E">
        <w:rPr>
          <w:rFonts w:ascii="Calibri Light" w:hAnsi="Calibri Light" w:cs="Calibri Light"/>
          <w:sz w:val="22"/>
          <w:szCs w:val="22"/>
        </w:rPr>
        <w:t xml:space="preserve"> of their homes</w:t>
      </w:r>
      <w:r w:rsidRPr="00E960CE" w:rsidR="005E51E8">
        <w:rPr>
          <w:rFonts w:ascii="Calibri Light" w:hAnsi="Calibri Light" w:cs="Calibri Light"/>
          <w:sz w:val="22"/>
          <w:szCs w:val="22"/>
        </w:rPr>
        <w:t>.</w:t>
      </w:r>
      <w:r w:rsidR="001B488A">
        <w:rPr>
          <w:rFonts w:ascii="Calibri Light" w:hAnsi="Calibri Light" w:cs="Calibri Light"/>
          <w:sz w:val="22"/>
          <w:szCs w:val="22"/>
        </w:rPr>
        <w:t xml:space="preserve"> </w:t>
      </w:r>
      <w:r w:rsidRPr="00E960CE" w:rsidR="00FC4E8D">
        <w:rPr>
          <w:rFonts w:ascii="Calibri Light" w:hAnsi="Calibri Light" w:cs="Calibri Light"/>
          <w:sz w:val="22"/>
          <w:szCs w:val="22"/>
        </w:rPr>
        <w:t xml:space="preserve">Lenders and buyers will </w:t>
      </w:r>
      <w:r w:rsidR="00491262">
        <w:rPr>
          <w:rFonts w:ascii="Calibri Light" w:hAnsi="Calibri Light" w:cs="Calibri Light"/>
          <w:sz w:val="22"/>
          <w:szCs w:val="22"/>
        </w:rPr>
        <w:t xml:space="preserve">likely </w:t>
      </w:r>
      <w:r w:rsidRPr="00E960CE" w:rsidR="00FC4E8D">
        <w:rPr>
          <w:rFonts w:ascii="Calibri Light" w:hAnsi="Calibri Light" w:cs="Calibri Light"/>
          <w:sz w:val="22"/>
          <w:szCs w:val="22"/>
        </w:rPr>
        <w:t xml:space="preserve">condemn flats on enfranchised sites which do not have a share of the freehold and are excluded from the </w:t>
      </w:r>
      <w:r w:rsidR="0060544A">
        <w:rPr>
          <w:rFonts w:ascii="Calibri Light" w:hAnsi="Calibri Light" w:cs="Calibri Light"/>
          <w:sz w:val="22"/>
          <w:szCs w:val="22"/>
        </w:rPr>
        <w:t xml:space="preserve">democratic </w:t>
      </w:r>
      <w:r w:rsidRPr="00E960CE" w:rsidR="00E20E09">
        <w:rPr>
          <w:rFonts w:ascii="Calibri Light" w:hAnsi="Calibri Light" w:cs="Calibri Light"/>
          <w:sz w:val="22"/>
          <w:szCs w:val="22"/>
        </w:rPr>
        <w:t xml:space="preserve">decision-making </w:t>
      </w:r>
      <w:r w:rsidR="00016689">
        <w:rPr>
          <w:rFonts w:ascii="Calibri Light" w:hAnsi="Calibri Light" w:cs="Calibri Light"/>
          <w:sz w:val="22"/>
          <w:szCs w:val="22"/>
        </w:rPr>
        <w:t xml:space="preserve">structure </w:t>
      </w:r>
      <w:r w:rsidRPr="00E960CE" w:rsidR="00E20E09">
        <w:rPr>
          <w:rFonts w:ascii="Calibri Light" w:hAnsi="Calibri Light" w:cs="Calibri Light"/>
          <w:sz w:val="22"/>
          <w:szCs w:val="22"/>
        </w:rPr>
        <w:t>of their leaseholder neighbours who participated in the original claim.</w:t>
      </w:r>
    </w:p>
    <w:p w:rsidR="005325F6" w:rsidRPr="005325F6" w:rsidP="005325F6">
      <w:pPr>
        <w:jc w:val="both"/>
        <w:rPr>
          <w:rFonts w:ascii="Calibri Light" w:hAnsi="Calibri Light" w:cs="Calibri Light"/>
          <w:sz w:val="22"/>
          <w:szCs w:val="22"/>
        </w:rPr>
      </w:pPr>
    </w:p>
    <w:p w:rsidR="00DF298C" w:rsidP="00CA63A7">
      <w:pPr>
        <w:pStyle w:val="ListParagraph"/>
        <w:numPr>
          <w:ilvl w:val="1"/>
          <w:numId w:val="28"/>
        </w:numPr>
        <w:jc w:val="both"/>
        <w:rPr>
          <w:rFonts w:ascii="Calibri Light" w:hAnsi="Calibri Light" w:cs="Calibri Light"/>
          <w:sz w:val="22"/>
          <w:szCs w:val="22"/>
        </w:rPr>
      </w:pPr>
      <w:r w:rsidRPr="00E960CE">
        <w:rPr>
          <w:rFonts w:ascii="Calibri Light" w:hAnsi="Calibri Light" w:cs="Calibri Light"/>
          <w:sz w:val="22"/>
          <w:szCs w:val="22"/>
        </w:rPr>
        <w:t xml:space="preserve">The issue of </w:t>
      </w:r>
      <w:r w:rsidRPr="00E960CE" w:rsidR="00010E4B">
        <w:rPr>
          <w:rFonts w:ascii="Calibri Light" w:hAnsi="Calibri Light" w:cs="Calibri Light"/>
          <w:sz w:val="22"/>
          <w:szCs w:val="22"/>
        </w:rPr>
        <w:t>disempowering</w:t>
      </w:r>
      <w:r w:rsidRPr="00E960CE" w:rsidR="00B84A68">
        <w:rPr>
          <w:rFonts w:ascii="Calibri Light" w:hAnsi="Calibri Light" w:cs="Calibri Light"/>
          <w:sz w:val="22"/>
          <w:szCs w:val="22"/>
        </w:rPr>
        <w:t xml:space="preserve"> flat-owners </w:t>
      </w:r>
      <w:r w:rsidRPr="00E960CE" w:rsidR="00E83E34">
        <w:rPr>
          <w:rFonts w:ascii="Calibri Light" w:hAnsi="Calibri Light" w:cs="Calibri Light"/>
          <w:sz w:val="22"/>
          <w:szCs w:val="22"/>
        </w:rPr>
        <w:t xml:space="preserve">in </w:t>
      </w:r>
      <w:r w:rsidRPr="00E960CE" w:rsidR="00AC4F4D">
        <w:rPr>
          <w:rFonts w:ascii="Calibri Light" w:hAnsi="Calibri Light" w:cs="Calibri Light"/>
          <w:sz w:val="22"/>
          <w:szCs w:val="22"/>
        </w:rPr>
        <w:t xml:space="preserve">perpetuity has been </w:t>
      </w:r>
      <w:r w:rsidR="00A33352">
        <w:rPr>
          <w:rFonts w:ascii="Calibri Light" w:hAnsi="Calibri Light" w:cs="Calibri Light"/>
          <w:sz w:val="22"/>
          <w:szCs w:val="22"/>
        </w:rPr>
        <w:t xml:space="preserve">inadvertently </w:t>
      </w:r>
      <w:r w:rsidRPr="00E960CE" w:rsidR="00AC4F4D">
        <w:rPr>
          <w:rFonts w:ascii="Calibri Light" w:hAnsi="Calibri Light" w:cs="Calibri Light"/>
          <w:sz w:val="22"/>
          <w:szCs w:val="22"/>
        </w:rPr>
        <w:t>recognised by th</w:t>
      </w:r>
      <w:r w:rsidR="005B3F07">
        <w:rPr>
          <w:rFonts w:ascii="Calibri Light" w:hAnsi="Calibri Light" w:cs="Calibri Light"/>
          <w:sz w:val="22"/>
          <w:szCs w:val="22"/>
        </w:rPr>
        <w:t>e</w:t>
      </w:r>
      <w:r w:rsidRPr="00E960CE" w:rsidR="00AC4F4D">
        <w:rPr>
          <w:rFonts w:ascii="Calibri Light" w:hAnsi="Calibri Light" w:cs="Calibri Light"/>
          <w:sz w:val="22"/>
          <w:szCs w:val="22"/>
        </w:rPr>
        <w:t xml:space="preserve"> government in the draft Bill </w:t>
      </w:r>
      <w:r w:rsidRPr="00E960CE" w:rsidR="00410692">
        <w:rPr>
          <w:rFonts w:ascii="Calibri Light" w:hAnsi="Calibri Light" w:cs="Calibri Light"/>
          <w:sz w:val="22"/>
          <w:szCs w:val="22"/>
        </w:rPr>
        <w:t xml:space="preserve">by </w:t>
      </w:r>
      <w:r w:rsidR="001532A8">
        <w:rPr>
          <w:rFonts w:ascii="Calibri Light" w:hAnsi="Calibri Light" w:cs="Calibri Light"/>
          <w:sz w:val="22"/>
          <w:szCs w:val="22"/>
        </w:rPr>
        <w:t>its</w:t>
      </w:r>
      <w:r w:rsidRPr="00E960CE" w:rsidR="00410692">
        <w:rPr>
          <w:rFonts w:ascii="Calibri Light" w:hAnsi="Calibri Light" w:cs="Calibri Light"/>
          <w:sz w:val="22"/>
          <w:szCs w:val="22"/>
        </w:rPr>
        <w:t xml:space="preserve"> changed approach </w:t>
      </w:r>
      <w:r w:rsidR="00A71603">
        <w:rPr>
          <w:rFonts w:ascii="Calibri Light" w:hAnsi="Calibri Light" w:cs="Calibri Light"/>
          <w:sz w:val="22"/>
          <w:szCs w:val="22"/>
        </w:rPr>
        <w:t>to</w:t>
      </w:r>
      <w:r w:rsidRPr="00E960CE" w:rsidR="00A845F2">
        <w:rPr>
          <w:rFonts w:ascii="Calibri Light" w:hAnsi="Calibri Light" w:cs="Calibri Light"/>
          <w:sz w:val="22"/>
          <w:szCs w:val="22"/>
        </w:rPr>
        <w:t xml:space="preserve"> dealing with leasehold blocks converting to commonhold. </w:t>
      </w:r>
      <w:r w:rsidRPr="00DF298C">
        <w:rPr>
          <w:rFonts w:ascii="Calibri Light" w:hAnsi="Calibri Light" w:cs="Calibri Light"/>
          <w:sz w:val="22"/>
          <w:szCs w:val="22"/>
        </w:rPr>
        <w:t>Not only will residual leaseholders (</w:t>
      </w:r>
      <w:r w:rsidR="007C3CC5">
        <w:rPr>
          <w:rFonts w:ascii="Calibri Light" w:hAnsi="Calibri Light" w:cs="Calibri Light"/>
          <w:sz w:val="22"/>
          <w:szCs w:val="22"/>
        </w:rPr>
        <w:t>described</w:t>
      </w:r>
      <w:r w:rsidRPr="00DF298C">
        <w:rPr>
          <w:rFonts w:ascii="Calibri Light" w:hAnsi="Calibri Light" w:cs="Calibri Light"/>
          <w:sz w:val="22"/>
          <w:szCs w:val="22"/>
        </w:rPr>
        <w:t xml:space="preserve"> by the government as non-participating leaseholders) enjoy the same voting rights as their neighbours who participated in the conversion, they will also have the right to extinguish their leasehold for commonhold at a time of their choosing, rather than being excluded from decision-making until the property </w:t>
      </w:r>
      <w:r>
        <w:rPr>
          <w:rFonts w:ascii="Calibri Light" w:hAnsi="Calibri Light" w:cs="Calibri Light"/>
          <w:sz w:val="22"/>
          <w:szCs w:val="22"/>
        </w:rPr>
        <w:t>i</w:t>
      </w:r>
      <w:r w:rsidRPr="00DF298C">
        <w:rPr>
          <w:rFonts w:ascii="Calibri Light" w:hAnsi="Calibri Light" w:cs="Calibri Light"/>
          <w:sz w:val="22"/>
          <w:szCs w:val="22"/>
        </w:rPr>
        <w:t>s sold, as originally proposed in the Commonhold White Paper</w:t>
      </w:r>
      <w:r w:rsidR="00C10F14">
        <w:rPr>
          <w:rFonts w:ascii="Calibri Light" w:hAnsi="Calibri Light" w:cs="Calibri Light"/>
          <w:sz w:val="22"/>
          <w:szCs w:val="22"/>
        </w:rPr>
        <w:t xml:space="preserve"> of March 2025</w:t>
      </w:r>
      <w:r w:rsidRPr="00DF298C">
        <w:rPr>
          <w:rFonts w:ascii="Calibri Light" w:hAnsi="Calibri Light" w:cs="Calibri Light"/>
          <w:sz w:val="22"/>
          <w:szCs w:val="22"/>
        </w:rPr>
        <w:t>.</w:t>
      </w:r>
    </w:p>
    <w:p w:rsidR="00DF298C" w:rsidRPr="00DF298C" w:rsidP="00CA63A7">
      <w:pPr>
        <w:pStyle w:val="ListParagraph"/>
        <w:jc w:val="both"/>
        <w:rPr>
          <w:rFonts w:ascii="Calibri Light" w:hAnsi="Calibri Light" w:cs="Calibri Light"/>
          <w:sz w:val="22"/>
          <w:szCs w:val="22"/>
        </w:rPr>
      </w:pPr>
    </w:p>
    <w:p w:rsidR="007F2D4E" w:rsidRPr="00E27280" w:rsidP="00CA63A7">
      <w:pPr>
        <w:pStyle w:val="ListParagraph"/>
        <w:numPr>
          <w:ilvl w:val="1"/>
          <w:numId w:val="28"/>
        </w:numPr>
        <w:jc w:val="both"/>
        <w:rPr>
          <w:rFonts w:ascii="Calibri Light" w:hAnsi="Calibri Light" w:cs="Calibri Light"/>
          <w:sz w:val="22"/>
          <w:szCs w:val="22"/>
        </w:rPr>
      </w:pPr>
      <w:r w:rsidRPr="00E27280">
        <w:rPr>
          <w:rFonts w:ascii="Calibri Light" w:hAnsi="Calibri Light" w:cs="Calibri Light"/>
          <w:sz w:val="22"/>
          <w:szCs w:val="22"/>
        </w:rPr>
        <w:t xml:space="preserve">Now is the time to revisit a Right to Participate in collective enfranchisement. Any such right should avoid the </w:t>
      </w:r>
      <w:r w:rsidR="00333008">
        <w:rPr>
          <w:rFonts w:ascii="Calibri Light" w:hAnsi="Calibri Light" w:cs="Calibri Light"/>
          <w:sz w:val="22"/>
          <w:szCs w:val="22"/>
        </w:rPr>
        <w:t>procedural traps</w:t>
      </w:r>
      <w:r w:rsidRPr="00E27280">
        <w:rPr>
          <w:rFonts w:ascii="Calibri Light" w:hAnsi="Calibri Light" w:cs="Calibri Light"/>
          <w:sz w:val="22"/>
          <w:szCs w:val="22"/>
        </w:rPr>
        <w:t xml:space="preserve"> </w:t>
      </w:r>
      <w:r w:rsidR="00E60F65">
        <w:rPr>
          <w:rFonts w:ascii="Calibri Light" w:hAnsi="Calibri Light" w:cs="Calibri Light"/>
          <w:sz w:val="22"/>
          <w:szCs w:val="22"/>
        </w:rPr>
        <w:t xml:space="preserve">and bureaucracy </w:t>
      </w:r>
      <w:r w:rsidRPr="00E27280">
        <w:rPr>
          <w:rFonts w:ascii="Calibri Light" w:hAnsi="Calibri Light" w:cs="Calibri Light"/>
          <w:sz w:val="22"/>
          <w:szCs w:val="22"/>
        </w:rPr>
        <w:t xml:space="preserve">associated with </w:t>
      </w:r>
      <w:r w:rsidR="00F252BF">
        <w:rPr>
          <w:rFonts w:ascii="Calibri Light" w:hAnsi="Calibri Light" w:cs="Calibri Light"/>
          <w:sz w:val="22"/>
          <w:szCs w:val="22"/>
        </w:rPr>
        <w:t xml:space="preserve">making a </w:t>
      </w:r>
      <w:r w:rsidRPr="00E27280">
        <w:rPr>
          <w:rFonts w:ascii="Calibri Light" w:hAnsi="Calibri Light" w:cs="Calibri Light"/>
          <w:sz w:val="22"/>
          <w:szCs w:val="22"/>
        </w:rPr>
        <w:t>Right to Manage</w:t>
      </w:r>
      <w:r w:rsidR="009231EC">
        <w:rPr>
          <w:rFonts w:ascii="Calibri Light" w:hAnsi="Calibri Light" w:cs="Calibri Light"/>
          <w:sz w:val="22"/>
          <w:szCs w:val="22"/>
        </w:rPr>
        <w:t xml:space="preserve"> claim</w:t>
      </w:r>
      <w:r w:rsidRPr="00E27280">
        <w:rPr>
          <w:rFonts w:ascii="Calibri Light" w:hAnsi="Calibri Light" w:cs="Calibri Light"/>
          <w:sz w:val="22"/>
          <w:szCs w:val="22"/>
        </w:rPr>
        <w:t>, while being carefully designed to prevent leaseholders from free-riding on the efforts of those making the</w:t>
      </w:r>
      <w:r w:rsidR="00CD62EE">
        <w:rPr>
          <w:rFonts w:ascii="Calibri Light" w:hAnsi="Calibri Light" w:cs="Calibri Light"/>
          <w:sz w:val="22"/>
          <w:szCs w:val="22"/>
        </w:rPr>
        <w:t xml:space="preserve"> collective enfranchisement</w:t>
      </w:r>
      <w:r w:rsidRPr="00E27280">
        <w:rPr>
          <w:rFonts w:ascii="Calibri Light" w:hAnsi="Calibri Light" w:cs="Calibri Light"/>
          <w:sz w:val="22"/>
          <w:szCs w:val="22"/>
        </w:rPr>
        <w:t xml:space="preserve"> claim, which would also make it harder to satisfy the 50% participation threshold.</w:t>
      </w:r>
    </w:p>
    <w:p w:rsidR="00E27280" w:rsidRPr="00E27280" w:rsidP="00E27280">
      <w:pPr>
        <w:rPr>
          <w:rFonts w:ascii="Calibri Light" w:hAnsi="Calibri Light" w:cs="Calibri Light"/>
          <w:sz w:val="22"/>
          <w:szCs w:val="22"/>
        </w:rPr>
      </w:pPr>
    </w:p>
    <w:p w:rsidR="00D42551" w:rsidRPr="00D61307" w:rsidP="00343A67">
      <w:pPr>
        <w:pStyle w:val="ListParagraph"/>
        <w:numPr>
          <w:ilvl w:val="0"/>
          <w:numId w:val="38"/>
        </w:numPr>
        <w:rPr>
          <w:rFonts w:asciiTheme="majorHAnsi" w:hAnsiTheme="majorHAnsi" w:cstheme="majorHAnsi"/>
          <w:b/>
          <w:bCs/>
          <w:sz w:val="30"/>
          <w:szCs w:val="30"/>
        </w:rPr>
      </w:pPr>
      <w:r w:rsidRPr="00D61307">
        <w:rPr>
          <w:rFonts w:asciiTheme="majorHAnsi" w:hAnsiTheme="majorHAnsi" w:cstheme="majorHAnsi"/>
          <w:b/>
          <w:bCs/>
          <w:sz w:val="30"/>
          <w:szCs w:val="30"/>
        </w:rPr>
        <w:t xml:space="preserve">No universal </w:t>
      </w:r>
      <w:r w:rsidRPr="00D61307" w:rsidR="007F2D4E">
        <w:rPr>
          <w:rFonts w:asciiTheme="majorHAnsi" w:hAnsiTheme="majorHAnsi" w:cstheme="majorHAnsi"/>
          <w:b/>
          <w:bCs/>
          <w:sz w:val="30"/>
          <w:szCs w:val="30"/>
        </w:rPr>
        <w:t>Right to Manage</w:t>
      </w:r>
      <w:r w:rsidRPr="00D61307">
        <w:rPr>
          <w:rFonts w:asciiTheme="majorHAnsi" w:hAnsiTheme="majorHAnsi" w:cstheme="majorHAnsi"/>
          <w:b/>
          <w:bCs/>
          <w:sz w:val="30"/>
          <w:szCs w:val="30"/>
        </w:rPr>
        <w:t xml:space="preserve"> scheme </w:t>
      </w:r>
    </w:p>
    <w:p w:rsidR="00D920EA" w:rsidP="00204C74">
      <w:pPr>
        <w:rPr>
          <w:rFonts w:ascii="Calibri" w:hAnsi="Calibri" w:cs="Calibri"/>
          <w:sz w:val="22"/>
          <w:szCs w:val="22"/>
        </w:rPr>
      </w:pPr>
    </w:p>
    <w:p w:rsidR="00C813D2" w:rsidP="006D4A02">
      <w:pPr>
        <w:pStyle w:val="ListParagraph"/>
        <w:numPr>
          <w:ilvl w:val="1"/>
          <w:numId w:val="30"/>
        </w:numPr>
        <w:jc w:val="both"/>
        <w:rPr>
          <w:rFonts w:asciiTheme="majorHAnsi" w:hAnsiTheme="majorHAnsi" w:cstheme="majorHAnsi"/>
          <w:sz w:val="22"/>
          <w:szCs w:val="22"/>
        </w:rPr>
      </w:pPr>
      <w:r w:rsidRPr="006D4A02">
        <w:rPr>
          <w:rFonts w:asciiTheme="majorHAnsi" w:hAnsiTheme="majorHAnsi" w:cstheme="majorHAnsi"/>
          <w:sz w:val="22"/>
          <w:szCs w:val="22"/>
        </w:rPr>
        <w:t>Despite the Right to Manage reforms in the 2024 Act that came into force on 3 March 2025, Right to Manage is</w:t>
      </w:r>
      <w:r w:rsidR="00782DBA">
        <w:rPr>
          <w:rFonts w:asciiTheme="majorHAnsi" w:hAnsiTheme="majorHAnsi" w:cstheme="majorHAnsi"/>
          <w:sz w:val="22"/>
          <w:szCs w:val="22"/>
        </w:rPr>
        <w:t xml:space="preserve"> still</w:t>
      </w:r>
      <w:r w:rsidRPr="006D4A02">
        <w:rPr>
          <w:rFonts w:asciiTheme="majorHAnsi" w:hAnsiTheme="majorHAnsi" w:cstheme="majorHAnsi"/>
          <w:sz w:val="22"/>
          <w:szCs w:val="22"/>
        </w:rPr>
        <w:t xml:space="preserve"> fiendishly difficult to achieve against well-resourced freeholders who seek to maintain </w:t>
      </w:r>
      <w:r w:rsidR="00FB104F">
        <w:rPr>
          <w:rFonts w:asciiTheme="majorHAnsi" w:hAnsiTheme="majorHAnsi" w:cstheme="majorHAnsi"/>
          <w:sz w:val="22"/>
          <w:szCs w:val="22"/>
        </w:rPr>
        <w:t xml:space="preserve">their </w:t>
      </w:r>
      <w:r w:rsidRPr="006D4A02">
        <w:rPr>
          <w:rFonts w:asciiTheme="majorHAnsi" w:hAnsiTheme="majorHAnsi" w:cstheme="majorHAnsi"/>
          <w:sz w:val="22"/>
          <w:szCs w:val="22"/>
        </w:rPr>
        <w:t xml:space="preserve">control of leaseholders’ homes and money. </w:t>
      </w:r>
      <w:r w:rsidRPr="006D4A02" w:rsidR="00005535">
        <w:rPr>
          <w:rFonts w:asciiTheme="majorHAnsi" w:hAnsiTheme="majorHAnsi" w:cstheme="majorHAnsi"/>
          <w:sz w:val="22"/>
          <w:szCs w:val="22"/>
        </w:rPr>
        <w:t xml:space="preserve">The process to make an RTM claim </w:t>
      </w:r>
      <w:r w:rsidRPr="006D4A02" w:rsidR="00AD1252">
        <w:rPr>
          <w:rFonts w:asciiTheme="majorHAnsi" w:hAnsiTheme="majorHAnsi" w:cstheme="majorHAnsi"/>
          <w:sz w:val="22"/>
          <w:szCs w:val="22"/>
        </w:rPr>
        <w:t xml:space="preserve">is full of </w:t>
      </w:r>
      <w:r w:rsidR="00932679">
        <w:rPr>
          <w:rFonts w:asciiTheme="majorHAnsi" w:hAnsiTheme="majorHAnsi" w:cstheme="majorHAnsi"/>
          <w:sz w:val="22"/>
          <w:szCs w:val="22"/>
        </w:rPr>
        <w:t xml:space="preserve">procedural </w:t>
      </w:r>
      <w:r w:rsidRPr="006D4A02" w:rsidR="00AD1252">
        <w:rPr>
          <w:rFonts w:asciiTheme="majorHAnsi" w:hAnsiTheme="majorHAnsi" w:cstheme="majorHAnsi"/>
          <w:sz w:val="22"/>
          <w:szCs w:val="22"/>
        </w:rPr>
        <w:t xml:space="preserve">traps </w:t>
      </w:r>
      <w:r w:rsidRPr="006D4A02" w:rsidR="000207A8">
        <w:rPr>
          <w:rFonts w:asciiTheme="majorHAnsi" w:hAnsiTheme="majorHAnsi" w:cstheme="majorHAnsi"/>
          <w:sz w:val="22"/>
          <w:szCs w:val="22"/>
        </w:rPr>
        <w:t>and freeholders</w:t>
      </w:r>
      <w:r w:rsidR="00510222">
        <w:rPr>
          <w:rFonts w:asciiTheme="majorHAnsi" w:hAnsiTheme="majorHAnsi" w:cstheme="majorHAnsi"/>
          <w:sz w:val="22"/>
          <w:szCs w:val="22"/>
        </w:rPr>
        <w:t xml:space="preserve"> and their lawyers</w:t>
      </w:r>
      <w:r w:rsidRPr="006D4A02" w:rsidR="000207A8">
        <w:rPr>
          <w:rFonts w:asciiTheme="majorHAnsi" w:hAnsiTheme="majorHAnsi" w:cstheme="majorHAnsi"/>
          <w:sz w:val="22"/>
          <w:szCs w:val="22"/>
        </w:rPr>
        <w:t xml:space="preserve"> </w:t>
      </w:r>
      <w:r w:rsidRPr="006D4A02" w:rsidR="00EB5844">
        <w:rPr>
          <w:rFonts w:asciiTheme="majorHAnsi" w:hAnsiTheme="majorHAnsi" w:cstheme="majorHAnsi"/>
          <w:sz w:val="22"/>
          <w:szCs w:val="22"/>
        </w:rPr>
        <w:t xml:space="preserve">routinely nobble the already highly restrictive and bureaucratic scheme outlined in the 2002 Act. For example, </w:t>
      </w:r>
      <w:r w:rsidRPr="006D4A02" w:rsidR="00696746">
        <w:rPr>
          <w:rFonts w:asciiTheme="majorHAnsi" w:hAnsiTheme="majorHAnsi" w:cstheme="majorHAnsi"/>
          <w:sz w:val="22"/>
          <w:szCs w:val="22"/>
        </w:rPr>
        <w:t>a Court of Appeal decision last year means that even where the lease is not yet registered at the Land Registry</w:t>
      </w:r>
      <w:r w:rsidR="006811F6">
        <w:rPr>
          <w:rFonts w:asciiTheme="majorHAnsi" w:hAnsiTheme="majorHAnsi" w:cstheme="majorHAnsi"/>
          <w:sz w:val="22"/>
          <w:szCs w:val="22"/>
        </w:rPr>
        <w:t xml:space="preserve"> (</w:t>
      </w:r>
      <w:r w:rsidRPr="006811F6" w:rsidR="006811F6">
        <w:rPr>
          <w:rFonts w:asciiTheme="majorHAnsi" w:hAnsiTheme="majorHAnsi" w:cstheme="majorHAnsi"/>
          <w:sz w:val="22"/>
          <w:szCs w:val="22"/>
        </w:rPr>
        <w:t>suffering delays of up to two years currently</w:t>
      </w:r>
      <w:r w:rsidR="006811F6">
        <w:rPr>
          <w:rFonts w:asciiTheme="majorHAnsi" w:hAnsiTheme="majorHAnsi" w:cstheme="majorHAnsi"/>
          <w:sz w:val="22"/>
          <w:szCs w:val="22"/>
        </w:rPr>
        <w:t>)</w:t>
      </w:r>
      <w:r w:rsidRPr="006D4A02" w:rsidR="00696746">
        <w:rPr>
          <w:rFonts w:asciiTheme="majorHAnsi" w:hAnsiTheme="majorHAnsi" w:cstheme="majorHAnsi"/>
          <w:sz w:val="22"/>
          <w:szCs w:val="22"/>
        </w:rPr>
        <w:t xml:space="preserve">, </w:t>
      </w:r>
      <w:r w:rsidRPr="006D4A02" w:rsidR="00E40E30">
        <w:rPr>
          <w:rFonts w:asciiTheme="majorHAnsi" w:hAnsiTheme="majorHAnsi" w:cstheme="majorHAnsi"/>
          <w:sz w:val="22"/>
          <w:szCs w:val="22"/>
        </w:rPr>
        <w:t>leaseholders</w:t>
      </w:r>
      <w:r w:rsidRPr="006D4A02" w:rsidR="00E105FD">
        <w:rPr>
          <w:rFonts w:asciiTheme="majorHAnsi" w:hAnsiTheme="majorHAnsi" w:cstheme="majorHAnsi"/>
          <w:sz w:val="22"/>
          <w:szCs w:val="22"/>
        </w:rPr>
        <w:t>’</w:t>
      </w:r>
      <w:r w:rsidRPr="006D4A02" w:rsidR="00E40E30">
        <w:rPr>
          <w:rFonts w:asciiTheme="majorHAnsi" w:hAnsiTheme="majorHAnsi" w:cstheme="majorHAnsi"/>
          <w:sz w:val="22"/>
          <w:szCs w:val="22"/>
        </w:rPr>
        <w:t xml:space="preserve"> failure </w:t>
      </w:r>
      <w:r w:rsidRPr="006D4A02" w:rsidR="00E105FD">
        <w:rPr>
          <w:rFonts w:asciiTheme="majorHAnsi" w:hAnsiTheme="majorHAnsi" w:cstheme="majorHAnsi"/>
          <w:sz w:val="22"/>
          <w:szCs w:val="22"/>
        </w:rPr>
        <w:t>to</w:t>
      </w:r>
      <w:r w:rsidRPr="006D4A02" w:rsidR="00696746">
        <w:rPr>
          <w:rFonts w:asciiTheme="majorHAnsi" w:hAnsiTheme="majorHAnsi" w:cstheme="majorHAnsi"/>
          <w:sz w:val="22"/>
          <w:szCs w:val="22"/>
        </w:rPr>
        <w:t xml:space="preserve"> serv</w:t>
      </w:r>
      <w:r w:rsidRPr="006D4A02" w:rsidR="00AE4AF8">
        <w:rPr>
          <w:rFonts w:asciiTheme="majorHAnsi" w:hAnsiTheme="majorHAnsi" w:cstheme="majorHAnsi"/>
          <w:sz w:val="22"/>
          <w:szCs w:val="22"/>
        </w:rPr>
        <w:t>e</w:t>
      </w:r>
      <w:r w:rsidRPr="006D4A02" w:rsidR="00696746">
        <w:rPr>
          <w:rFonts w:asciiTheme="majorHAnsi" w:hAnsiTheme="majorHAnsi" w:cstheme="majorHAnsi"/>
          <w:sz w:val="22"/>
          <w:szCs w:val="22"/>
        </w:rPr>
        <w:t xml:space="preserve"> the Notice Inviting </w:t>
      </w:r>
      <w:r w:rsidRPr="006D4A02" w:rsidR="00E40E30">
        <w:rPr>
          <w:rFonts w:asciiTheme="majorHAnsi" w:hAnsiTheme="majorHAnsi" w:cstheme="majorHAnsi"/>
          <w:sz w:val="22"/>
          <w:szCs w:val="22"/>
        </w:rPr>
        <w:t>Participation</w:t>
      </w:r>
      <w:r w:rsidRPr="006D4A02" w:rsidR="00696746">
        <w:rPr>
          <w:rFonts w:asciiTheme="majorHAnsi" w:hAnsiTheme="majorHAnsi" w:cstheme="majorHAnsi"/>
          <w:sz w:val="22"/>
          <w:szCs w:val="22"/>
        </w:rPr>
        <w:t xml:space="preserve"> on </w:t>
      </w:r>
      <w:r w:rsidRPr="006D4A02" w:rsidR="0068179A">
        <w:rPr>
          <w:rFonts w:asciiTheme="majorHAnsi" w:hAnsiTheme="majorHAnsi" w:cstheme="majorHAnsi"/>
          <w:sz w:val="22"/>
          <w:szCs w:val="22"/>
        </w:rPr>
        <w:t>them</w:t>
      </w:r>
      <w:r w:rsidRPr="006D4A02" w:rsidR="00DB1A38">
        <w:rPr>
          <w:rFonts w:asciiTheme="majorHAnsi" w:hAnsiTheme="majorHAnsi" w:cstheme="majorHAnsi"/>
          <w:sz w:val="22"/>
          <w:szCs w:val="22"/>
        </w:rPr>
        <w:t xml:space="preserve"> </w:t>
      </w:r>
      <w:r w:rsidRPr="006D4A02" w:rsidR="002720BD">
        <w:rPr>
          <w:rFonts w:asciiTheme="majorHAnsi" w:hAnsiTheme="majorHAnsi" w:cstheme="majorHAnsi"/>
          <w:sz w:val="22"/>
          <w:szCs w:val="22"/>
        </w:rPr>
        <w:t xml:space="preserve">means that </w:t>
      </w:r>
      <w:r w:rsidRPr="006D4A02" w:rsidR="00696746">
        <w:rPr>
          <w:rFonts w:asciiTheme="majorHAnsi" w:hAnsiTheme="majorHAnsi" w:cstheme="majorHAnsi"/>
          <w:sz w:val="22"/>
          <w:szCs w:val="22"/>
        </w:rPr>
        <w:t xml:space="preserve">the </w:t>
      </w:r>
      <w:r w:rsidRPr="006D4A02" w:rsidR="002720BD">
        <w:rPr>
          <w:rFonts w:asciiTheme="majorHAnsi" w:hAnsiTheme="majorHAnsi" w:cstheme="majorHAnsi"/>
          <w:sz w:val="22"/>
          <w:szCs w:val="22"/>
        </w:rPr>
        <w:t xml:space="preserve">entire </w:t>
      </w:r>
      <w:r w:rsidRPr="006D4A02" w:rsidR="00696746">
        <w:rPr>
          <w:rFonts w:asciiTheme="majorHAnsi" w:hAnsiTheme="majorHAnsi" w:cstheme="majorHAnsi"/>
          <w:sz w:val="22"/>
          <w:szCs w:val="22"/>
        </w:rPr>
        <w:t xml:space="preserve">claim is invalid. </w:t>
      </w:r>
      <w:r w:rsidRPr="006D4A02" w:rsidR="00DB1A38">
        <w:rPr>
          <w:rFonts w:asciiTheme="majorHAnsi" w:hAnsiTheme="majorHAnsi" w:cstheme="majorHAnsi"/>
          <w:sz w:val="22"/>
          <w:szCs w:val="22"/>
        </w:rPr>
        <w:t>There is no ability for the tribunal to waive technical</w:t>
      </w:r>
      <w:r w:rsidRPr="006D4A02" w:rsidR="004E5EC0">
        <w:rPr>
          <w:rFonts w:asciiTheme="majorHAnsi" w:hAnsiTheme="majorHAnsi" w:cstheme="majorHAnsi"/>
          <w:sz w:val="22"/>
          <w:szCs w:val="22"/>
        </w:rPr>
        <w:t>, minor, or inconsequential</w:t>
      </w:r>
      <w:r w:rsidRPr="006D4A02" w:rsidR="00DB1A38">
        <w:rPr>
          <w:rFonts w:asciiTheme="majorHAnsi" w:hAnsiTheme="majorHAnsi" w:cstheme="majorHAnsi"/>
          <w:sz w:val="22"/>
          <w:szCs w:val="22"/>
        </w:rPr>
        <w:t xml:space="preserve"> errors</w:t>
      </w:r>
      <w:r w:rsidRPr="006D4A02" w:rsidR="00B111D5">
        <w:rPr>
          <w:rFonts w:asciiTheme="majorHAnsi" w:hAnsiTheme="majorHAnsi" w:cstheme="majorHAnsi"/>
          <w:sz w:val="22"/>
          <w:szCs w:val="22"/>
        </w:rPr>
        <w:t xml:space="preserve"> and there is </w:t>
      </w:r>
      <w:r w:rsidR="00AA1157">
        <w:rPr>
          <w:rFonts w:asciiTheme="majorHAnsi" w:hAnsiTheme="majorHAnsi" w:cstheme="majorHAnsi"/>
          <w:sz w:val="22"/>
          <w:szCs w:val="22"/>
        </w:rPr>
        <w:t xml:space="preserve">also </w:t>
      </w:r>
      <w:r w:rsidRPr="006D4A02" w:rsidR="00B111D5">
        <w:rPr>
          <w:rFonts w:asciiTheme="majorHAnsi" w:hAnsiTheme="majorHAnsi" w:cstheme="majorHAnsi"/>
          <w:sz w:val="22"/>
          <w:szCs w:val="22"/>
        </w:rPr>
        <w:t xml:space="preserve">no statutory presumption </w:t>
      </w:r>
      <w:r w:rsidR="00574184">
        <w:rPr>
          <w:rFonts w:asciiTheme="majorHAnsi" w:hAnsiTheme="majorHAnsi" w:cstheme="majorHAnsi"/>
          <w:sz w:val="22"/>
          <w:szCs w:val="22"/>
        </w:rPr>
        <w:t xml:space="preserve">in favour </w:t>
      </w:r>
      <w:r w:rsidRPr="006D4A02" w:rsidR="00B111D5">
        <w:rPr>
          <w:rFonts w:asciiTheme="majorHAnsi" w:hAnsiTheme="majorHAnsi" w:cstheme="majorHAnsi"/>
          <w:sz w:val="22"/>
          <w:szCs w:val="22"/>
        </w:rPr>
        <w:t xml:space="preserve">of the Right to Manage, </w:t>
      </w:r>
      <w:r w:rsidRPr="006D4A02" w:rsidR="00105985">
        <w:rPr>
          <w:rFonts w:asciiTheme="majorHAnsi" w:hAnsiTheme="majorHAnsi" w:cstheme="majorHAnsi"/>
          <w:sz w:val="22"/>
          <w:szCs w:val="22"/>
        </w:rPr>
        <w:t xml:space="preserve">as </w:t>
      </w:r>
      <w:r w:rsidR="002D2553">
        <w:rPr>
          <w:rFonts w:asciiTheme="majorHAnsi" w:hAnsiTheme="majorHAnsi" w:cstheme="majorHAnsi"/>
          <w:sz w:val="22"/>
          <w:szCs w:val="22"/>
        </w:rPr>
        <w:t>proposed</w:t>
      </w:r>
      <w:r w:rsidRPr="006D4A02" w:rsidR="00B00C01">
        <w:rPr>
          <w:rFonts w:asciiTheme="majorHAnsi" w:hAnsiTheme="majorHAnsi" w:cstheme="majorHAnsi"/>
          <w:sz w:val="22"/>
          <w:szCs w:val="22"/>
        </w:rPr>
        <w:t xml:space="preserve"> by Rachel Blake MP in her Private Member’s Bill.</w:t>
      </w:r>
    </w:p>
    <w:p w:rsidR="006D4A02" w:rsidRPr="006D4A02" w:rsidP="006D4A02">
      <w:pPr>
        <w:pStyle w:val="ListParagraph"/>
        <w:jc w:val="both"/>
        <w:rPr>
          <w:rFonts w:asciiTheme="majorHAnsi" w:hAnsiTheme="majorHAnsi" w:cstheme="majorHAnsi"/>
          <w:sz w:val="22"/>
          <w:szCs w:val="22"/>
        </w:rPr>
      </w:pPr>
    </w:p>
    <w:p w:rsidR="006D4A02" w:rsidRPr="00E5743A" w:rsidP="00E5743A">
      <w:pPr>
        <w:pStyle w:val="ListParagraph"/>
        <w:numPr>
          <w:ilvl w:val="1"/>
          <w:numId w:val="30"/>
        </w:numPr>
        <w:jc w:val="both"/>
        <w:rPr>
          <w:rFonts w:asciiTheme="majorHAnsi" w:hAnsiTheme="majorHAnsi" w:cstheme="majorHAnsi"/>
          <w:sz w:val="22"/>
          <w:szCs w:val="22"/>
        </w:rPr>
      </w:pPr>
      <w:r w:rsidRPr="006D4A02">
        <w:rPr>
          <w:rFonts w:asciiTheme="majorHAnsi" w:hAnsiTheme="majorHAnsi" w:cstheme="majorHAnsi"/>
          <w:sz w:val="22"/>
          <w:szCs w:val="22"/>
        </w:rPr>
        <w:t>In October</w:t>
      </w:r>
      <w:r w:rsidRPr="006D4A02" w:rsidR="003664D7">
        <w:rPr>
          <w:rFonts w:asciiTheme="majorHAnsi" w:hAnsiTheme="majorHAnsi" w:cstheme="majorHAnsi"/>
          <w:sz w:val="22"/>
          <w:szCs w:val="22"/>
        </w:rPr>
        <w:t xml:space="preserve"> 2025</w:t>
      </w:r>
      <w:r w:rsidRPr="006D4A02" w:rsidR="00D920EA">
        <w:rPr>
          <w:rFonts w:asciiTheme="majorHAnsi" w:hAnsiTheme="majorHAnsi" w:cstheme="majorHAnsi"/>
          <w:sz w:val="22"/>
          <w:szCs w:val="22"/>
        </w:rPr>
        <w:t xml:space="preserve">, Free Leaseholders attended a </w:t>
      </w:r>
      <w:r w:rsidR="000A5528">
        <w:rPr>
          <w:rFonts w:asciiTheme="majorHAnsi" w:hAnsiTheme="majorHAnsi" w:cstheme="majorHAnsi"/>
          <w:sz w:val="22"/>
          <w:szCs w:val="22"/>
        </w:rPr>
        <w:t>F</w:t>
      </w:r>
      <w:r w:rsidR="00E30CEE">
        <w:rPr>
          <w:rFonts w:asciiTheme="majorHAnsi" w:hAnsiTheme="majorHAnsi" w:cstheme="majorHAnsi"/>
          <w:sz w:val="22"/>
          <w:szCs w:val="22"/>
        </w:rPr>
        <w:t>irst-</w:t>
      </w:r>
      <w:r w:rsidR="000A5528">
        <w:rPr>
          <w:rFonts w:asciiTheme="majorHAnsi" w:hAnsiTheme="majorHAnsi" w:cstheme="majorHAnsi"/>
          <w:sz w:val="22"/>
          <w:szCs w:val="22"/>
        </w:rPr>
        <w:t>t</w:t>
      </w:r>
      <w:r w:rsidR="00E30CEE">
        <w:rPr>
          <w:rFonts w:asciiTheme="majorHAnsi" w:hAnsiTheme="majorHAnsi" w:cstheme="majorHAnsi"/>
          <w:sz w:val="22"/>
          <w:szCs w:val="22"/>
        </w:rPr>
        <w:t xml:space="preserve">ier </w:t>
      </w:r>
      <w:r w:rsidR="000A5528">
        <w:rPr>
          <w:rFonts w:asciiTheme="majorHAnsi" w:hAnsiTheme="majorHAnsi" w:cstheme="majorHAnsi"/>
          <w:sz w:val="22"/>
          <w:szCs w:val="22"/>
        </w:rPr>
        <w:t>T</w:t>
      </w:r>
      <w:r w:rsidRPr="006D4A02" w:rsidR="00D920EA">
        <w:rPr>
          <w:rFonts w:asciiTheme="majorHAnsi" w:hAnsiTheme="majorHAnsi" w:cstheme="majorHAnsi"/>
          <w:sz w:val="22"/>
          <w:szCs w:val="22"/>
        </w:rPr>
        <w:t xml:space="preserve">ribunal hearing that cost the leaseholders £150,000 to defend against an offshore billionaire freeholder. </w:t>
      </w:r>
      <w:r w:rsidRPr="006D4A02" w:rsidR="004E5EC0">
        <w:rPr>
          <w:rFonts w:asciiTheme="majorHAnsi" w:hAnsiTheme="majorHAnsi" w:cstheme="majorHAnsi"/>
          <w:sz w:val="22"/>
          <w:szCs w:val="22"/>
        </w:rPr>
        <w:t xml:space="preserve">The barrister for the freeholder </w:t>
      </w:r>
      <w:r w:rsidRPr="006D4A02" w:rsidR="00D93CA1">
        <w:rPr>
          <w:rFonts w:asciiTheme="majorHAnsi" w:hAnsiTheme="majorHAnsi" w:cstheme="majorHAnsi"/>
          <w:sz w:val="22"/>
          <w:szCs w:val="22"/>
        </w:rPr>
        <w:t>told</w:t>
      </w:r>
      <w:r w:rsidRPr="006D4A02" w:rsidR="004E5EC0">
        <w:rPr>
          <w:rFonts w:asciiTheme="majorHAnsi" w:hAnsiTheme="majorHAnsi" w:cstheme="majorHAnsi"/>
          <w:sz w:val="22"/>
          <w:szCs w:val="22"/>
        </w:rPr>
        <w:t xml:space="preserve"> the tribunal that Right to Manage is a highly limited one, although this would change if Parliament ever implemented the Law Commission’s 2020 </w:t>
      </w:r>
      <w:r w:rsidRPr="006D4A02" w:rsidR="00B8759A">
        <w:rPr>
          <w:rFonts w:asciiTheme="majorHAnsi" w:hAnsiTheme="majorHAnsi" w:cstheme="majorHAnsi"/>
          <w:sz w:val="22"/>
          <w:szCs w:val="22"/>
        </w:rPr>
        <w:t>recommendations</w:t>
      </w:r>
      <w:r w:rsidRPr="006D4A02" w:rsidR="004E5EC0">
        <w:rPr>
          <w:rFonts w:asciiTheme="majorHAnsi" w:hAnsiTheme="majorHAnsi" w:cstheme="majorHAnsi"/>
          <w:sz w:val="22"/>
          <w:szCs w:val="22"/>
        </w:rPr>
        <w:t>, which he worked on.</w:t>
      </w:r>
      <w:r w:rsidR="0094508F">
        <w:rPr>
          <w:rFonts w:asciiTheme="majorHAnsi" w:hAnsiTheme="majorHAnsi" w:cstheme="majorHAnsi"/>
          <w:sz w:val="22"/>
          <w:szCs w:val="22"/>
        </w:rPr>
        <w:t xml:space="preserve"> </w:t>
      </w:r>
      <w:r w:rsidRPr="009F70F1" w:rsidR="009F70F1">
        <w:rPr>
          <w:rFonts w:asciiTheme="majorHAnsi" w:hAnsiTheme="majorHAnsi" w:cstheme="majorHAnsi"/>
          <w:sz w:val="22"/>
          <w:szCs w:val="22"/>
        </w:rPr>
        <w:t>Although the leaseholders won their RTM claim, the freeholder is appealing to the Upper Tribunal and potentially higher courts.</w:t>
      </w:r>
    </w:p>
    <w:p w:rsidR="006D4A02" w:rsidRPr="006D4A02" w:rsidP="006D4A02">
      <w:pPr>
        <w:pStyle w:val="ListParagraph"/>
        <w:jc w:val="both"/>
        <w:rPr>
          <w:rFonts w:asciiTheme="majorHAnsi" w:hAnsiTheme="majorHAnsi" w:cstheme="majorHAnsi"/>
          <w:sz w:val="22"/>
          <w:szCs w:val="22"/>
        </w:rPr>
      </w:pPr>
    </w:p>
    <w:p w:rsidR="00C813D2" w:rsidP="006D4A02">
      <w:pPr>
        <w:pStyle w:val="ListParagraph"/>
        <w:numPr>
          <w:ilvl w:val="1"/>
          <w:numId w:val="30"/>
        </w:numPr>
        <w:jc w:val="both"/>
        <w:rPr>
          <w:rFonts w:asciiTheme="majorHAnsi" w:hAnsiTheme="majorHAnsi" w:cstheme="majorHAnsi"/>
          <w:sz w:val="22"/>
          <w:szCs w:val="22"/>
        </w:rPr>
      </w:pPr>
      <w:r w:rsidRPr="006D4A02">
        <w:rPr>
          <w:rFonts w:asciiTheme="majorHAnsi" w:hAnsiTheme="majorHAnsi" w:cstheme="majorHAnsi"/>
          <w:sz w:val="22"/>
          <w:szCs w:val="22"/>
        </w:rPr>
        <w:t xml:space="preserve">Beyond the need to implement the remaining Law Commission Right to Manage recommendations, as had been promised in the Labour </w:t>
      </w:r>
      <w:r w:rsidRPr="006D4A02" w:rsidR="00D032B9">
        <w:rPr>
          <w:rFonts w:asciiTheme="majorHAnsi" w:hAnsiTheme="majorHAnsi" w:cstheme="majorHAnsi"/>
          <w:sz w:val="22"/>
          <w:szCs w:val="22"/>
        </w:rPr>
        <w:t>manifesto and King’s Speech,</w:t>
      </w:r>
      <w:r w:rsidR="00F63EA3">
        <w:rPr>
          <w:rFonts w:asciiTheme="majorHAnsi" w:hAnsiTheme="majorHAnsi" w:cstheme="majorHAnsi"/>
          <w:sz w:val="22"/>
          <w:szCs w:val="22"/>
        </w:rPr>
        <w:t xml:space="preserve"> </w:t>
      </w:r>
      <w:r w:rsidRPr="006D4A02" w:rsidR="004972FB">
        <w:rPr>
          <w:rFonts w:asciiTheme="majorHAnsi" w:hAnsiTheme="majorHAnsi" w:cstheme="majorHAnsi"/>
          <w:sz w:val="22"/>
          <w:szCs w:val="22"/>
        </w:rPr>
        <w:t xml:space="preserve">the case is overwhelming </w:t>
      </w:r>
      <w:r w:rsidRPr="006D4A02" w:rsidR="00574709">
        <w:rPr>
          <w:rFonts w:asciiTheme="majorHAnsi" w:hAnsiTheme="majorHAnsi" w:cstheme="majorHAnsi"/>
          <w:sz w:val="22"/>
          <w:szCs w:val="22"/>
        </w:rPr>
        <w:t xml:space="preserve">for Parliament to reduce the </w:t>
      </w:r>
      <w:r w:rsidRPr="006D4A02" w:rsidR="00DB0594">
        <w:rPr>
          <w:rFonts w:asciiTheme="majorHAnsi" w:hAnsiTheme="majorHAnsi" w:cstheme="majorHAnsi"/>
          <w:sz w:val="22"/>
          <w:szCs w:val="22"/>
        </w:rPr>
        <w:t xml:space="preserve">onerous </w:t>
      </w:r>
      <w:r w:rsidRPr="006D4A02" w:rsidR="00E71B0F">
        <w:rPr>
          <w:rFonts w:asciiTheme="majorHAnsi" w:hAnsiTheme="majorHAnsi" w:cstheme="majorHAnsi"/>
          <w:sz w:val="22"/>
          <w:szCs w:val="22"/>
        </w:rPr>
        <w:t xml:space="preserve">50% participation threshold </w:t>
      </w:r>
      <w:r w:rsidRPr="006D4A02" w:rsidR="00E27EE7">
        <w:rPr>
          <w:rFonts w:asciiTheme="majorHAnsi" w:hAnsiTheme="majorHAnsi" w:cstheme="majorHAnsi"/>
          <w:sz w:val="22"/>
          <w:szCs w:val="22"/>
        </w:rPr>
        <w:t>for any RTM claim to be successful.</w:t>
      </w:r>
    </w:p>
    <w:p w:rsidR="006D4A02" w:rsidRPr="006D4A02" w:rsidP="006D4A02">
      <w:pPr>
        <w:pStyle w:val="ListParagraph"/>
        <w:jc w:val="both"/>
        <w:rPr>
          <w:rFonts w:asciiTheme="majorHAnsi" w:hAnsiTheme="majorHAnsi" w:cstheme="majorHAnsi"/>
          <w:sz w:val="22"/>
          <w:szCs w:val="22"/>
        </w:rPr>
      </w:pPr>
    </w:p>
    <w:p w:rsidR="00C813D2" w:rsidP="006D4A02">
      <w:pPr>
        <w:pStyle w:val="ListParagraph"/>
        <w:numPr>
          <w:ilvl w:val="1"/>
          <w:numId w:val="30"/>
        </w:numPr>
        <w:jc w:val="both"/>
        <w:rPr>
          <w:rFonts w:asciiTheme="majorHAnsi" w:hAnsiTheme="majorHAnsi" w:cstheme="majorHAnsi"/>
          <w:sz w:val="22"/>
          <w:szCs w:val="22"/>
        </w:rPr>
      </w:pPr>
      <w:r w:rsidRPr="002D4CD4">
        <w:rPr>
          <w:rFonts w:asciiTheme="majorHAnsi" w:hAnsiTheme="majorHAnsi" w:cstheme="majorHAnsi"/>
          <w:sz w:val="22"/>
          <w:szCs w:val="22"/>
        </w:rPr>
        <w:t>The previous government intended to bring forward an amendment to what became the 2024 Act to allow the Secretary of State to lower the threshold, but this did not proceed following the calling of an early general election.</w:t>
      </w:r>
      <w:r>
        <w:rPr>
          <w:rFonts w:asciiTheme="majorHAnsi" w:hAnsiTheme="majorHAnsi" w:cstheme="majorHAnsi"/>
          <w:sz w:val="22"/>
          <w:szCs w:val="22"/>
        </w:rPr>
        <w:t xml:space="preserve"> </w:t>
      </w:r>
      <w:r w:rsidRPr="006D4A02" w:rsidR="00660D2B">
        <w:rPr>
          <w:rFonts w:asciiTheme="majorHAnsi" w:hAnsiTheme="majorHAnsi" w:cstheme="majorHAnsi"/>
          <w:sz w:val="22"/>
          <w:szCs w:val="22"/>
        </w:rPr>
        <w:t>In the last Parliament, there was cross-party support for reducing it to 35% or one-third</w:t>
      </w:r>
      <w:r w:rsidRPr="006D4A02" w:rsidR="000775E1">
        <w:rPr>
          <w:rFonts w:asciiTheme="majorHAnsi" w:hAnsiTheme="majorHAnsi" w:cstheme="majorHAnsi"/>
          <w:sz w:val="22"/>
          <w:szCs w:val="22"/>
        </w:rPr>
        <w:t xml:space="preserve">. </w:t>
      </w:r>
      <w:r w:rsidR="00673894">
        <w:rPr>
          <w:rFonts w:asciiTheme="majorHAnsi" w:hAnsiTheme="majorHAnsi" w:cstheme="majorHAnsi"/>
          <w:sz w:val="22"/>
          <w:szCs w:val="22"/>
        </w:rPr>
        <w:t xml:space="preserve">The </w:t>
      </w:r>
      <w:r w:rsidRPr="006D4A02" w:rsidR="00412B1B">
        <w:rPr>
          <w:rFonts w:asciiTheme="majorHAnsi" w:hAnsiTheme="majorHAnsi" w:cstheme="majorHAnsi"/>
          <w:sz w:val="22"/>
          <w:szCs w:val="22"/>
        </w:rPr>
        <w:t>Private Member’s Bill</w:t>
      </w:r>
      <w:r w:rsidR="00673894">
        <w:rPr>
          <w:rFonts w:asciiTheme="majorHAnsi" w:hAnsiTheme="majorHAnsi" w:cstheme="majorHAnsi"/>
          <w:sz w:val="22"/>
          <w:szCs w:val="22"/>
        </w:rPr>
        <w:t xml:space="preserve"> of Rachel Blake MP</w:t>
      </w:r>
      <w:r w:rsidRPr="006D4A02" w:rsidR="00412B1B">
        <w:rPr>
          <w:rFonts w:asciiTheme="majorHAnsi" w:hAnsiTheme="majorHAnsi" w:cstheme="majorHAnsi"/>
          <w:sz w:val="22"/>
          <w:szCs w:val="22"/>
        </w:rPr>
        <w:t xml:space="preserve"> proposes 35% and </w:t>
      </w:r>
      <w:r w:rsidRPr="006D4A02" w:rsidR="005F40C0">
        <w:rPr>
          <w:rFonts w:asciiTheme="majorHAnsi" w:hAnsiTheme="majorHAnsi" w:cstheme="majorHAnsi"/>
          <w:sz w:val="22"/>
          <w:szCs w:val="22"/>
        </w:rPr>
        <w:t xml:space="preserve">only involving those leaseholders who respond to the claim notice. </w:t>
      </w:r>
      <w:r w:rsidRPr="006D4A02" w:rsidR="00FA3E9B">
        <w:rPr>
          <w:rFonts w:asciiTheme="majorHAnsi" w:hAnsiTheme="majorHAnsi" w:cstheme="majorHAnsi"/>
          <w:sz w:val="22"/>
          <w:szCs w:val="22"/>
        </w:rPr>
        <w:t xml:space="preserve">Since leaseholders have a right to participate or to join the Right to Manage company after the RTM </w:t>
      </w:r>
      <w:r w:rsidR="00690B7D">
        <w:rPr>
          <w:rFonts w:asciiTheme="majorHAnsi" w:hAnsiTheme="majorHAnsi" w:cstheme="majorHAnsi"/>
          <w:sz w:val="22"/>
          <w:szCs w:val="22"/>
        </w:rPr>
        <w:t>claim has been successful</w:t>
      </w:r>
      <w:r w:rsidRPr="006D4A02" w:rsidR="00FA3E9B">
        <w:rPr>
          <w:rFonts w:asciiTheme="majorHAnsi" w:hAnsiTheme="majorHAnsi" w:cstheme="majorHAnsi"/>
          <w:sz w:val="22"/>
          <w:szCs w:val="22"/>
        </w:rPr>
        <w:t xml:space="preserve">, there is no need for </w:t>
      </w:r>
      <w:r w:rsidRPr="006D4A02" w:rsidR="004B3D9B">
        <w:rPr>
          <w:rFonts w:asciiTheme="majorHAnsi" w:hAnsiTheme="majorHAnsi" w:cstheme="majorHAnsi"/>
          <w:sz w:val="22"/>
          <w:szCs w:val="22"/>
        </w:rPr>
        <w:t xml:space="preserve">having a requirement of upfront support of 50% of the entirety of leaseholders, which can thwart those leaseholders </w:t>
      </w:r>
      <w:r w:rsidRPr="006D4A02" w:rsidR="005E51D0">
        <w:rPr>
          <w:rFonts w:asciiTheme="majorHAnsi" w:hAnsiTheme="majorHAnsi" w:cstheme="majorHAnsi"/>
          <w:sz w:val="22"/>
          <w:szCs w:val="22"/>
        </w:rPr>
        <w:t>in bigger buildings and those where a significant proportion of units are held as buy-to-let investments, including by uncontactable or overseas interests, and in cases with freeholders retaining flats.</w:t>
      </w:r>
    </w:p>
    <w:p w:rsidR="006D4A02" w:rsidRPr="006D4A02" w:rsidP="006D4A02">
      <w:pPr>
        <w:jc w:val="both"/>
        <w:rPr>
          <w:rFonts w:asciiTheme="majorHAnsi" w:hAnsiTheme="majorHAnsi" w:cstheme="majorHAnsi"/>
          <w:sz w:val="22"/>
          <w:szCs w:val="22"/>
        </w:rPr>
      </w:pPr>
    </w:p>
    <w:p w:rsidR="004066E5" w:rsidP="001B5EF1">
      <w:pPr>
        <w:pStyle w:val="ListParagraph"/>
        <w:numPr>
          <w:ilvl w:val="1"/>
          <w:numId w:val="30"/>
        </w:numPr>
        <w:jc w:val="both"/>
        <w:rPr>
          <w:rFonts w:asciiTheme="majorHAnsi" w:hAnsiTheme="majorHAnsi" w:cstheme="majorHAnsi"/>
          <w:sz w:val="22"/>
          <w:szCs w:val="22"/>
        </w:rPr>
      </w:pPr>
      <w:r w:rsidRPr="006D4A02">
        <w:rPr>
          <w:rFonts w:asciiTheme="majorHAnsi" w:hAnsiTheme="majorHAnsi" w:cstheme="majorHAnsi"/>
          <w:sz w:val="22"/>
          <w:szCs w:val="22"/>
        </w:rPr>
        <w:t xml:space="preserve">Given freeholders are already at risk of losing management and service charge control from a Section 24 application brought by a single leaseholder, </w:t>
      </w:r>
      <w:r w:rsidRPr="006D4A02" w:rsidR="00C56DF3">
        <w:rPr>
          <w:rFonts w:asciiTheme="majorHAnsi" w:hAnsiTheme="majorHAnsi" w:cstheme="majorHAnsi"/>
          <w:sz w:val="22"/>
          <w:szCs w:val="22"/>
        </w:rPr>
        <w:t xml:space="preserve">it is illogical and unfair </w:t>
      </w:r>
      <w:r w:rsidRPr="006D4A02" w:rsidR="00CB2A54">
        <w:rPr>
          <w:rFonts w:asciiTheme="majorHAnsi" w:hAnsiTheme="majorHAnsi" w:cstheme="majorHAnsi"/>
          <w:sz w:val="22"/>
          <w:szCs w:val="22"/>
        </w:rPr>
        <w:t xml:space="preserve">for the </w:t>
      </w:r>
      <w:r w:rsidRPr="006D4A02" w:rsidR="00EC5D9C">
        <w:rPr>
          <w:rFonts w:asciiTheme="majorHAnsi" w:hAnsiTheme="majorHAnsi" w:cstheme="majorHAnsi"/>
          <w:sz w:val="22"/>
          <w:szCs w:val="22"/>
        </w:rPr>
        <w:t>‘</w:t>
      </w:r>
      <w:r w:rsidRPr="006D4A02" w:rsidR="00CB2A54">
        <w:rPr>
          <w:rFonts w:asciiTheme="majorHAnsi" w:hAnsiTheme="majorHAnsi" w:cstheme="majorHAnsi"/>
          <w:sz w:val="22"/>
          <w:szCs w:val="22"/>
        </w:rPr>
        <w:t>no-fault</w:t>
      </w:r>
      <w:r w:rsidRPr="006D4A02" w:rsidR="00EC5D9C">
        <w:rPr>
          <w:rFonts w:asciiTheme="majorHAnsi" w:hAnsiTheme="majorHAnsi" w:cstheme="majorHAnsi"/>
          <w:sz w:val="22"/>
          <w:szCs w:val="22"/>
        </w:rPr>
        <w:t>’</w:t>
      </w:r>
      <w:r w:rsidRPr="006D4A02" w:rsidR="00CB2A54">
        <w:rPr>
          <w:rFonts w:asciiTheme="majorHAnsi" w:hAnsiTheme="majorHAnsi" w:cstheme="majorHAnsi"/>
          <w:sz w:val="22"/>
          <w:szCs w:val="22"/>
        </w:rPr>
        <w:t xml:space="preserve"> Right to Manage scheme </w:t>
      </w:r>
      <w:r w:rsidRPr="006D4A02" w:rsidR="00EC5D9C">
        <w:rPr>
          <w:rFonts w:asciiTheme="majorHAnsi" w:hAnsiTheme="majorHAnsi" w:cstheme="majorHAnsi"/>
          <w:sz w:val="22"/>
          <w:szCs w:val="22"/>
        </w:rPr>
        <w:t xml:space="preserve">to require </w:t>
      </w:r>
      <w:r w:rsidRPr="006D4A02" w:rsidR="004E4220">
        <w:rPr>
          <w:rFonts w:asciiTheme="majorHAnsi" w:hAnsiTheme="majorHAnsi" w:cstheme="majorHAnsi"/>
          <w:sz w:val="22"/>
          <w:szCs w:val="22"/>
        </w:rPr>
        <w:t xml:space="preserve">such high levels of </w:t>
      </w:r>
      <w:r w:rsidRPr="006D4A02" w:rsidR="00F27447">
        <w:rPr>
          <w:rFonts w:asciiTheme="majorHAnsi" w:hAnsiTheme="majorHAnsi" w:cstheme="majorHAnsi"/>
          <w:sz w:val="22"/>
          <w:szCs w:val="22"/>
        </w:rPr>
        <w:t xml:space="preserve">leaseholder support from the beginning. </w:t>
      </w:r>
    </w:p>
    <w:p w:rsidR="001B5EF1" w:rsidRPr="001B5EF1" w:rsidP="001B5EF1">
      <w:pPr>
        <w:jc w:val="both"/>
        <w:rPr>
          <w:rFonts w:asciiTheme="majorHAnsi" w:hAnsiTheme="majorHAnsi" w:cstheme="majorHAnsi"/>
          <w:sz w:val="22"/>
          <w:szCs w:val="22"/>
        </w:rPr>
      </w:pPr>
    </w:p>
    <w:p w:rsidR="004066E5" w:rsidP="00D61307">
      <w:pPr>
        <w:pStyle w:val="ListParagraph"/>
        <w:numPr>
          <w:ilvl w:val="1"/>
          <w:numId w:val="30"/>
        </w:numPr>
        <w:jc w:val="both"/>
        <w:rPr>
          <w:rFonts w:asciiTheme="majorHAnsi" w:hAnsiTheme="majorHAnsi" w:cstheme="majorHAnsi"/>
          <w:sz w:val="22"/>
          <w:szCs w:val="22"/>
        </w:rPr>
      </w:pPr>
      <w:r>
        <w:rPr>
          <w:rFonts w:asciiTheme="majorHAnsi" w:hAnsiTheme="majorHAnsi" w:cstheme="majorHAnsi"/>
          <w:sz w:val="22"/>
          <w:szCs w:val="22"/>
        </w:rPr>
        <w:t xml:space="preserve">Free Leaseholders supports an amendment to the Bill to give the Secretary of State the power </w:t>
      </w:r>
      <w:r w:rsidR="006F61D8">
        <w:rPr>
          <w:rFonts w:asciiTheme="majorHAnsi" w:hAnsiTheme="majorHAnsi" w:cstheme="majorHAnsi"/>
          <w:sz w:val="22"/>
          <w:szCs w:val="22"/>
        </w:rPr>
        <w:t>to reduce the 50% participation threshold for Right to Manage claims.</w:t>
      </w:r>
    </w:p>
    <w:p w:rsidR="001B5EF1" w:rsidRPr="001B5EF1" w:rsidP="001B5EF1">
      <w:pPr>
        <w:pStyle w:val="ListParagraph"/>
        <w:rPr>
          <w:rFonts w:asciiTheme="majorHAnsi" w:hAnsiTheme="majorHAnsi" w:cstheme="majorHAnsi"/>
          <w:sz w:val="22"/>
          <w:szCs w:val="22"/>
        </w:rPr>
      </w:pPr>
    </w:p>
    <w:p w:rsidR="001B5EF1" w:rsidRPr="001B5EF1" w:rsidP="00E609C6">
      <w:pPr>
        <w:pStyle w:val="ListParagraph"/>
        <w:numPr>
          <w:ilvl w:val="1"/>
          <w:numId w:val="30"/>
        </w:numPr>
        <w:jc w:val="both"/>
        <w:rPr>
          <w:rFonts w:asciiTheme="majorHAnsi" w:hAnsiTheme="majorHAnsi" w:cstheme="majorHAnsi"/>
          <w:sz w:val="22"/>
          <w:szCs w:val="22"/>
        </w:rPr>
      </w:pPr>
      <w:r w:rsidRPr="006D4A02">
        <w:rPr>
          <w:rFonts w:asciiTheme="majorHAnsi" w:hAnsiTheme="majorHAnsi" w:cstheme="majorHAnsi"/>
          <w:sz w:val="22"/>
          <w:szCs w:val="22"/>
        </w:rPr>
        <w:t>To support the reduction in the 50% participation threshold, there could be an implied term in leases to confirm that every leaseholder in the block has consented to being a member of an RTM Company should one be formed for the premises.</w:t>
      </w:r>
    </w:p>
    <w:p w:rsidR="00D920EA" w:rsidP="00E609C6">
      <w:pPr>
        <w:jc w:val="both"/>
        <w:rPr>
          <w:rFonts w:ascii="Calibri" w:hAnsi="Calibri" w:cs="Calibri"/>
          <w:sz w:val="22"/>
          <w:szCs w:val="22"/>
        </w:rPr>
      </w:pPr>
    </w:p>
    <w:p w:rsidR="00DB5C71" w:rsidRPr="005427A3" w:rsidP="00E609C6">
      <w:pPr>
        <w:pStyle w:val="ListParagraph"/>
        <w:numPr>
          <w:ilvl w:val="0"/>
          <w:numId w:val="38"/>
        </w:numPr>
        <w:jc w:val="both"/>
        <w:rPr>
          <w:rFonts w:ascii="Calibri Light" w:hAnsi="Calibri Light" w:cs="Calibri Light"/>
          <w:b/>
          <w:bCs/>
          <w:sz w:val="30"/>
          <w:szCs w:val="30"/>
        </w:rPr>
      </w:pPr>
      <w:r w:rsidRPr="005427A3">
        <w:rPr>
          <w:rFonts w:ascii="Calibri Light" w:hAnsi="Calibri Light" w:cs="Calibri Light"/>
          <w:b/>
          <w:bCs/>
          <w:sz w:val="30"/>
          <w:szCs w:val="30"/>
        </w:rPr>
        <w:t xml:space="preserve">Problems with </w:t>
      </w:r>
      <w:r w:rsidR="0027465E">
        <w:rPr>
          <w:rFonts w:ascii="Calibri Light" w:hAnsi="Calibri Light" w:cs="Calibri Light"/>
          <w:b/>
          <w:bCs/>
          <w:sz w:val="30"/>
          <w:szCs w:val="30"/>
        </w:rPr>
        <w:t xml:space="preserve">design of </w:t>
      </w:r>
      <w:r w:rsidR="003F2D2A">
        <w:rPr>
          <w:rFonts w:ascii="Calibri Light" w:hAnsi="Calibri Light" w:cs="Calibri Light"/>
          <w:b/>
          <w:bCs/>
          <w:sz w:val="30"/>
          <w:szCs w:val="30"/>
        </w:rPr>
        <w:t xml:space="preserve">the </w:t>
      </w:r>
      <w:r w:rsidRPr="005427A3">
        <w:rPr>
          <w:rFonts w:ascii="Calibri Light" w:hAnsi="Calibri Light" w:cs="Calibri Light"/>
          <w:b/>
          <w:bCs/>
          <w:sz w:val="30"/>
          <w:szCs w:val="30"/>
        </w:rPr>
        <w:t>commonhold</w:t>
      </w:r>
      <w:r w:rsidR="003E3328">
        <w:rPr>
          <w:rFonts w:ascii="Calibri Light" w:hAnsi="Calibri Light" w:cs="Calibri Light"/>
          <w:b/>
          <w:bCs/>
          <w:sz w:val="30"/>
          <w:szCs w:val="30"/>
        </w:rPr>
        <w:t xml:space="preserve"> proposals</w:t>
      </w:r>
    </w:p>
    <w:p w:rsidR="00C813D2" w:rsidP="00E609C6">
      <w:pPr>
        <w:jc w:val="both"/>
        <w:rPr>
          <w:rFonts w:ascii="Calibri" w:hAnsi="Calibri" w:cs="Calibri"/>
          <w:sz w:val="22"/>
          <w:szCs w:val="22"/>
        </w:rPr>
      </w:pPr>
    </w:p>
    <w:p w:rsidR="00802021" w:rsidRPr="0017795B" w:rsidP="00E609C6">
      <w:pPr>
        <w:pStyle w:val="ListParagraph"/>
        <w:numPr>
          <w:ilvl w:val="1"/>
          <w:numId w:val="38"/>
        </w:numPr>
        <w:jc w:val="both"/>
        <w:rPr>
          <w:rFonts w:ascii="Calibri Light" w:hAnsi="Calibri Light" w:cs="Calibri Light"/>
          <w:b/>
          <w:bCs/>
          <w:sz w:val="22"/>
          <w:szCs w:val="22"/>
        </w:rPr>
      </w:pPr>
      <w:r w:rsidRPr="0017795B">
        <w:rPr>
          <w:rFonts w:ascii="Calibri Light" w:hAnsi="Calibri Light" w:cs="Calibri Light"/>
          <w:b/>
          <w:bCs/>
          <w:sz w:val="22"/>
          <w:szCs w:val="22"/>
        </w:rPr>
        <w:t xml:space="preserve">Veto powers </w:t>
      </w:r>
      <w:r w:rsidR="00C76B41">
        <w:rPr>
          <w:rFonts w:ascii="Calibri Light" w:hAnsi="Calibri Light" w:cs="Calibri Light"/>
          <w:b/>
          <w:bCs/>
          <w:sz w:val="22"/>
          <w:szCs w:val="22"/>
        </w:rPr>
        <w:t>for</w:t>
      </w:r>
      <w:r w:rsidRPr="0017795B">
        <w:rPr>
          <w:rFonts w:ascii="Calibri Light" w:hAnsi="Calibri Light" w:cs="Calibri Light"/>
          <w:b/>
          <w:bCs/>
          <w:sz w:val="22"/>
          <w:szCs w:val="22"/>
        </w:rPr>
        <w:t xml:space="preserve"> housing associations under the </w:t>
      </w:r>
      <w:r w:rsidRPr="0017795B" w:rsidR="00393193">
        <w:rPr>
          <w:rFonts w:ascii="Calibri Light" w:hAnsi="Calibri Light" w:cs="Calibri Light"/>
          <w:b/>
          <w:bCs/>
          <w:sz w:val="22"/>
          <w:szCs w:val="22"/>
        </w:rPr>
        <w:t>10-year ‘initial repair period’ policy</w:t>
      </w:r>
    </w:p>
    <w:p w:rsidR="00802021" w:rsidRPr="00802021" w:rsidP="00E609C6">
      <w:pPr>
        <w:ind w:left="360"/>
        <w:jc w:val="both"/>
        <w:rPr>
          <w:rFonts w:ascii="Calibri Light" w:hAnsi="Calibri Light" w:cs="Calibri Light"/>
          <w:sz w:val="22"/>
          <w:szCs w:val="22"/>
        </w:rPr>
      </w:pPr>
    </w:p>
    <w:p w:rsidR="006A73AC" w:rsidP="00E609C6">
      <w:pPr>
        <w:pStyle w:val="ListParagraph"/>
        <w:numPr>
          <w:ilvl w:val="2"/>
          <w:numId w:val="38"/>
        </w:numPr>
        <w:jc w:val="both"/>
        <w:rPr>
          <w:rFonts w:ascii="Calibri Light" w:hAnsi="Calibri Light" w:cs="Calibri Light"/>
          <w:sz w:val="22"/>
          <w:szCs w:val="22"/>
        </w:rPr>
      </w:pPr>
      <w:r w:rsidRPr="006A73AC">
        <w:rPr>
          <w:rFonts w:ascii="Calibri Light" w:hAnsi="Calibri Light" w:cs="Calibri Light"/>
          <w:sz w:val="22"/>
          <w:szCs w:val="22"/>
        </w:rPr>
        <w:t xml:space="preserve">Subsequent to the Law Commission reports, the then Conservative government introduced </w:t>
      </w:r>
      <w:r w:rsidRPr="006A73AC" w:rsidR="00802021">
        <w:rPr>
          <w:rFonts w:ascii="Calibri Light" w:hAnsi="Calibri Light" w:cs="Calibri Light"/>
          <w:sz w:val="22"/>
          <w:szCs w:val="22"/>
        </w:rPr>
        <w:t xml:space="preserve">a new model for shared ownership involving a 10-year ‘initial repair period’ policy, which means that the landlord is responsible for the cost of some repairs and cannot use the reserve fund to pay for repairs that are their responsibility </w:t>
      </w:r>
      <w:r w:rsidR="00CB401C">
        <w:rPr>
          <w:rFonts w:ascii="Calibri Light" w:hAnsi="Calibri Light" w:cs="Calibri Light"/>
          <w:sz w:val="22"/>
          <w:szCs w:val="22"/>
        </w:rPr>
        <w:t>nor</w:t>
      </w:r>
      <w:r w:rsidRPr="006A73AC" w:rsidR="00802021">
        <w:rPr>
          <w:rFonts w:ascii="Calibri Light" w:hAnsi="Calibri Light" w:cs="Calibri Light"/>
          <w:sz w:val="22"/>
          <w:szCs w:val="22"/>
        </w:rPr>
        <w:t xml:space="preserve"> the service charge to pay for external and structural repairs. The costs of essential repairs to the outside of the building and essential structural repairs to walls, floors, ceiling and stairs inside </w:t>
      </w:r>
      <w:r w:rsidRPr="006A73AC" w:rsidR="000C0CA4">
        <w:rPr>
          <w:rFonts w:ascii="Calibri Light" w:hAnsi="Calibri Light" w:cs="Calibri Light"/>
          <w:sz w:val="22"/>
          <w:szCs w:val="22"/>
        </w:rPr>
        <w:t>a shared owner’s</w:t>
      </w:r>
      <w:r w:rsidRPr="006A73AC" w:rsidR="00802021">
        <w:rPr>
          <w:rFonts w:ascii="Calibri Light" w:hAnsi="Calibri Light" w:cs="Calibri Light"/>
          <w:sz w:val="22"/>
          <w:szCs w:val="22"/>
        </w:rPr>
        <w:t xml:space="preserve"> home fall on the landlord. However, this policy has not had enough consideration in terms of its implications for commonhold</w:t>
      </w:r>
      <w:r w:rsidR="00817D8D">
        <w:rPr>
          <w:rFonts w:ascii="Calibri Light" w:hAnsi="Calibri Light" w:cs="Calibri Light"/>
          <w:sz w:val="22"/>
          <w:szCs w:val="22"/>
        </w:rPr>
        <w:t xml:space="preserve"> reform</w:t>
      </w:r>
      <w:r w:rsidRPr="006A73AC" w:rsidR="00802021">
        <w:rPr>
          <w:rFonts w:ascii="Calibri Light" w:hAnsi="Calibri Light" w:cs="Calibri Light"/>
          <w:sz w:val="22"/>
          <w:szCs w:val="22"/>
        </w:rPr>
        <w:t xml:space="preserve">. </w:t>
      </w:r>
    </w:p>
    <w:p w:rsidR="006A73AC" w:rsidRPr="006A73AC" w:rsidP="006A73AC">
      <w:pPr>
        <w:pStyle w:val="ListParagraph"/>
        <w:ind w:left="1224"/>
        <w:jc w:val="both"/>
        <w:rPr>
          <w:rFonts w:ascii="Calibri Light" w:hAnsi="Calibri Light" w:cs="Calibri Light"/>
          <w:sz w:val="22"/>
          <w:szCs w:val="22"/>
        </w:rPr>
      </w:pPr>
    </w:p>
    <w:p w:rsidR="006A73AC" w:rsidRPr="006A73AC" w:rsidP="00343A67">
      <w:pPr>
        <w:pStyle w:val="ListParagraph"/>
        <w:numPr>
          <w:ilvl w:val="2"/>
          <w:numId w:val="38"/>
        </w:numPr>
        <w:jc w:val="both"/>
        <w:rPr>
          <w:rFonts w:ascii="Calibri Light" w:hAnsi="Calibri Light" w:cs="Calibri Light"/>
          <w:sz w:val="22"/>
          <w:szCs w:val="22"/>
        </w:rPr>
      </w:pPr>
      <w:r w:rsidRPr="006A73AC">
        <w:rPr>
          <w:rFonts w:ascii="Calibri Light" w:eastAsia="Times New Roman" w:hAnsi="Calibri Light" w:cs="Calibri Light"/>
          <w:sz w:val="22"/>
          <w:szCs w:val="22"/>
          <w:lang w:eastAsia="en-GB"/>
        </w:rPr>
        <w:t xml:space="preserve">Allowing housing associations to have voting rights over day-to-day block management and service charges in a commonhold, even if limited to the ten-year initial repair period, sets a dangerous precedent. </w:t>
      </w:r>
    </w:p>
    <w:p w:rsidR="006A73AC" w:rsidRPr="006A73AC" w:rsidP="006A73AC">
      <w:pPr>
        <w:jc w:val="both"/>
        <w:rPr>
          <w:rFonts w:ascii="Calibri Light" w:hAnsi="Calibri Light" w:cs="Calibri Light"/>
          <w:sz w:val="22"/>
          <w:szCs w:val="22"/>
        </w:rPr>
      </w:pPr>
    </w:p>
    <w:p w:rsidR="006A73AC" w:rsidRPr="006A73AC" w:rsidP="00343A67">
      <w:pPr>
        <w:pStyle w:val="ListParagraph"/>
        <w:numPr>
          <w:ilvl w:val="2"/>
          <w:numId w:val="38"/>
        </w:numPr>
        <w:jc w:val="both"/>
        <w:rPr>
          <w:rFonts w:ascii="Calibri Light" w:hAnsi="Calibri Light" w:cs="Calibri Light"/>
          <w:sz w:val="22"/>
          <w:szCs w:val="22"/>
        </w:rPr>
      </w:pPr>
      <w:r w:rsidRPr="006A73AC">
        <w:rPr>
          <w:rFonts w:ascii="Calibri Light" w:eastAsia="Times New Roman" w:hAnsi="Calibri Light" w:cs="Calibri Light"/>
          <w:sz w:val="22"/>
          <w:szCs w:val="22"/>
          <w:lang w:eastAsia="en-GB"/>
        </w:rPr>
        <w:t xml:space="preserve">Most importantly, it undermines the core principles of commonhold by moving away from the natural alignment of interests that exists when paying homeowners have full control over their homes, managing agents, and service charges. </w:t>
      </w:r>
    </w:p>
    <w:p w:rsidR="006A73AC" w:rsidRPr="006A73AC" w:rsidP="006A73AC">
      <w:pPr>
        <w:jc w:val="both"/>
        <w:rPr>
          <w:rFonts w:ascii="Calibri Light" w:hAnsi="Calibri Light" w:cs="Calibri Light"/>
          <w:sz w:val="22"/>
          <w:szCs w:val="22"/>
        </w:rPr>
      </w:pPr>
    </w:p>
    <w:p w:rsidR="006A73AC" w:rsidRPr="00DE6051" w:rsidP="00343A67">
      <w:pPr>
        <w:pStyle w:val="ListParagraph"/>
        <w:numPr>
          <w:ilvl w:val="2"/>
          <w:numId w:val="38"/>
        </w:numPr>
        <w:jc w:val="both"/>
        <w:rPr>
          <w:rFonts w:ascii="Calibri Light" w:hAnsi="Calibri Light" w:cs="Calibri Light"/>
          <w:sz w:val="22"/>
          <w:szCs w:val="22"/>
        </w:rPr>
      </w:pPr>
      <w:r w:rsidRPr="006A73AC">
        <w:rPr>
          <w:rFonts w:ascii="Calibri Light" w:eastAsia="Times New Roman" w:hAnsi="Calibri Light" w:cs="Calibri Light"/>
          <w:sz w:val="22"/>
          <w:szCs w:val="22"/>
          <w:lang w:eastAsia="en-GB"/>
        </w:rPr>
        <w:t xml:space="preserve">If shared ownership flats outnumber privately owned commonhold flats, a housing association could theoretically block vital major works for up to ten years simply to avoid paying for them under the initial repair period policy, according to the government’s proposed policy on commonhold voting rights. This would not only prejudice the private commonholders, but also harm shared owners living in the same property. </w:t>
      </w:r>
    </w:p>
    <w:p w:rsidR="00DE6051" w:rsidRPr="00DE6051" w:rsidP="00DE6051">
      <w:pPr>
        <w:jc w:val="both"/>
        <w:rPr>
          <w:rFonts w:ascii="Calibri Light" w:hAnsi="Calibri Light" w:cs="Calibri Light"/>
          <w:sz w:val="22"/>
          <w:szCs w:val="22"/>
        </w:rPr>
      </w:pPr>
    </w:p>
    <w:p w:rsidR="006A73AC" w:rsidRPr="006A73AC" w:rsidP="00343A67">
      <w:pPr>
        <w:pStyle w:val="ListParagraph"/>
        <w:numPr>
          <w:ilvl w:val="2"/>
          <w:numId w:val="38"/>
        </w:numPr>
        <w:jc w:val="both"/>
        <w:rPr>
          <w:rFonts w:ascii="Calibri Light" w:hAnsi="Calibri Light" w:cs="Calibri Light"/>
          <w:sz w:val="22"/>
          <w:szCs w:val="22"/>
        </w:rPr>
      </w:pPr>
      <w:r w:rsidRPr="006A73AC">
        <w:rPr>
          <w:rFonts w:ascii="Calibri Light" w:eastAsia="Times New Roman" w:hAnsi="Calibri Light" w:cs="Calibri Light"/>
          <w:sz w:val="22"/>
          <w:szCs w:val="22"/>
          <w:lang w:eastAsia="en-GB"/>
        </w:rPr>
        <w:t xml:space="preserve">The </w:t>
      </w:r>
      <w:r w:rsidR="00550EB5">
        <w:rPr>
          <w:rFonts w:ascii="Calibri Light" w:eastAsia="Times New Roman" w:hAnsi="Calibri Light" w:cs="Calibri Light"/>
          <w:sz w:val="22"/>
          <w:szCs w:val="22"/>
          <w:lang w:eastAsia="en-GB"/>
        </w:rPr>
        <w:t>10</w:t>
      </w:r>
      <w:r w:rsidRPr="006A73AC">
        <w:rPr>
          <w:rFonts w:ascii="Calibri Light" w:eastAsia="Times New Roman" w:hAnsi="Calibri Light" w:cs="Calibri Light"/>
          <w:sz w:val="22"/>
          <w:szCs w:val="22"/>
          <w:lang w:eastAsia="en-GB"/>
        </w:rPr>
        <w:t>-year initial repair period, introduced in 2020 by the previous Conservative government without sufficient consideration of its impact on commonhold flats, should not apply to commonhold tenure.</w:t>
      </w:r>
    </w:p>
    <w:p w:rsidR="006A73AC" w:rsidRPr="006A73AC" w:rsidP="006A73AC">
      <w:pPr>
        <w:jc w:val="both"/>
        <w:rPr>
          <w:rFonts w:ascii="Calibri Light" w:hAnsi="Calibri Light" w:cs="Calibri Light"/>
          <w:sz w:val="22"/>
          <w:szCs w:val="22"/>
        </w:rPr>
      </w:pPr>
    </w:p>
    <w:p w:rsidR="006A73AC" w:rsidRPr="0040789E" w:rsidP="00343A67">
      <w:pPr>
        <w:pStyle w:val="ListParagraph"/>
        <w:numPr>
          <w:ilvl w:val="2"/>
          <w:numId w:val="38"/>
        </w:numPr>
        <w:jc w:val="both"/>
        <w:rPr>
          <w:rFonts w:ascii="Calibri Light" w:hAnsi="Calibri Light" w:cs="Calibri Light"/>
          <w:sz w:val="22"/>
          <w:szCs w:val="22"/>
        </w:rPr>
      </w:pPr>
      <w:r w:rsidRPr="006A73AC">
        <w:rPr>
          <w:rFonts w:ascii="Calibri Light" w:eastAsia="Times New Roman" w:hAnsi="Calibri Light" w:cs="Calibri Light"/>
          <w:sz w:val="22"/>
          <w:szCs w:val="22"/>
          <w:lang w:eastAsia="en-GB"/>
        </w:rPr>
        <w:t xml:space="preserve">If the </w:t>
      </w:r>
      <w:r w:rsidR="00550EB5">
        <w:rPr>
          <w:rFonts w:ascii="Calibri Light" w:eastAsia="Times New Roman" w:hAnsi="Calibri Light" w:cs="Calibri Light"/>
          <w:sz w:val="22"/>
          <w:szCs w:val="22"/>
          <w:lang w:eastAsia="en-GB"/>
        </w:rPr>
        <w:t>10</w:t>
      </w:r>
      <w:r w:rsidRPr="006A73AC">
        <w:rPr>
          <w:rFonts w:ascii="Calibri Light" w:eastAsia="Times New Roman" w:hAnsi="Calibri Light" w:cs="Calibri Light"/>
          <w:sz w:val="22"/>
          <w:szCs w:val="22"/>
          <w:lang w:eastAsia="en-GB"/>
        </w:rPr>
        <w:t xml:space="preserve">-year initial repair period cannot be scrapped from the shared ownership model for </w:t>
      </w:r>
      <w:r w:rsidR="0025260E">
        <w:rPr>
          <w:rFonts w:ascii="Calibri Light" w:eastAsia="Times New Roman" w:hAnsi="Calibri Light" w:cs="Calibri Light"/>
          <w:sz w:val="22"/>
          <w:szCs w:val="22"/>
          <w:lang w:eastAsia="en-GB"/>
        </w:rPr>
        <w:t xml:space="preserve">commonhold </w:t>
      </w:r>
      <w:r w:rsidRPr="006A73AC">
        <w:rPr>
          <w:rFonts w:ascii="Calibri Light" w:eastAsia="Times New Roman" w:hAnsi="Calibri Light" w:cs="Calibri Light"/>
          <w:sz w:val="22"/>
          <w:szCs w:val="22"/>
          <w:lang w:eastAsia="en-GB"/>
        </w:rPr>
        <w:t xml:space="preserve">flats, housing associations should not be allowed to vote on spending decisions related to it, so as to prevent an unhealthy concentration of power and to preserve the alignment of interests that commonhold was </w:t>
      </w:r>
      <w:r w:rsidR="00EF6594">
        <w:rPr>
          <w:rFonts w:ascii="Calibri Light" w:eastAsia="Times New Roman" w:hAnsi="Calibri Light" w:cs="Calibri Light"/>
          <w:sz w:val="22"/>
          <w:szCs w:val="22"/>
          <w:lang w:eastAsia="en-GB"/>
        </w:rPr>
        <w:t>meant</w:t>
      </w:r>
      <w:r w:rsidRPr="006A73AC">
        <w:rPr>
          <w:rFonts w:ascii="Calibri Light" w:eastAsia="Times New Roman" w:hAnsi="Calibri Light" w:cs="Calibri Light"/>
          <w:sz w:val="22"/>
          <w:szCs w:val="22"/>
          <w:lang w:eastAsia="en-GB"/>
        </w:rPr>
        <w:t xml:space="preserve"> to achieve. </w:t>
      </w:r>
    </w:p>
    <w:p w:rsidR="00B27FC8" w:rsidP="00B27FC8">
      <w:pPr>
        <w:jc w:val="both"/>
        <w:rPr>
          <w:rFonts w:ascii="Calibri Light" w:hAnsi="Calibri Light" w:cs="Calibri Light"/>
          <w:sz w:val="22"/>
          <w:szCs w:val="22"/>
        </w:rPr>
      </w:pPr>
    </w:p>
    <w:p w:rsidR="00EF6594" w:rsidP="00B27FC8">
      <w:pPr>
        <w:jc w:val="both"/>
        <w:rPr>
          <w:rFonts w:ascii="Calibri Light" w:hAnsi="Calibri Light" w:cs="Calibri Light"/>
          <w:sz w:val="22"/>
          <w:szCs w:val="22"/>
        </w:rPr>
      </w:pPr>
    </w:p>
    <w:p w:rsidR="00EF6594" w:rsidRPr="00B27FC8" w:rsidP="00B27FC8">
      <w:pPr>
        <w:jc w:val="both"/>
        <w:rPr>
          <w:rFonts w:ascii="Calibri Light" w:hAnsi="Calibri Light" w:cs="Calibri Light"/>
          <w:sz w:val="22"/>
          <w:szCs w:val="22"/>
        </w:rPr>
      </w:pPr>
    </w:p>
    <w:p w:rsidR="0040789E" w:rsidP="00343A67">
      <w:pPr>
        <w:pStyle w:val="ListParagraph"/>
        <w:numPr>
          <w:ilvl w:val="1"/>
          <w:numId w:val="38"/>
        </w:numPr>
        <w:jc w:val="both"/>
        <w:rPr>
          <w:rFonts w:ascii="Calibri Light" w:hAnsi="Calibri Light" w:cs="Calibri Light"/>
          <w:b/>
          <w:bCs/>
          <w:sz w:val="22"/>
          <w:szCs w:val="22"/>
        </w:rPr>
      </w:pPr>
      <w:r>
        <w:rPr>
          <w:rFonts w:ascii="Calibri Light" w:hAnsi="Calibri Light" w:cs="Calibri Light"/>
          <w:b/>
          <w:bCs/>
          <w:sz w:val="22"/>
          <w:szCs w:val="22"/>
        </w:rPr>
        <w:t xml:space="preserve">Freeholders </w:t>
      </w:r>
      <w:r w:rsidR="00A45912">
        <w:rPr>
          <w:rFonts w:ascii="Calibri Light" w:hAnsi="Calibri Light" w:cs="Calibri Light"/>
          <w:b/>
          <w:bCs/>
          <w:sz w:val="22"/>
          <w:szCs w:val="22"/>
        </w:rPr>
        <w:t xml:space="preserve">being </w:t>
      </w:r>
      <w:r>
        <w:rPr>
          <w:rFonts w:ascii="Calibri Light" w:hAnsi="Calibri Light" w:cs="Calibri Light"/>
          <w:b/>
          <w:bCs/>
          <w:sz w:val="22"/>
          <w:szCs w:val="22"/>
        </w:rPr>
        <w:t xml:space="preserve">allowed </w:t>
      </w:r>
      <w:r w:rsidR="008435AB">
        <w:rPr>
          <w:rFonts w:ascii="Calibri Light" w:hAnsi="Calibri Light" w:cs="Calibri Light"/>
          <w:b/>
          <w:bCs/>
          <w:sz w:val="22"/>
          <w:szCs w:val="22"/>
        </w:rPr>
        <w:t>to interfere with Commonhold Association boards</w:t>
      </w:r>
      <w:r w:rsidR="00D83320">
        <w:rPr>
          <w:rFonts w:ascii="Calibri Light" w:hAnsi="Calibri Light" w:cs="Calibri Light"/>
          <w:b/>
          <w:bCs/>
          <w:sz w:val="22"/>
          <w:szCs w:val="22"/>
        </w:rPr>
        <w:t xml:space="preserve"> as landlords of residual leaseholders’ units</w:t>
      </w:r>
    </w:p>
    <w:p w:rsidR="00096166" w:rsidP="00D9470B">
      <w:pPr>
        <w:jc w:val="both"/>
        <w:rPr>
          <w:rFonts w:ascii="Calibri Light" w:hAnsi="Calibri Light" w:cs="Calibri Light"/>
          <w:b/>
          <w:bCs/>
          <w:sz w:val="22"/>
          <w:szCs w:val="22"/>
        </w:rPr>
      </w:pPr>
    </w:p>
    <w:p w:rsidR="002C7E00" w:rsidRPr="00945E94" w:rsidP="00343A67">
      <w:pPr>
        <w:pStyle w:val="ListParagraph"/>
        <w:numPr>
          <w:ilvl w:val="2"/>
          <w:numId w:val="38"/>
        </w:numPr>
        <w:jc w:val="both"/>
        <w:rPr>
          <w:rFonts w:ascii="Calibri Light" w:hAnsi="Calibri Light" w:cs="Calibri Light"/>
          <w:sz w:val="22"/>
          <w:szCs w:val="22"/>
        </w:rPr>
      </w:pPr>
      <w:r w:rsidRPr="00945E94">
        <w:rPr>
          <w:rFonts w:ascii="Calibri Light" w:eastAsia="Times New Roman" w:hAnsi="Calibri Light" w:cs="Calibri Light"/>
          <w:sz w:val="22"/>
          <w:szCs w:val="22"/>
          <w:lang w:eastAsia="en-GB"/>
        </w:rPr>
        <w:t>It is right that a residual leaseholder (d</w:t>
      </w:r>
      <w:r w:rsidR="00FF200E">
        <w:rPr>
          <w:rFonts w:ascii="Calibri Light" w:eastAsia="Times New Roman" w:hAnsi="Calibri Light" w:cs="Calibri Light"/>
          <w:sz w:val="22"/>
          <w:szCs w:val="22"/>
          <w:lang w:eastAsia="en-GB"/>
        </w:rPr>
        <w:t>escribed</w:t>
      </w:r>
      <w:r w:rsidRPr="00945E94">
        <w:rPr>
          <w:rFonts w:ascii="Calibri Light" w:eastAsia="Times New Roman" w:hAnsi="Calibri Light" w:cs="Calibri Light"/>
          <w:sz w:val="22"/>
          <w:szCs w:val="22"/>
          <w:lang w:eastAsia="en-GB"/>
        </w:rPr>
        <w:t xml:space="preserve"> by the government as a non-consenting leaseholder) has the right to participate in the affairs of the Commonhold Association as a member. However, it is deeply problematic to assume that the owner of their unit – most likely the former freeholder, whose interests previously collided with those of leaseholders and who, in many cases, was the source of the very problems that the </w:t>
      </w:r>
      <w:r w:rsidR="007D1E8D">
        <w:rPr>
          <w:rFonts w:ascii="Calibri Light" w:eastAsia="Times New Roman" w:hAnsi="Calibri Light" w:cs="Calibri Light"/>
          <w:sz w:val="22"/>
          <w:szCs w:val="22"/>
          <w:lang w:eastAsia="en-GB"/>
        </w:rPr>
        <w:t xml:space="preserve">collective </w:t>
      </w:r>
      <w:r w:rsidRPr="00945E94">
        <w:rPr>
          <w:rFonts w:ascii="Calibri Light" w:eastAsia="Times New Roman" w:hAnsi="Calibri Light" w:cs="Calibri Light"/>
          <w:sz w:val="22"/>
          <w:szCs w:val="22"/>
          <w:lang w:eastAsia="en-GB"/>
        </w:rPr>
        <w:t xml:space="preserve">enfranchisement and conversion to commonhold were intended to resolve – can be expected to act in the interests of residents who pay the service charges and are directly affected by </w:t>
      </w:r>
      <w:r w:rsidR="00D82F90">
        <w:rPr>
          <w:rFonts w:ascii="Calibri Light" w:eastAsia="Times New Roman" w:hAnsi="Calibri Light" w:cs="Calibri Light"/>
          <w:sz w:val="22"/>
          <w:szCs w:val="22"/>
          <w:lang w:eastAsia="en-GB"/>
        </w:rPr>
        <w:t xml:space="preserve">block </w:t>
      </w:r>
      <w:r w:rsidRPr="00945E94">
        <w:rPr>
          <w:rFonts w:ascii="Calibri Light" w:eastAsia="Times New Roman" w:hAnsi="Calibri Light" w:cs="Calibri Light"/>
          <w:sz w:val="22"/>
          <w:szCs w:val="22"/>
          <w:lang w:eastAsia="en-GB"/>
        </w:rPr>
        <w:t>management decisions.</w:t>
      </w:r>
    </w:p>
    <w:p w:rsidR="00945E94" w:rsidRPr="00945E94" w:rsidP="00945E94">
      <w:pPr>
        <w:pStyle w:val="ListParagraph"/>
        <w:ind w:left="1224"/>
        <w:jc w:val="both"/>
        <w:rPr>
          <w:rFonts w:ascii="Calibri Light" w:hAnsi="Calibri Light" w:cs="Calibri Light"/>
          <w:sz w:val="22"/>
          <w:szCs w:val="22"/>
        </w:rPr>
      </w:pPr>
    </w:p>
    <w:p w:rsidR="00096166" w:rsidRPr="00945E94" w:rsidP="00343A67">
      <w:pPr>
        <w:pStyle w:val="ListParagraph"/>
        <w:numPr>
          <w:ilvl w:val="2"/>
          <w:numId w:val="38"/>
        </w:numPr>
        <w:jc w:val="both"/>
        <w:rPr>
          <w:rFonts w:ascii="Calibri Light" w:hAnsi="Calibri Light" w:cs="Calibri Light"/>
          <w:sz w:val="22"/>
          <w:szCs w:val="22"/>
        </w:rPr>
      </w:pPr>
      <w:r w:rsidRPr="00945E94">
        <w:rPr>
          <w:rFonts w:ascii="Calibri Light" w:eastAsia="Times New Roman" w:hAnsi="Calibri Light" w:cs="Calibri Light"/>
          <w:sz w:val="22"/>
          <w:szCs w:val="22"/>
          <w:lang w:eastAsia="en-GB"/>
        </w:rPr>
        <w:t>The government does acknowledge that it is undesirable for a third-party landlord, or the former freeholder, to interfere in the running of a Commonhold Association. This is reflected in the proposal that, while the landlord of a residual leaseholder (as owner of the unit) may propose themselves as a director, they would not be entitled to vote on the appointment of directors, as they would not be a member of the Commonhold Association. This safeguard is, however, substantially undermined by the accompanying proposal that the landlord be included “among the interested parties who have the right to step in to ask the tribunal to appoint a director where no directors have been appointed by the commonhold association, or replace a failing director where the association has otherwise failed to act.”</w:t>
      </w:r>
    </w:p>
    <w:p w:rsidR="00945E94" w:rsidRPr="00945E94" w:rsidP="00945E94">
      <w:pPr>
        <w:jc w:val="both"/>
        <w:rPr>
          <w:rFonts w:ascii="Calibri Light" w:hAnsi="Calibri Light" w:cs="Calibri Light"/>
          <w:sz w:val="22"/>
          <w:szCs w:val="22"/>
        </w:rPr>
      </w:pPr>
    </w:p>
    <w:p w:rsidR="0040789E" w:rsidRPr="00945E94" w:rsidP="00343A67">
      <w:pPr>
        <w:pStyle w:val="ListParagraph"/>
        <w:numPr>
          <w:ilvl w:val="2"/>
          <w:numId w:val="38"/>
        </w:numPr>
        <w:jc w:val="both"/>
        <w:rPr>
          <w:rFonts w:ascii="Calibri Light" w:hAnsi="Calibri Light" w:cs="Calibri Light"/>
          <w:sz w:val="22"/>
          <w:szCs w:val="22"/>
        </w:rPr>
      </w:pPr>
      <w:r>
        <w:rPr>
          <w:rFonts w:ascii="Calibri Light" w:eastAsia="Times New Roman" w:hAnsi="Calibri Light" w:cs="Calibri Light"/>
          <w:sz w:val="22"/>
          <w:szCs w:val="22"/>
          <w:lang w:eastAsia="en-GB"/>
        </w:rPr>
        <w:t>T</w:t>
      </w:r>
      <w:r w:rsidRPr="00945E94" w:rsidR="000F6E60">
        <w:rPr>
          <w:rFonts w:ascii="Calibri Light" w:eastAsia="Times New Roman" w:hAnsi="Calibri Light" w:cs="Calibri Light"/>
          <w:sz w:val="22"/>
          <w:szCs w:val="22"/>
          <w:lang w:eastAsia="en-GB"/>
        </w:rPr>
        <w:t xml:space="preserve">he ability of landlords of residual leaseholders’ units to challenge the appointment of lay director boards creates a real risk of vexatious litigation by former freeholders intent on reprisals for losing service charge and management control. Free Leaseholders therefore calls for this policy to be </w:t>
      </w:r>
      <w:r w:rsidR="008B1D39">
        <w:rPr>
          <w:rFonts w:ascii="Calibri Light" w:eastAsia="Times New Roman" w:hAnsi="Calibri Light" w:cs="Calibri Light"/>
          <w:sz w:val="22"/>
          <w:szCs w:val="22"/>
          <w:lang w:eastAsia="en-GB"/>
        </w:rPr>
        <w:t>dropped</w:t>
      </w:r>
      <w:r w:rsidRPr="00945E94" w:rsidR="000F6E60">
        <w:rPr>
          <w:rFonts w:ascii="Calibri Light" w:eastAsia="Times New Roman" w:hAnsi="Calibri Light" w:cs="Calibri Light"/>
          <w:sz w:val="22"/>
          <w:szCs w:val="22"/>
          <w:lang w:eastAsia="en-GB"/>
        </w:rPr>
        <w:t xml:space="preserve">. </w:t>
      </w:r>
    </w:p>
    <w:p w:rsidR="00B810A2" w:rsidP="00276A46">
      <w:pPr>
        <w:rPr>
          <w:rFonts w:ascii="Calibri" w:hAnsi="Calibri" w:cs="Calibri"/>
          <w:sz w:val="22"/>
          <w:szCs w:val="22"/>
        </w:rPr>
      </w:pPr>
    </w:p>
    <w:p w:rsidR="007F515E" w:rsidP="00343A67">
      <w:pPr>
        <w:pStyle w:val="ListParagraph"/>
        <w:numPr>
          <w:ilvl w:val="0"/>
          <w:numId w:val="38"/>
        </w:numPr>
        <w:rPr>
          <w:rFonts w:ascii="Calibri Light" w:hAnsi="Calibri Light" w:cs="Calibri Light"/>
          <w:b/>
          <w:bCs/>
          <w:sz w:val="30"/>
          <w:szCs w:val="30"/>
        </w:rPr>
      </w:pPr>
      <w:r>
        <w:rPr>
          <w:rFonts w:ascii="Calibri Light" w:hAnsi="Calibri Light" w:cs="Calibri Light"/>
          <w:b/>
          <w:bCs/>
          <w:sz w:val="30"/>
          <w:szCs w:val="30"/>
        </w:rPr>
        <w:t>Ground rents policy</w:t>
      </w:r>
    </w:p>
    <w:p w:rsidR="00B65678" w:rsidP="008568F0">
      <w:pPr>
        <w:pStyle w:val="ListParagraph"/>
        <w:ind w:left="360"/>
        <w:jc w:val="both"/>
        <w:rPr>
          <w:rFonts w:ascii="Calibri Light" w:hAnsi="Calibri Light" w:cs="Calibri Light"/>
          <w:b/>
          <w:bCs/>
          <w:sz w:val="30"/>
          <w:szCs w:val="30"/>
        </w:rPr>
      </w:pPr>
    </w:p>
    <w:p w:rsidR="00B65678" w:rsidP="008568F0">
      <w:pPr>
        <w:pStyle w:val="ListParagraph"/>
        <w:numPr>
          <w:ilvl w:val="1"/>
          <w:numId w:val="36"/>
        </w:numPr>
        <w:jc w:val="both"/>
        <w:rPr>
          <w:rFonts w:ascii="Calibri Light" w:hAnsi="Calibri Light" w:cs="Calibri Light"/>
          <w:sz w:val="22"/>
          <w:szCs w:val="22"/>
        </w:rPr>
      </w:pPr>
      <w:r w:rsidRPr="00B65678">
        <w:rPr>
          <w:rFonts w:ascii="Calibri Light" w:hAnsi="Calibri Light" w:cs="Calibri Light"/>
          <w:sz w:val="22"/>
          <w:szCs w:val="22"/>
        </w:rPr>
        <w:t xml:space="preserve">Free Leaseholders is concerned that protecting monetary ground rents, which </w:t>
      </w:r>
      <w:r w:rsidR="00540AFF">
        <w:rPr>
          <w:rFonts w:ascii="Calibri Light" w:hAnsi="Calibri Light" w:cs="Calibri Light"/>
          <w:sz w:val="22"/>
          <w:szCs w:val="22"/>
        </w:rPr>
        <w:t xml:space="preserve">in 2024 </w:t>
      </w:r>
      <w:r w:rsidRPr="00B65678">
        <w:rPr>
          <w:rFonts w:ascii="Calibri Light" w:hAnsi="Calibri Light" w:cs="Calibri Light"/>
          <w:sz w:val="22"/>
          <w:szCs w:val="22"/>
        </w:rPr>
        <w:t>the Competition and Markets Authority correctly concluded are “neither legally nor commercially necessary”, for 42 years until 2068</w:t>
      </w:r>
      <w:r w:rsidR="00F9505D">
        <w:rPr>
          <w:rFonts w:ascii="Calibri Light" w:hAnsi="Calibri Light" w:cs="Calibri Light"/>
          <w:sz w:val="22"/>
          <w:szCs w:val="22"/>
        </w:rPr>
        <w:t xml:space="preserve">, </w:t>
      </w:r>
      <w:r w:rsidRPr="00B65678">
        <w:rPr>
          <w:rFonts w:ascii="Calibri Light" w:hAnsi="Calibri Light" w:cs="Calibri Light"/>
          <w:sz w:val="22"/>
          <w:szCs w:val="22"/>
        </w:rPr>
        <w:t xml:space="preserve">keeps leasehold on life support and therefore fails to honour the Labour manifesto promise of </w:t>
      </w:r>
      <w:r w:rsidRPr="00B65678">
        <w:rPr>
          <w:rFonts w:ascii="Calibri Light" w:hAnsi="Calibri Light" w:cs="Calibri Light"/>
          <w:sz w:val="22"/>
          <w:szCs w:val="22"/>
        </w:rPr>
        <w:t>“bring[ing] the feudal leasehold system to an end”.</w:t>
      </w:r>
    </w:p>
    <w:p w:rsidR="003D4897" w:rsidP="008568F0">
      <w:pPr>
        <w:pStyle w:val="ListParagraph"/>
        <w:ind w:left="785"/>
        <w:jc w:val="both"/>
        <w:rPr>
          <w:rFonts w:ascii="Calibri Light" w:hAnsi="Calibri Light" w:cs="Calibri Light"/>
          <w:sz w:val="22"/>
          <w:szCs w:val="22"/>
        </w:rPr>
      </w:pPr>
    </w:p>
    <w:p w:rsidR="003D4897" w:rsidP="008568F0">
      <w:pPr>
        <w:pStyle w:val="ListParagraph"/>
        <w:numPr>
          <w:ilvl w:val="1"/>
          <w:numId w:val="36"/>
        </w:numPr>
        <w:jc w:val="both"/>
        <w:rPr>
          <w:rFonts w:ascii="Calibri Light" w:hAnsi="Calibri Light" w:cs="Calibri Light"/>
          <w:sz w:val="22"/>
          <w:szCs w:val="22"/>
        </w:rPr>
      </w:pPr>
      <w:r w:rsidRPr="002702C7">
        <w:rPr>
          <w:rFonts w:ascii="Calibri Light" w:hAnsi="Calibri Light" w:cs="Calibri Light"/>
          <w:sz w:val="22"/>
          <w:szCs w:val="22"/>
        </w:rPr>
        <w:t xml:space="preserve">The </w:t>
      </w:r>
      <w:r w:rsidR="009D7291">
        <w:rPr>
          <w:rFonts w:ascii="Calibri Light" w:hAnsi="Calibri Light" w:cs="Calibri Light"/>
          <w:sz w:val="22"/>
          <w:szCs w:val="22"/>
        </w:rPr>
        <w:t>government’s</w:t>
      </w:r>
      <w:r w:rsidR="00A67292">
        <w:rPr>
          <w:rFonts w:ascii="Calibri Light" w:hAnsi="Calibri Light" w:cs="Calibri Light"/>
          <w:sz w:val="22"/>
          <w:szCs w:val="22"/>
        </w:rPr>
        <w:t xml:space="preserve"> </w:t>
      </w:r>
      <w:r w:rsidR="00343A67">
        <w:rPr>
          <w:rFonts w:ascii="Calibri Light" w:hAnsi="Calibri Light" w:cs="Calibri Light"/>
          <w:sz w:val="22"/>
          <w:szCs w:val="22"/>
        </w:rPr>
        <w:t>“</w:t>
      </w:r>
      <w:r w:rsidRPr="002702C7">
        <w:rPr>
          <w:rFonts w:ascii="Calibri Light" w:hAnsi="Calibri Light" w:cs="Calibri Light"/>
          <w:sz w:val="22"/>
          <w:szCs w:val="22"/>
        </w:rPr>
        <w:t>Addressing unregulated and unaffordable ground rent</w:t>
      </w:r>
      <w:r w:rsidR="00343A67">
        <w:rPr>
          <w:rFonts w:ascii="Calibri Light" w:hAnsi="Calibri Light" w:cs="Calibri Light"/>
          <w:sz w:val="22"/>
          <w:szCs w:val="22"/>
        </w:rPr>
        <w:t>”</w:t>
      </w:r>
      <w:r w:rsidRPr="002702C7">
        <w:rPr>
          <w:rFonts w:ascii="Calibri Light" w:hAnsi="Calibri Light" w:cs="Calibri Light"/>
          <w:sz w:val="22"/>
          <w:szCs w:val="22"/>
        </w:rPr>
        <w:t xml:space="preserve"> policy statement</w:t>
      </w:r>
      <w:r w:rsidR="00211D15">
        <w:rPr>
          <w:rFonts w:ascii="Calibri Light" w:hAnsi="Calibri Light" w:cs="Calibri Light"/>
          <w:sz w:val="22"/>
          <w:szCs w:val="22"/>
        </w:rPr>
        <w:t xml:space="preserve"> of January 202</w:t>
      </w:r>
      <w:r w:rsidR="002105D1">
        <w:rPr>
          <w:rFonts w:ascii="Calibri Light" w:hAnsi="Calibri Light" w:cs="Calibri Light"/>
          <w:sz w:val="22"/>
          <w:szCs w:val="22"/>
        </w:rPr>
        <w:t>6</w:t>
      </w:r>
      <w:r w:rsidRPr="002702C7">
        <w:rPr>
          <w:rFonts w:ascii="Calibri Light" w:hAnsi="Calibri Light" w:cs="Calibri Light"/>
          <w:sz w:val="22"/>
          <w:szCs w:val="22"/>
        </w:rPr>
        <w:t xml:space="preserve"> largely repeats well-worn freeholder lobby arguments, from insolvency risks to pension fund exposure, even though the last government </w:t>
      </w:r>
      <w:r w:rsidR="00543BAD">
        <w:rPr>
          <w:rFonts w:ascii="Calibri Light" w:hAnsi="Calibri Light" w:cs="Calibri Light"/>
          <w:sz w:val="22"/>
          <w:szCs w:val="22"/>
        </w:rPr>
        <w:t>told</w:t>
      </w:r>
      <w:r w:rsidRPr="002702C7">
        <w:rPr>
          <w:rFonts w:ascii="Calibri Light" w:hAnsi="Calibri Light" w:cs="Calibri Light"/>
          <w:sz w:val="22"/>
          <w:szCs w:val="22"/>
        </w:rPr>
        <w:t xml:space="preserve"> Parliament that </w:t>
      </w:r>
      <w:r w:rsidR="003D348D">
        <w:rPr>
          <w:rFonts w:ascii="Calibri Light" w:hAnsi="Calibri Light" w:cs="Calibri Light"/>
          <w:sz w:val="22"/>
          <w:szCs w:val="22"/>
        </w:rPr>
        <w:t>“</w:t>
      </w:r>
      <w:r w:rsidRPr="002702C7">
        <w:rPr>
          <w:rFonts w:ascii="Calibri Light" w:hAnsi="Calibri Light" w:cs="Calibri Light"/>
          <w:sz w:val="22"/>
          <w:szCs w:val="22"/>
        </w:rPr>
        <w:t>the general response to the consultation has confirmed that ground rents represent, at most, a small percentage of total UK pension assets. In addition, no substantive evidence has been provided within the consultation that suggests that there is a systemic risk to the operation of pension funds or the financial markets.</w:t>
      </w:r>
      <w:r>
        <w:rPr>
          <w:rFonts w:ascii="Calibri Light" w:hAnsi="Calibri Light" w:cs="Calibri Light"/>
          <w:sz w:val="22"/>
          <w:szCs w:val="22"/>
        </w:rPr>
        <w:t>”</w:t>
      </w:r>
      <w:r>
        <w:rPr>
          <w:rStyle w:val="FootnoteReference"/>
          <w:rFonts w:ascii="Calibri Light" w:hAnsi="Calibri Light" w:cs="Calibri Light"/>
          <w:sz w:val="22"/>
          <w:szCs w:val="22"/>
        </w:rPr>
        <w:footnoteReference w:id="15"/>
      </w:r>
      <w:r>
        <w:rPr>
          <w:rFonts w:ascii="Calibri Light" w:hAnsi="Calibri Light" w:cs="Calibri Light"/>
          <w:sz w:val="22"/>
          <w:szCs w:val="22"/>
        </w:rPr>
        <w:t xml:space="preserve"> </w:t>
      </w:r>
      <w:r w:rsidRPr="00A81135" w:rsidR="00A81135">
        <w:rPr>
          <w:rFonts w:ascii="Calibri Light" w:hAnsi="Calibri Light" w:cs="Calibri Light"/>
          <w:sz w:val="22"/>
          <w:szCs w:val="22"/>
        </w:rPr>
        <w:t>In December 2023, the housing ministry said pension funds held less than 1 per cent of assets in residential property.</w:t>
      </w:r>
    </w:p>
    <w:p w:rsidR="005363BF" w:rsidRPr="005363BF" w:rsidP="008568F0">
      <w:pPr>
        <w:pStyle w:val="ListParagraph"/>
        <w:jc w:val="both"/>
        <w:rPr>
          <w:rFonts w:ascii="Calibri Light" w:hAnsi="Calibri Light" w:cs="Calibri Light"/>
          <w:sz w:val="22"/>
          <w:szCs w:val="22"/>
        </w:rPr>
      </w:pPr>
    </w:p>
    <w:p w:rsidR="0095660B" w:rsidRPr="0095660B" w:rsidP="008568F0">
      <w:pPr>
        <w:pStyle w:val="ListParagraph"/>
        <w:numPr>
          <w:ilvl w:val="1"/>
          <w:numId w:val="36"/>
        </w:numPr>
        <w:jc w:val="both"/>
        <w:rPr>
          <w:rFonts w:ascii="Calibri Light" w:hAnsi="Calibri Light" w:cs="Calibri Light"/>
          <w:sz w:val="22"/>
          <w:szCs w:val="22"/>
        </w:rPr>
      </w:pPr>
      <w:r>
        <w:rPr>
          <w:rFonts w:ascii="Calibri Light" w:hAnsi="Calibri Light" w:cs="Calibri Light"/>
          <w:sz w:val="22"/>
          <w:szCs w:val="22"/>
        </w:rPr>
        <w:t>In Ju</w:t>
      </w:r>
      <w:r w:rsidR="00DB4322">
        <w:rPr>
          <w:rFonts w:ascii="Calibri Light" w:hAnsi="Calibri Light" w:cs="Calibri Light"/>
          <w:sz w:val="22"/>
          <w:szCs w:val="22"/>
        </w:rPr>
        <w:t>ly</w:t>
      </w:r>
      <w:r>
        <w:rPr>
          <w:rFonts w:ascii="Calibri Light" w:hAnsi="Calibri Light" w:cs="Calibri Light"/>
          <w:sz w:val="22"/>
          <w:szCs w:val="22"/>
        </w:rPr>
        <w:t xml:space="preserve"> 2025, Free Leaseholders attended the High Court </w:t>
      </w:r>
      <w:r w:rsidR="0094330E">
        <w:rPr>
          <w:rFonts w:ascii="Calibri Light" w:hAnsi="Calibri Light" w:cs="Calibri Light"/>
          <w:sz w:val="22"/>
          <w:szCs w:val="22"/>
        </w:rPr>
        <w:t>to observe the</w:t>
      </w:r>
      <w:r>
        <w:rPr>
          <w:rFonts w:ascii="Calibri Light" w:hAnsi="Calibri Light" w:cs="Calibri Light"/>
          <w:sz w:val="22"/>
          <w:szCs w:val="22"/>
        </w:rPr>
        <w:t xml:space="preserve"> freeholders’ judicial review of </w:t>
      </w:r>
      <w:r w:rsidR="0094330E">
        <w:rPr>
          <w:rFonts w:ascii="Calibri Light" w:hAnsi="Calibri Light" w:cs="Calibri Light"/>
          <w:sz w:val="22"/>
          <w:szCs w:val="22"/>
        </w:rPr>
        <w:t xml:space="preserve">key policies in the Leasehold and Freehold Reform Act 2024. </w:t>
      </w:r>
      <w:r w:rsidRPr="00B6312C" w:rsidR="00B6312C">
        <w:rPr>
          <w:rFonts w:ascii="Calibri Light" w:hAnsi="Calibri Light" w:cs="Calibri Light"/>
          <w:sz w:val="22"/>
          <w:szCs w:val="22"/>
        </w:rPr>
        <w:t xml:space="preserve">While the reduction of ground rents to a peppercorn or zero financial value was not </w:t>
      </w:r>
      <w:r w:rsidR="0061234A">
        <w:rPr>
          <w:rFonts w:ascii="Calibri Light" w:hAnsi="Calibri Light" w:cs="Calibri Light"/>
          <w:sz w:val="22"/>
          <w:szCs w:val="22"/>
        </w:rPr>
        <w:t xml:space="preserve">under </w:t>
      </w:r>
      <w:r w:rsidRPr="00B6312C" w:rsidR="00B6312C">
        <w:rPr>
          <w:rFonts w:ascii="Calibri Light" w:hAnsi="Calibri Light" w:cs="Calibri Light"/>
          <w:sz w:val="22"/>
          <w:szCs w:val="22"/>
        </w:rPr>
        <w:t>challeng</w:t>
      </w:r>
      <w:r w:rsidR="0061234A">
        <w:rPr>
          <w:rFonts w:ascii="Calibri Light" w:hAnsi="Calibri Light" w:cs="Calibri Light"/>
          <w:sz w:val="22"/>
          <w:szCs w:val="22"/>
        </w:rPr>
        <w:t>e</w:t>
      </w:r>
      <w:r w:rsidRPr="00B6312C" w:rsidR="00B6312C">
        <w:rPr>
          <w:rFonts w:ascii="Calibri Light" w:hAnsi="Calibri Light" w:cs="Calibri Light"/>
          <w:sz w:val="22"/>
          <w:szCs w:val="22"/>
        </w:rPr>
        <w:t xml:space="preserve">, as the policy </w:t>
      </w:r>
      <w:r w:rsidR="00A5399F">
        <w:rPr>
          <w:rFonts w:ascii="Calibri Light" w:hAnsi="Calibri Light" w:cs="Calibri Light"/>
          <w:sz w:val="22"/>
          <w:szCs w:val="22"/>
        </w:rPr>
        <w:t xml:space="preserve">is not </w:t>
      </w:r>
      <w:r w:rsidR="00FF4E25">
        <w:rPr>
          <w:rFonts w:ascii="Calibri Light" w:hAnsi="Calibri Light" w:cs="Calibri Light"/>
          <w:sz w:val="22"/>
          <w:szCs w:val="22"/>
        </w:rPr>
        <w:t>on the statute books</w:t>
      </w:r>
      <w:r w:rsidRPr="00B6312C" w:rsidR="00B6312C">
        <w:rPr>
          <w:rFonts w:ascii="Calibri Light" w:hAnsi="Calibri Light" w:cs="Calibri Light"/>
          <w:sz w:val="22"/>
          <w:szCs w:val="22"/>
        </w:rPr>
        <w:t>, it was discussed, although it was not reflected in the final decision</w:t>
      </w:r>
      <w:r w:rsidR="00A967C8">
        <w:rPr>
          <w:rFonts w:ascii="Calibri Light" w:hAnsi="Calibri Light" w:cs="Calibri Light"/>
          <w:sz w:val="22"/>
          <w:szCs w:val="22"/>
        </w:rPr>
        <w:t>.</w:t>
      </w:r>
      <w:r w:rsidR="00B6312C">
        <w:rPr>
          <w:rFonts w:ascii="Calibri Light" w:hAnsi="Calibri Light" w:cs="Calibri Light"/>
          <w:sz w:val="22"/>
          <w:szCs w:val="22"/>
        </w:rPr>
        <w:t xml:space="preserve"> </w:t>
      </w:r>
      <w:r w:rsidRPr="005B4763" w:rsidR="005B4763">
        <w:rPr>
          <w:rFonts w:ascii="Calibri Light" w:hAnsi="Calibri Light" w:cs="Calibri Light"/>
          <w:sz w:val="22"/>
          <w:szCs w:val="22"/>
        </w:rPr>
        <w:t xml:space="preserve">Victoria Wakefield KC, for Wallace Partnership Group, </w:t>
      </w:r>
      <w:r w:rsidR="001A0617">
        <w:rPr>
          <w:rFonts w:ascii="Calibri Light" w:hAnsi="Calibri Light" w:cs="Calibri Light"/>
          <w:sz w:val="22"/>
          <w:szCs w:val="22"/>
        </w:rPr>
        <w:t>confirmed</w:t>
      </w:r>
      <w:r w:rsidRPr="005B4763" w:rsidR="005B4763">
        <w:rPr>
          <w:rFonts w:ascii="Calibri Light" w:hAnsi="Calibri Light" w:cs="Calibri Light"/>
          <w:sz w:val="22"/>
          <w:szCs w:val="22"/>
        </w:rPr>
        <w:t xml:space="preserve"> that the</w:t>
      </w:r>
      <w:r w:rsidR="00CF5A51">
        <w:rPr>
          <w:rFonts w:ascii="Calibri Light" w:hAnsi="Calibri Light" w:cs="Calibri Light"/>
          <w:sz w:val="22"/>
          <w:szCs w:val="22"/>
        </w:rPr>
        <w:t xml:space="preserve"> </w:t>
      </w:r>
      <w:r w:rsidR="00CF5A51">
        <w:rPr>
          <w:rFonts w:ascii="Calibri Light" w:hAnsi="Calibri Light" w:cs="Calibri Light"/>
          <w:sz w:val="22"/>
          <w:szCs w:val="22"/>
        </w:rPr>
        <w:t>peppercorning</w:t>
      </w:r>
      <w:r w:rsidRPr="005B4763" w:rsidR="005B4763">
        <w:rPr>
          <w:rFonts w:ascii="Calibri Light" w:hAnsi="Calibri Light" w:cs="Calibri Light"/>
          <w:sz w:val="22"/>
          <w:szCs w:val="22"/>
        </w:rPr>
        <w:t xml:space="preserve"> policy consulted on by the</w:t>
      </w:r>
      <w:r w:rsidR="005E047B">
        <w:rPr>
          <w:rFonts w:ascii="Calibri Light" w:hAnsi="Calibri Light" w:cs="Calibri Light"/>
          <w:sz w:val="22"/>
          <w:szCs w:val="22"/>
        </w:rPr>
        <w:t xml:space="preserve"> last Conservative</w:t>
      </w:r>
      <w:r w:rsidRPr="005B4763" w:rsidR="005B4763">
        <w:rPr>
          <w:rFonts w:ascii="Calibri Light" w:hAnsi="Calibri Light" w:cs="Calibri Light"/>
          <w:sz w:val="22"/>
          <w:szCs w:val="22"/>
        </w:rPr>
        <w:t xml:space="preserve"> government but ultimately excluded from the 2024 Act was not retrospective, as it would not reclaim ground rent income already collected by landlords. Lord Justice Holgate noted that the proposal would only restrict future income and therefore would not satisfy the claimants’ </w:t>
      </w:r>
      <w:r w:rsidRPr="00181081" w:rsidR="00181081">
        <w:rPr>
          <w:rFonts w:ascii="Calibri Light" w:hAnsi="Calibri Light" w:cs="Calibri Light"/>
          <w:sz w:val="22"/>
          <w:szCs w:val="22"/>
        </w:rPr>
        <w:t xml:space="preserve">European of Convention of Human Rights </w:t>
      </w:r>
      <w:r w:rsidR="00501E31">
        <w:rPr>
          <w:rFonts w:ascii="Calibri Light" w:hAnsi="Calibri Light" w:cs="Calibri Light"/>
          <w:sz w:val="22"/>
          <w:szCs w:val="22"/>
        </w:rPr>
        <w:t xml:space="preserve">(ECHR) </w:t>
      </w:r>
      <w:r w:rsidRPr="00181081" w:rsidR="00181081">
        <w:rPr>
          <w:rFonts w:ascii="Calibri Light" w:hAnsi="Calibri Light" w:cs="Calibri Light"/>
          <w:sz w:val="22"/>
          <w:szCs w:val="22"/>
        </w:rPr>
        <w:t>Article 1, Protocol 1</w:t>
      </w:r>
      <w:r w:rsidR="00181081">
        <w:rPr>
          <w:rFonts w:ascii="Calibri Light" w:hAnsi="Calibri Light" w:cs="Calibri Light"/>
          <w:sz w:val="22"/>
          <w:szCs w:val="22"/>
        </w:rPr>
        <w:t xml:space="preserve"> </w:t>
      </w:r>
      <w:r w:rsidR="00501E31">
        <w:rPr>
          <w:rFonts w:ascii="Calibri Light" w:hAnsi="Calibri Light" w:cs="Calibri Light"/>
          <w:sz w:val="22"/>
          <w:szCs w:val="22"/>
        </w:rPr>
        <w:t xml:space="preserve">(A1P1) </w:t>
      </w:r>
      <w:r w:rsidRPr="005B4763" w:rsidR="005B4763">
        <w:rPr>
          <w:rFonts w:ascii="Calibri Light" w:hAnsi="Calibri Light" w:cs="Calibri Light"/>
          <w:sz w:val="22"/>
          <w:szCs w:val="22"/>
        </w:rPr>
        <w:t>argument on harmful retrospectivity. In effect, he left the door open for the Labour government to revive the policy.</w:t>
      </w:r>
    </w:p>
    <w:p w:rsidR="008F163E" w:rsidRPr="008F163E" w:rsidP="008568F0">
      <w:pPr>
        <w:pStyle w:val="ListParagraph"/>
        <w:jc w:val="both"/>
        <w:rPr>
          <w:rFonts w:ascii="Calibri Light" w:hAnsi="Calibri Light" w:cs="Calibri Light"/>
          <w:sz w:val="22"/>
          <w:szCs w:val="22"/>
        </w:rPr>
      </w:pPr>
    </w:p>
    <w:p w:rsidR="00C24A5F" w:rsidP="008568F0">
      <w:pPr>
        <w:pStyle w:val="ListParagraph"/>
        <w:numPr>
          <w:ilvl w:val="1"/>
          <w:numId w:val="36"/>
        </w:numPr>
        <w:jc w:val="both"/>
        <w:rPr>
          <w:rFonts w:ascii="Calibri Light" w:hAnsi="Calibri Light" w:cs="Calibri Light"/>
          <w:sz w:val="22"/>
          <w:szCs w:val="22"/>
        </w:rPr>
      </w:pPr>
      <w:r w:rsidRPr="005B4763">
        <w:rPr>
          <w:rFonts w:ascii="Calibri Light" w:hAnsi="Calibri Light" w:cs="Calibri Light"/>
          <w:sz w:val="22"/>
          <w:szCs w:val="22"/>
        </w:rPr>
        <w:t>In any case, reducing a narrow income stream that literally provides no service and no benefit to the end user, the leaseholder, and which would likely breach modern consumer rights legislation on unfair contract terms if residential leases</w:t>
      </w:r>
      <w:r w:rsidR="009C3757">
        <w:rPr>
          <w:rFonts w:ascii="Calibri Light" w:hAnsi="Calibri Light" w:cs="Calibri Light"/>
          <w:sz w:val="22"/>
          <w:szCs w:val="22"/>
        </w:rPr>
        <w:t xml:space="preserve"> </w:t>
      </w:r>
      <w:r w:rsidR="00FB0E18">
        <w:rPr>
          <w:rFonts w:ascii="Calibri Light" w:hAnsi="Calibri Light" w:cs="Calibri Light"/>
          <w:sz w:val="22"/>
          <w:szCs w:val="22"/>
        </w:rPr>
        <w:t>were covered</w:t>
      </w:r>
      <w:r w:rsidRPr="005B4763">
        <w:rPr>
          <w:rFonts w:ascii="Calibri Light" w:hAnsi="Calibri Light" w:cs="Calibri Light"/>
          <w:sz w:val="22"/>
          <w:szCs w:val="22"/>
        </w:rPr>
        <w:t>, does not constitute a deprivation under A1P1 of the ECHR, since the investors will still own the freeholds</w:t>
      </w:r>
      <w:r w:rsidR="0095660B">
        <w:rPr>
          <w:rFonts w:ascii="Calibri Light" w:hAnsi="Calibri Light" w:cs="Calibri Light"/>
          <w:sz w:val="22"/>
          <w:szCs w:val="22"/>
        </w:rPr>
        <w:t xml:space="preserve"> and it would be </w:t>
      </w:r>
      <w:r w:rsidR="00987A1B">
        <w:rPr>
          <w:rFonts w:ascii="Calibri Light" w:hAnsi="Calibri Light" w:cs="Calibri Light"/>
          <w:sz w:val="22"/>
          <w:szCs w:val="22"/>
        </w:rPr>
        <w:t>controlling</w:t>
      </w:r>
      <w:r w:rsidR="0095660B">
        <w:rPr>
          <w:rFonts w:ascii="Calibri Light" w:hAnsi="Calibri Light" w:cs="Calibri Light"/>
          <w:sz w:val="22"/>
          <w:szCs w:val="22"/>
        </w:rPr>
        <w:t xml:space="preserve"> the use of property, not </w:t>
      </w:r>
      <w:r w:rsidR="0001017C">
        <w:rPr>
          <w:rFonts w:ascii="Calibri Light" w:hAnsi="Calibri Light" w:cs="Calibri Light"/>
          <w:sz w:val="22"/>
          <w:szCs w:val="22"/>
        </w:rPr>
        <w:t xml:space="preserve">a </w:t>
      </w:r>
      <w:r w:rsidR="0095660B">
        <w:rPr>
          <w:rFonts w:ascii="Calibri Light" w:hAnsi="Calibri Light" w:cs="Calibri Light"/>
          <w:sz w:val="22"/>
          <w:szCs w:val="22"/>
        </w:rPr>
        <w:t>deprivation</w:t>
      </w:r>
      <w:r w:rsidR="00E22419">
        <w:rPr>
          <w:rFonts w:ascii="Calibri Light" w:hAnsi="Calibri Light" w:cs="Calibri Light"/>
          <w:sz w:val="22"/>
          <w:szCs w:val="22"/>
        </w:rPr>
        <w:t xml:space="preserve"> of property</w:t>
      </w:r>
      <w:r w:rsidR="0095660B">
        <w:rPr>
          <w:rFonts w:ascii="Calibri Light" w:hAnsi="Calibri Light" w:cs="Calibri Light"/>
          <w:sz w:val="22"/>
          <w:szCs w:val="22"/>
        </w:rPr>
        <w:t xml:space="preserve">. </w:t>
      </w:r>
      <w:r w:rsidRPr="00184D8C" w:rsidR="00184D8C">
        <w:rPr>
          <w:rFonts w:ascii="Calibri Light" w:hAnsi="Calibri Light" w:cs="Calibri Light"/>
          <w:sz w:val="22"/>
          <w:szCs w:val="22"/>
        </w:rPr>
        <w:t xml:space="preserve">The government’s January 2026 policy statement notes, as if it were a bad development, that </w:t>
      </w:r>
      <w:r w:rsidR="00184D8C">
        <w:rPr>
          <w:rFonts w:ascii="Calibri Light" w:hAnsi="Calibri Light" w:cs="Calibri Light"/>
          <w:sz w:val="22"/>
          <w:szCs w:val="22"/>
        </w:rPr>
        <w:t>“</w:t>
      </w:r>
      <w:r w:rsidRPr="00184D8C" w:rsidR="00184D8C">
        <w:rPr>
          <w:rFonts w:ascii="Calibri Light" w:hAnsi="Calibri Light" w:cs="Calibri Light"/>
          <w:sz w:val="22"/>
          <w:szCs w:val="22"/>
        </w:rPr>
        <w:t>an immediate peppercorn cap would result in freeholders and investors losing the entire value of their ground rent and being left largely with development and reversionary value.</w:t>
      </w:r>
      <w:r w:rsidR="00184D8C">
        <w:rPr>
          <w:rFonts w:ascii="Calibri Light" w:hAnsi="Calibri Light" w:cs="Calibri Light"/>
          <w:sz w:val="22"/>
          <w:szCs w:val="22"/>
        </w:rPr>
        <w:t xml:space="preserve">” </w:t>
      </w:r>
      <w:r w:rsidRPr="00184D8C" w:rsidR="00184D8C">
        <w:rPr>
          <w:rFonts w:ascii="Calibri Light" w:hAnsi="Calibri Light" w:cs="Calibri Light"/>
          <w:sz w:val="22"/>
          <w:szCs w:val="22"/>
        </w:rPr>
        <w:t>Yet it overlooks other income streams, such as license and permission fees and hidden commissions or kickbacks from service charges and buildings insurance.</w:t>
      </w:r>
    </w:p>
    <w:p w:rsidR="00C24A5F" w:rsidRPr="00C24A5F" w:rsidP="008568F0">
      <w:pPr>
        <w:pStyle w:val="ListParagraph"/>
        <w:jc w:val="both"/>
        <w:rPr>
          <w:rFonts w:ascii="Calibri Light" w:hAnsi="Calibri Light" w:cs="Calibri Light"/>
          <w:sz w:val="22"/>
          <w:szCs w:val="22"/>
        </w:rPr>
      </w:pPr>
    </w:p>
    <w:p w:rsidR="0086103E" w:rsidP="008568F0">
      <w:pPr>
        <w:pStyle w:val="ListParagraph"/>
        <w:numPr>
          <w:ilvl w:val="1"/>
          <w:numId w:val="36"/>
        </w:numPr>
        <w:jc w:val="both"/>
        <w:rPr>
          <w:rFonts w:ascii="Calibri Light" w:hAnsi="Calibri Light" w:cs="Calibri Light"/>
          <w:sz w:val="22"/>
          <w:szCs w:val="22"/>
        </w:rPr>
      </w:pPr>
      <w:r w:rsidRPr="00C24A5F">
        <w:rPr>
          <w:rFonts w:ascii="Calibri Light" w:hAnsi="Calibri Light" w:cs="Calibri Light"/>
          <w:sz w:val="22"/>
          <w:szCs w:val="22"/>
        </w:rPr>
        <w:t xml:space="preserve">If the goal is to end the ownership of freeholds in other people’s homes as an investment asset class and to encourage their transfer to leaseholders, the only effective approach is a restorationist one: reduce ground rents to a peppercorn, as was the norm before developers and investors began </w:t>
      </w:r>
      <w:r w:rsidR="002B7CE8">
        <w:rPr>
          <w:rFonts w:ascii="Calibri Light" w:hAnsi="Calibri Light" w:cs="Calibri Light"/>
          <w:sz w:val="22"/>
          <w:szCs w:val="22"/>
        </w:rPr>
        <w:t>gaming</w:t>
      </w:r>
      <w:r w:rsidRPr="00C24A5F">
        <w:rPr>
          <w:rFonts w:ascii="Calibri Light" w:hAnsi="Calibri Light" w:cs="Calibri Light"/>
          <w:sz w:val="22"/>
          <w:szCs w:val="22"/>
        </w:rPr>
        <w:t xml:space="preserve"> the system in the 2000s</w:t>
      </w:r>
      <w:r w:rsidR="00832B4F">
        <w:rPr>
          <w:rFonts w:ascii="Calibri Light" w:hAnsi="Calibri Light" w:cs="Calibri Light"/>
          <w:sz w:val="22"/>
          <w:szCs w:val="22"/>
        </w:rPr>
        <w:t xml:space="preserve"> – </w:t>
      </w:r>
      <w:r w:rsidRPr="00832B4F" w:rsidR="00832B4F">
        <w:rPr>
          <w:rFonts w:ascii="Calibri Light" w:hAnsi="Calibri Light" w:cs="Calibri Light"/>
          <w:sz w:val="22"/>
          <w:szCs w:val="22"/>
        </w:rPr>
        <w:t>a policy that Minister Pennycook also favoured in opposition.</w:t>
      </w:r>
    </w:p>
    <w:p w:rsidR="00813866" w:rsidRPr="00FA0AC4" w:rsidP="008568F0">
      <w:pPr>
        <w:jc w:val="both"/>
        <w:rPr>
          <w:rFonts w:ascii="Calibri Light" w:hAnsi="Calibri Light" w:cs="Calibri Light"/>
          <w:sz w:val="22"/>
          <w:szCs w:val="22"/>
        </w:rPr>
      </w:pPr>
    </w:p>
    <w:p w:rsidR="00FA0AC4" w:rsidP="008568F0">
      <w:pPr>
        <w:pStyle w:val="ListParagraph"/>
        <w:numPr>
          <w:ilvl w:val="1"/>
          <w:numId w:val="36"/>
        </w:numPr>
        <w:jc w:val="both"/>
        <w:rPr>
          <w:rFonts w:ascii="Calibri Light" w:hAnsi="Calibri Light" w:cs="Calibri Light"/>
          <w:sz w:val="22"/>
          <w:szCs w:val="22"/>
        </w:rPr>
      </w:pPr>
      <w:r w:rsidRPr="00632173">
        <w:rPr>
          <w:rFonts w:ascii="Calibri Light" w:hAnsi="Calibri Light" w:cs="Calibri Light"/>
          <w:sz w:val="22"/>
          <w:szCs w:val="22"/>
        </w:rPr>
        <w:t>We are cognisant that Attorney General Lord Hermer’s amended guidance for government lawyers encourages highly cautious and unambitious policymaking by effectively directing that any measures posing a risk of judicial review be avoided.</w:t>
      </w:r>
      <w:r>
        <w:rPr>
          <w:rFonts w:ascii="Calibri Light" w:hAnsi="Calibri Light" w:cs="Calibri Light"/>
          <w:sz w:val="22"/>
          <w:szCs w:val="22"/>
        </w:rPr>
        <w:t xml:space="preserve"> </w:t>
      </w:r>
      <w:r w:rsidRPr="00813866" w:rsidR="00813866">
        <w:rPr>
          <w:rFonts w:ascii="Calibri Light" w:hAnsi="Calibri Light" w:cs="Calibri Light"/>
          <w:sz w:val="22"/>
          <w:szCs w:val="22"/>
        </w:rPr>
        <w:t>In January 2025, Sarah Russell, Labour MP for Congleton, warned Lord Hermer at the Justice Select Committee that these changes risk having a “chilling effect” on leasehold reform.</w:t>
      </w:r>
      <w:r>
        <w:rPr>
          <w:rStyle w:val="FootnoteReference"/>
          <w:rFonts w:ascii="Calibri Light" w:hAnsi="Calibri Light" w:cs="Calibri Light"/>
          <w:sz w:val="22"/>
          <w:szCs w:val="22"/>
        </w:rPr>
        <w:footnoteReference w:id="16"/>
      </w:r>
      <w:r w:rsidRPr="00813866" w:rsidR="00813866">
        <w:rPr>
          <w:rFonts w:ascii="Calibri Light" w:hAnsi="Calibri Light" w:cs="Calibri Light"/>
          <w:sz w:val="22"/>
          <w:szCs w:val="22"/>
        </w:rPr>
        <w:t xml:space="preserve"> Further, in his review of the ECHR for the Conservative Party, Lord Wolfson KC observed that </w:t>
      </w:r>
      <w:r w:rsidR="00E420D6">
        <w:rPr>
          <w:rFonts w:ascii="Calibri Light" w:hAnsi="Calibri Light" w:cs="Calibri Light"/>
          <w:sz w:val="22"/>
          <w:szCs w:val="22"/>
        </w:rPr>
        <w:t>A1P1</w:t>
      </w:r>
      <w:r w:rsidRPr="00813866" w:rsidR="00813866">
        <w:rPr>
          <w:rFonts w:ascii="Calibri Light" w:hAnsi="Calibri Light" w:cs="Calibri Light"/>
          <w:sz w:val="22"/>
          <w:szCs w:val="22"/>
        </w:rPr>
        <w:t xml:space="preserve"> of the ECHR “will have had significant effects in terms of Government decision-making in all sorts of contexts that affect ‘prosperity’</w:t>
      </w:r>
      <w:r w:rsidR="00813866">
        <w:rPr>
          <w:rFonts w:ascii="Calibri Light" w:hAnsi="Calibri Light" w:cs="Calibri Light"/>
          <w:sz w:val="22"/>
          <w:szCs w:val="22"/>
        </w:rPr>
        <w:t>,</w:t>
      </w:r>
      <w:r w:rsidRPr="00813866" w:rsidR="00813866">
        <w:rPr>
          <w:rFonts w:ascii="Calibri Light" w:hAnsi="Calibri Light" w:cs="Calibri Light"/>
          <w:sz w:val="22"/>
          <w:szCs w:val="22"/>
        </w:rPr>
        <w:t xml:space="preserve"> but these will not necessarily be ‘visible’</w:t>
      </w:r>
      <w:r w:rsidR="00813866">
        <w:rPr>
          <w:rFonts w:ascii="Calibri Light" w:hAnsi="Calibri Light" w:cs="Calibri Light"/>
          <w:sz w:val="22"/>
          <w:szCs w:val="22"/>
        </w:rPr>
        <w:t>:</w:t>
      </w:r>
      <w:r w:rsidRPr="00813866" w:rsidR="00813866">
        <w:rPr>
          <w:rFonts w:ascii="Calibri Light" w:hAnsi="Calibri Light" w:cs="Calibri Light"/>
          <w:sz w:val="22"/>
          <w:szCs w:val="22"/>
        </w:rPr>
        <w:t xml:space="preserve"> </w:t>
      </w:r>
      <w:r w:rsidR="00813866">
        <w:rPr>
          <w:rFonts w:ascii="Calibri Light" w:hAnsi="Calibri Light" w:cs="Calibri Light"/>
          <w:sz w:val="22"/>
          <w:szCs w:val="22"/>
        </w:rPr>
        <w:t>s</w:t>
      </w:r>
      <w:r w:rsidRPr="00813866" w:rsidR="00813866">
        <w:rPr>
          <w:rFonts w:ascii="Calibri Light" w:hAnsi="Calibri Light" w:cs="Calibri Light"/>
          <w:sz w:val="22"/>
          <w:szCs w:val="22"/>
        </w:rPr>
        <w:t>ome policies will be left on the cutting-room floor, or not even considered in the first place, in order to avoid potential challenges down the line.”</w:t>
      </w:r>
      <w:r>
        <w:rPr>
          <w:rStyle w:val="FootnoteReference"/>
          <w:rFonts w:ascii="Calibri Light" w:hAnsi="Calibri Light" w:cs="Calibri Light"/>
          <w:sz w:val="22"/>
          <w:szCs w:val="22"/>
        </w:rPr>
        <w:footnoteReference w:id="17"/>
      </w:r>
    </w:p>
    <w:p w:rsidR="00FA0AC4" w:rsidRPr="00FA0AC4" w:rsidP="008568F0">
      <w:pPr>
        <w:pStyle w:val="ListParagraph"/>
        <w:jc w:val="both"/>
        <w:rPr>
          <w:rFonts w:ascii="Calibri Light" w:hAnsi="Calibri Light" w:cs="Calibri Light"/>
          <w:sz w:val="22"/>
          <w:szCs w:val="22"/>
        </w:rPr>
      </w:pPr>
    </w:p>
    <w:p w:rsidR="00FA0AC4" w:rsidP="008568F0">
      <w:pPr>
        <w:pStyle w:val="ListParagraph"/>
        <w:numPr>
          <w:ilvl w:val="1"/>
          <w:numId w:val="36"/>
        </w:numPr>
        <w:jc w:val="both"/>
        <w:rPr>
          <w:rFonts w:ascii="Calibri Light" w:hAnsi="Calibri Light" w:cs="Calibri Light"/>
          <w:sz w:val="22"/>
          <w:szCs w:val="22"/>
        </w:rPr>
      </w:pPr>
      <w:r w:rsidRPr="00813866">
        <w:rPr>
          <w:rFonts w:ascii="Calibri Light" w:hAnsi="Calibri Light" w:cs="Calibri Light"/>
          <w:sz w:val="22"/>
          <w:szCs w:val="22"/>
        </w:rPr>
        <w:t xml:space="preserve">Free Leaseholders is concerned about the opaque policymaking process regarding ground rent reform and the </w:t>
      </w:r>
      <w:r w:rsidR="0024531D">
        <w:rPr>
          <w:rFonts w:ascii="Calibri Light" w:hAnsi="Calibri Light" w:cs="Calibri Light"/>
          <w:sz w:val="22"/>
          <w:szCs w:val="22"/>
        </w:rPr>
        <w:t>wider</w:t>
      </w:r>
      <w:r w:rsidRPr="00813866">
        <w:rPr>
          <w:rFonts w:ascii="Calibri Light" w:hAnsi="Calibri Light" w:cs="Calibri Light"/>
          <w:sz w:val="22"/>
          <w:szCs w:val="22"/>
        </w:rPr>
        <w:t xml:space="preserve"> leasehold and commonhold agenda. It calls on the Commons Housing Select Committee to compel the disclosure of the government’s legal advice underlying the policy to reduce ground rents to a peppercorn only in 2068, and, if additional advice exists, to release that as well.</w:t>
      </w:r>
    </w:p>
    <w:p w:rsidR="00567469" w:rsidP="004A78D8">
      <w:pPr>
        <w:rPr>
          <w:rFonts w:ascii="Calibri" w:hAnsi="Calibri" w:cs="Calibri"/>
          <w:sz w:val="22"/>
          <w:szCs w:val="22"/>
        </w:rPr>
      </w:pPr>
    </w:p>
    <w:p w:rsidR="00897BCC" w:rsidP="004A78D8">
      <w:pPr>
        <w:rPr>
          <w:rFonts w:ascii="Calibri Light" w:hAnsi="Calibri Light" w:cs="Calibri Light"/>
          <w:b/>
          <w:bCs/>
          <w:sz w:val="30"/>
          <w:szCs w:val="30"/>
        </w:rPr>
      </w:pPr>
      <w:r>
        <w:rPr>
          <w:rFonts w:ascii="Calibri Light" w:hAnsi="Calibri Light" w:cs="Calibri Light"/>
          <w:b/>
          <w:bCs/>
          <w:sz w:val="30"/>
          <w:szCs w:val="30"/>
        </w:rPr>
        <w:t>About the author</w:t>
      </w:r>
    </w:p>
    <w:p w:rsidR="007F45FA" w:rsidP="00581319">
      <w:pPr>
        <w:jc w:val="both"/>
        <w:rPr>
          <w:rFonts w:ascii="Calibri Light" w:hAnsi="Calibri Light" w:cs="Calibri Light"/>
          <w:sz w:val="22"/>
          <w:szCs w:val="22"/>
        </w:rPr>
      </w:pPr>
      <w:r w:rsidRPr="00C33BF2">
        <w:rPr>
          <w:rFonts w:ascii="Calibri Light" w:hAnsi="Calibri Light" w:cs="Calibri Light"/>
          <w:sz w:val="22"/>
          <w:szCs w:val="22"/>
        </w:rPr>
        <w:t>Harry Scoffin is a housing campaigner, founder of Free Leaseholders, and a frequent media commentator on leasehold and commonhold. He appeared before Parliament to scrutinise what became the 2024 Act and addressed the London Assembly. Harry is deputy chair of the residents’ association for a mixed-use block</w:t>
      </w:r>
      <w:r w:rsidR="00F90715">
        <w:rPr>
          <w:rFonts w:ascii="Calibri Light" w:hAnsi="Calibri Light" w:cs="Calibri Light"/>
          <w:sz w:val="22"/>
          <w:szCs w:val="22"/>
        </w:rPr>
        <w:t xml:space="preserve"> blighted by excessive service charges</w:t>
      </w:r>
      <w:r w:rsidRPr="00C33BF2">
        <w:rPr>
          <w:rFonts w:ascii="Calibri Light" w:hAnsi="Calibri Light" w:cs="Calibri Light"/>
          <w:sz w:val="22"/>
          <w:szCs w:val="22"/>
        </w:rPr>
        <w:t xml:space="preserve"> and director of a new Right to Manage </w:t>
      </w:r>
      <w:r w:rsidR="00B26922">
        <w:rPr>
          <w:rFonts w:ascii="Calibri Light" w:hAnsi="Calibri Light" w:cs="Calibri Light"/>
          <w:sz w:val="22"/>
          <w:szCs w:val="22"/>
        </w:rPr>
        <w:t>c</w:t>
      </w:r>
      <w:r w:rsidRPr="00C33BF2">
        <w:rPr>
          <w:rFonts w:ascii="Calibri Light" w:hAnsi="Calibri Light" w:cs="Calibri Light"/>
          <w:sz w:val="22"/>
          <w:szCs w:val="22"/>
        </w:rPr>
        <w:t>ompany seeking to take over management.</w:t>
      </w:r>
    </w:p>
    <w:p w:rsidR="00014F1E" w:rsidP="00581319">
      <w:pPr>
        <w:jc w:val="both"/>
        <w:rPr>
          <w:rFonts w:ascii="Calibri Light" w:hAnsi="Calibri Light" w:cs="Calibri Light"/>
          <w:sz w:val="22"/>
          <w:szCs w:val="22"/>
        </w:rPr>
      </w:pPr>
    </w:p>
    <w:p w:rsidR="00014F1E" w:rsidRPr="00014F1E" w:rsidP="00581319">
      <w:pPr>
        <w:jc w:val="both"/>
        <w:rPr>
          <w:rFonts w:ascii="Calibri Light" w:hAnsi="Calibri Light" w:cs="Calibri Light"/>
          <w:i/>
          <w:iCs/>
          <w:sz w:val="22"/>
          <w:szCs w:val="22"/>
        </w:rPr>
      </w:pPr>
      <w:r>
        <w:rPr>
          <w:rFonts w:ascii="Calibri Light" w:hAnsi="Calibri Light" w:cs="Calibri Light"/>
          <w:i/>
          <w:iCs/>
          <w:sz w:val="22"/>
          <w:szCs w:val="22"/>
        </w:rPr>
        <w:t>February 2026</w:t>
      </w:r>
    </w:p>
    <w:sectPr w:rsidSect="00272CC4">
      <w:headerReference w:type="even" r:id="rId10"/>
      <w:headerReference w:type="default" r:id="rId11"/>
      <w:footerReference w:type="even" r:id="rId12"/>
      <w:headerReference w:type="first" r:id="rId13"/>
      <w:pgSz w:w="11900" w:h="16840"/>
      <w:pgMar w:top="1134"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Narrow">
    <w:panose1 w:val="020B06060202020A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Style w:val="PageNumber"/>
      </w:rPr>
      <w:id w:val="-373004130"/>
      <w:docPartObj>
        <w:docPartGallery w:val="Page Numbers (Bottom of Page)"/>
        <w:docPartUnique/>
      </w:docPartObj>
    </w:sdtPr>
    <w:sdtEndPr>
      <w:rPr>
        <w:rStyle w:val="PageNumber"/>
      </w:rPr>
    </w:sdtEndPr>
    <w:sdtContent>
      <w:p w:rsidR="008243D4" w:rsidP="00946EC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8243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A6659" w:rsidP="00F0655E">
      <w:r>
        <w:separator/>
      </w:r>
    </w:p>
  </w:footnote>
  <w:footnote w:type="continuationSeparator" w:id="1">
    <w:p w:rsidR="000A6659" w:rsidP="00F0655E">
      <w:r>
        <w:continuationSeparator/>
      </w:r>
    </w:p>
  </w:footnote>
  <w:footnote w:id="2">
    <w:p w:rsidR="007E6707" w:rsidRPr="008243D4">
      <w:pPr>
        <w:pStyle w:val="FootnoteText"/>
        <w:rPr>
          <w:rFonts w:ascii="Calibri Light" w:hAnsi="Calibri Light" w:cs="Calibri Light"/>
        </w:rPr>
      </w:pPr>
      <w:r w:rsidRPr="008243D4">
        <w:rPr>
          <w:rStyle w:val="FootnoteReference"/>
          <w:rFonts w:ascii="Calibri Light" w:hAnsi="Calibri Light" w:cs="Calibri Light"/>
        </w:rPr>
        <w:footnoteRef/>
      </w:r>
      <w:r w:rsidRPr="008243D4">
        <w:rPr>
          <w:rFonts w:ascii="Calibri Light" w:hAnsi="Calibri Light" w:cs="Calibri Light"/>
        </w:rPr>
        <w:t xml:space="preserve"> </w:t>
      </w:r>
      <w:r>
        <w:fldChar w:fldCharType="begin"/>
      </w:r>
      <w:r>
        <w:instrText xml:space="preserve"> HYPERLINK "https://questions-statements.parliament.uk/written-statements/detail/2024-11-21/hcws244" </w:instrText>
      </w:r>
      <w:r>
        <w:fldChar w:fldCharType="separate"/>
      </w:r>
      <w:r w:rsidRPr="008243D4">
        <w:rPr>
          <w:rStyle w:val="Hyperlink"/>
          <w:rFonts w:ascii="Calibri Light" w:hAnsi="Calibri Light" w:cs="Calibri Light"/>
        </w:rPr>
        <w:t>https://questions-statements.parliament.uk/written-statements/detail/2024-11-21/hcws244</w:t>
      </w:r>
      <w:r>
        <w:fldChar w:fldCharType="end"/>
      </w:r>
    </w:p>
    <w:p w:rsidR="007E6707">
      <w:pPr>
        <w:pStyle w:val="FootnoteText"/>
      </w:pPr>
    </w:p>
  </w:footnote>
  <w:footnote w:id="3">
    <w:p w:rsidR="006942E2" w:rsidRPr="008243D4">
      <w:pPr>
        <w:pStyle w:val="FootnoteText"/>
        <w:rPr>
          <w:rFonts w:ascii="Calibri Light" w:hAnsi="Calibri Light" w:cs="Calibri Light"/>
        </w:rPr>
      </w:pPr>
      <w:r w:rsidRPr="008243D4">
        <w:rPr>
          <w:rStyle w:val="FootnoteReference"/>
          <w:rFonts w:ascii="Calibri Light" w:hAnsi="Calibri Light" w:cs="Calibri Light"/>
        </w:rPr>
        <w:footnoteRef/>
      </w:r>
      <w:r w:rsidRPr="008243D4">
        <w:rPr>
          <w:rFonts w:ascii="Calibri Light" w:hAnsi="Calibri Light" w:cs="Calibri Light"/>
        </w:rPr>
        <w:t xml:space="preserve"> </w:t>
      </w:r>
      <w:r>
        <w:fldChar w:fldCharType="begin"/>
      </w:r>
      <w:r>
        <w:instrText xml:space="preserve"> HYPERLINK "https://www.hamptons.co.uk/articles/2025-service-charge-index" \l "/" </w:instrText>
      </w:r>
      <w:r>
        <w:fldChar w:fldCharType="separate"/>
      </w:r>
      <w:r w:rsidRPr="008243D4">
        <w:rPr>
          <w:rStyle w:val="Hyperlink"/>
          <w:rFonts w:ascii="Calibri Light" w:hAnsi="Calibri Light" w:cs="Calibri Light"/>
        </w:rPr>
        <w:t>https://www.hamptons.co.uk/articles/2025-service-charge-index#/</w:t>
      </w:r>
      <w:r>
        <w:fldChar w:fldCharType="end"/>
      </w:r>
    </w:p>
  </w:footnote>
  <w:footnote w:id="4">
    <w:p w:rsidR="00DB2D41" w:rsidRPr="008243D4">
      <w:pPr>
        <w:pStyle w:val="FootnoteText"/>
        <w:rPr>
          <w:rFonts w:ascii="Calibri Light" w:hAnsi="Calibri Light" w:cs="Calibri Light"/>
        </w:rPr>
      </w:pPr>
      <w:r w:rsidRPr="008243D4">
        <w:rPr>
          <w:rStyle w:val="FootnoteReference"/>
          <w:rFonts w:ascii="Calibri Light" w:hAnsi="Calibri Light" w:cs="Calibri Light"/>
        </w:rPr>
        <w:footnoteRef/>
      </w:r>
      <w:r w:rsidRPr="008243D4">
        <w:rPr>
          <w:rFonts w:ascii="Calibri Light" w:hAnsi="Calibri Light" w:cs="Calibri Light"/>
        </w:rPr>
        <w:t xml:space="preserve"> </w:t>
      </w:r>
      <w:r>
        <w:fldChar w:fldCharType="begin"/>
      </w:r>
      <w:r>
        <w:instrText xml:space="preserve"> HYPERLINK "https://www.zoopla.co.uk/press/releases/price-gap-between-houses-and-flats-at-30-year-high-with-buyers-favouring/" </w:instrText>
      </w:r>
      <w:r>
        <w:fldChar w:fldCharType="separate"/>
      </w:r>
      <w:r w:rsidRPr="008243D4" w:rsidR="00AA4151">
        <w:rPr>
          <w:rStyle w:val="Hyperlink"/>
          <w:rFonts w:ascii="Calibri Light" w:hAnsi="Calibri Light" w:cs="Calibri Light"/>
        </w:rPr>
        <w:t>https://www.zoopla.co.uk/press/releases/price-gap-between-houses-and-flats-at-30-year-high-with-buyers-favouring/</w:t>
      </w:r>
      <w:r>
        <w:fldChar w:fldCharType="end"/>
      </w:r>
    </w:p>
    <w:p w:rsidR="00AA4151">
      <w:pPr>
        <w:pStyle w:val="FootnoteText"/>
      </w:pPr>
    </w:p>
  </w:footnote>
  <w:footnote w:id="5">
    <w:p w:rsidR="0026054B" w:rsidRPr="008243D4">
      <w:pPr>
        <w:pStyle w:val="FootnoteText"/>
        <w:rPr>
          <w:rFonts w:ascii="Calibri Light" w:hAnsi="Calibri Light" w:cs="Calibri Light"/>
        </w:rPr>
      </w:pPr>
      <w:r w:rsidRPr="008243D4">
        <w:rPr>
          <w:rStyle w:val="FootnoteReference"/>
          <w:rFonts w:ascii="Calibri Light" w:hAnsi="Calibri Light" w:cs="Calibri Light"/>
        </w:rPr>
        <w:footnoteRef/>
      </w:r>
      <w:r w:rsidRPr="008243D4">
        <w:rPr>
          <w:rFonts w:ascii="Calibri Light" w:hAnsi="Calibri Light" w:cs="Calibri Light"/>
        </w:rPr>
        <w:t xml:space="preserve"> </w:t>
      </w:r>
      <w:r>
        <w:fldChar w:fldCharType="begin"/>
      </w:r>
      <w:r>
        <w:instrText xml:space="preserve"> HYPERLINK "https://questions-statements.parliament.uk/written-statements/detail/2021-01-11/hcws695" </w:instrText>
      </w:r>
      <w:r>
        <w:fldChar w:fldCharType="separate"/>
      </w:r>
      <w:r w:rsidRPr="008243D4">
        <w:rPr>
          <w:rStyle w:val="Hyperlink"/>
          <w:rFonts w:ascii="Calibri Light" w:hAnsi="Calibri Light" w:cs="Calibri Light"/>
        </w:rPr>
        <w:t>https://questions-statements.parliament.uk/written-statements/detail/2021-01-11/hcws695</w:t>
      </w:r>
      <w:r>
        <w:fldChar w:fldCharType="end"/>
      </w:r>
    </w:p>
    <w:p w:rsidR="0026054B">
      <w:pPr>
        <w:pStyle w:val="FootnoteText"/>
      </w:pPr>
    </w:p>
  </w:footnote>
  <w:footnote w:id="6">
    <w:p w:rsidR="00274272" w:rsidRPr="00274272">
      <w:pPr>
        <w:pStyle w:val="FootnoteText"/>
        <w:rPr>
          <w:rFonts w:ascii="Calibri Light" w:hAnsi="Calibri Light" w:cs="Calibri Light"/>
        </w:rPr>
      </w:pPr>
      <w:r>
        <w:rPr>
          <w:rStyle w:val="FootnoteReference"/>
        </w:rPr>
        <w:footnoteRef/>
      </w:r>
      <w:r>
        <w:t xml:space="preserve"> </w:t>
      </w:r>
      <w:r w:rsidRPr="00354DDF">
        <w:rPr>
          <w:rFonts w:ascii="Calibri Light" w:hAnsi="Calibri Light" w:cs="Calibri Light"/>
        </w:rPr>
        <w:t>“List of policy measures in the Bill”</w:t>
      </w:r>
      <w:r w:rsidR="00205837">
        <w:rPr>
          <w:rFonts w:ascii="Calibri Light" w:hAnsi="Calibri Light" w:cs="Calibri Light"/>
        </w:rPr>
        <w:t>,</w:t>
      </w:r>
      <w:r w:rsidRPr="00354DDF">
        <w:rPr>
          <w:rFonts w:ascii="Calibri Light" w:hAnsi="Calibri Light" w:cs="Calibri Light"/>
        </w:rPr>
        <w:t xml:space="preserve"> in Leasehold and Freehold Reform Bill Impact Assessment, </w:t>
      </w:r>
      <w:r w:rsidR="00586C8A">
        <w:rPr>
          <w:rFonts w:ascii="Calibri Light" w:hAnsi="Calibri Light" w:cs="Calibri Light"/>
        </w:rPr>
        <w:t>p.</w:t>
      </w:r>
      <w:r w:rsidRPr="00354DDF">
        <w:rPr>
          <w:rFonts w:ascii="Calibri Light" w:hAnsi="Calibri Light" w:cs="Calibri Light"/>
        </w:rPr>
        <w:t>100 (UK Parliament, 31 Oct</w:t>
      </w:r>
      <w:r w:rsidR="00904EC3">
        <w:rPr>
          <w:rFonts w:ascii="Calibri Light" w:hAnsi="Calibri Light" w:cs="Calibri Light"/>
        </w:rPr>
        <w:t>ober</w:t>
      </w:r>
      <w:r w:rsidRPr="00354DDF">
        <w:rPr>
          <w:rFonts w:ascii="Calibri Light" w:hAnsi="Calibri Light" w:cs="Calibri Light"/>
        </w:rPr>
        <w:t xml:space="preserve"> 2023), </w:t>
      </w:r>
      <w:r>
        <w:fldChar w:fldCharType="begin"/>
      </w:r>
      <w:r>
        <w:instrText xml:space="preserve"> HYPERLINK "https://publications.parliament.uk/pa/bills/cbill/58-04/0013/LeaseholdandFreeholdReformBillImpactAssessment.pdf" </w:instrText>
      </w:r>
      <w:r>
        <w:fldChar w:fldCharType="separate"/>
      </w:r>
      <w:r w:rsidRPr="00946ECF">
        <w:rPr>
          <w:rStyle w:val="Hyperlink"/>
          <w:rFonts w:ascii="Calibri Light" w:hAnsi="Calibri Light" w:cs="Calibri Light"/>
        </w:rPr>
        <w:t>https://publications.parliament.uk/pa/bills/cbill/58-04/0013/LeaseholdandFreeholdReformBillImpactAssessment.pdf</w:t>
      </w:r>
      <w:r>
        <w:fldChar w:fldCharType="end"/>
      </w:r>
    </w:p>
  </w:footnote>
  <w:footnote w:id="7">
    <w:p w:rsidR="0085144E" w:rsidRPr="008243D4">
      <w:pPr>
        <w:pStyle w:val="FootnoteText"/>
        <w:rPr>
          <w:rFonts w:ascii="Calibri Light" w:hAnsi="Calibri Light" w:cs="Calibri Light"/>
        </w:rPr>
      </w:pPr>
      <w:r w:rsidRPr="008243D4">
        <w:rPr>
          <w:rStyle w:val="FootnoteReference"/>
          <w:rFonts w:ascii="Calibri Light" w:hAnsi="Calibri Light" w:cs="Calibri Light"/>
        </w:rPr>
        <w:footnoteRef/>
      </w:r>
      <w:r w:rsidRPr="008243D4">
        <w:rPr>
          <w:rFonts w:ascii="Calibri Light" w:hAnsi="Calibri Light" w:cs="Calibri Light"/>
        </w:rPr>
        <w:t xml:space="preserve"> </w:t>
      </w:r>
      <w:r>
        <w:fldChar w:fldCharType="begin"/>
      </w:r>
      <w:r>
        <w:instrText xml:space="preserve"> HYPERLINK "https://tanfieldchambers.co.uk/leasehold-a-new-dawn/" </w:instrText>
      </w:r>
      <w:r>
        <w:fldChar w:fldCharType="separate"/>
      </w:r>
      <w:r w:rsidRPr="008243D4">
        <w:rPr>
          <w:rStyle w:val="Hyperlink"/>
          <w:rFonts w:ascii="Calibri Light" w:hAnsi="Calibri Light" w:cs="Calibri Light"/>
        </w:rPr>
        <w:t>https://tanfieldchambers.co.uk/leasehold-a-new-dawn/</w:t>
      </w:r>
      <w:r>
        <w:fldChar w:fldCharType="end"/>
      </w:r>
    </w:p>
  </w:footnote>
  <w:footnote w:id="8">
    <w:p w:rsidR="0085144E" w:rsidRPr="008243D4">
      <w:pPr>
        <w:pStyle w:val="FootnoteText"/>
        <w:rPr>
          <w:rFonts w:ascii="Calibri Light" w:hAnsi="Calibri Light" w:cs="Calibri Light"/>
        </w:rPr>
      </w:pPr>
      <w:r w:rsidRPr="008243D4">
        <w:rPr>
          <w:rStyle w:val="FootnoteReference"/>
          <w:rFonts w:ascii="Calibri Light" w:hAnsi="Calibri Light" w:cs="Calibri Light"/>
        </w:rPr>
        <w:footnoteRef/>
      </w:r>
      <w:r w:rsidRPr="008243D4">
        <w:rPr>
          <w:rFonts w:ascii="Calibri Light" w:hAnsi="Calibri Light" w:cs="Calibri Light"/>
        </w:rPr>
        <w:t xml:space="preserve"> </w:t>
      </w:r>
      <w:r>
        <w:fldChar w:fldCharType="begin"/>
      </w:r>
      <w:r>
        <w:instrText xml:space="preserve"> HYPERLINK "https://tanfieldchambers.co.uk/leasehold-enfranchisement-options-to-reduce-the-price/" </w:instrText>
      </w:r>
      <w:r>
        <w:fldChar w:fldCharType="separate"/>
      </w:r>
      <w:r w:rsidRPr="008243D4">
        <w:rPr>
          <w:rStyle w:val="Hyperlink"/>
          <w:rFonts w:ascii="Calibri Light" w:hAnsi="Calibri Light" w:cs="Calibri Light"/>
        </w:rPr>
        <w:t>https://tanfieldchambers.co.uk/leasehold-enfranchisement-options-to-reduce-the-price/</w:t>
      </w:r>
      <w:r>
        <w:fldChar w:fldCharType="end"/>
      </w:r>
    </w:p>
    <w:p w:rsidR="0085144E">
      <w:pPr>
        <w:pStyle w:val="FootnoteText"/>
      </w:pPr>
    </w:p>
  </w:footnote>
  <w:footnote w:id="9">
    <w:p w:rsidR="00472112" w:rsidRPr="00586C8A">
      <w:pPr>
        <w:pStyle w:val="FootnoteText"/>
        <w:rPr>
          <w:rFonts w:ascii="Calibri Light" w:hAnsi="Calibri Light" w:cs="Calibri Light"/>
        </w:rPr>
      </w:pPr>
      <w:r w:rsidRPr="00586C8A">
        <w:rPr>
          <w:rStyle w:val="FootnoteReference"/>
          <w:rFonts w:ascii="Calibri Light" w:hAnsi="Calibri Light" w:cs="Calibri Light"/>
        </w:rPr>
        <w:footnoteRef/>
      </w:r>
      <w:r w:rsidRPr="00586C8A">
        <w:rPr>
          <w:rFonts w:ascii="Calibri Light" w:hAnsi="Calibri Light" w:cs="Calibri Light"/>
        </w:rPr>
        <w:t xml:space="preserve"> </w:t>
      </w:r>
      <w:r>
        <w:fldChar w:fldCharType="begin"/>
      </w:r>
      <w:r>
        <w:instrText xml:space="preserve"> HYPERLINK "https://hansard.parliament.uk/commons/2024-02-27/debates/6FE58B52-9F01-4FC5-8E26-C97C5A7B383A/LeaseholdAndFreeholdReformBill" \l "contribution-A07DAA90-0B2E-44D0-AAEF-C37D6F603395" </w:instrText>
      </w:r>
      <w:r>
        <w:fldChar w:fldCharType="separate"/>
      </w:r>
      <w:r w:rsidRPr="00586C8A">
        <w:rPr>
          <w:rStyle w:val="Hyperlink"/>
          <w:rFonts w:ascii="Calibri Light" w:hAnsi="Calibri Light" w:cs="Calibri Light"/>
        </w:rPr>
        <w:t>https://hansard.parliament.uk/commons/2024-02-27/debates/6FE58B52-9F01-4FC5-8E26-C97C5A7B383A/LeaseholdAndFreeholdReformBill#contribution-A07DAA90-0B2E-44D0-AAEF-C37D6F603395</w:t>
      </w:r>
      <w:r>
        <w:fldChar w:fldCharType="end"/>
      </w:r>
    </w:p>
  </w:footnote>
  <w:footnote w:id="10">
    <w:p w:rsidR="00472112" w:rsidRPr="00586C8A">
      <w:pPr>
        <w:pStyle w:val="FootnoteText"/>
        <w:rPr>
          <w:rFonts w:ascii="Calibri Light" w:hAnsi="Calibri Light" w:cs="Calibri Light"/>
        </w:rPr>
      </w:pPr>
      <w:r w:rsidRPr="00586C8A">
        <w:rPr>
          <w:rStyle w:val="FootnoteReference"/>
          <w:rFonts w:ascii="Calibri Light" w:hAnsi="Calibri Light" w:cs="Calibri Light"/>
        </w:rPr>
        <w:footnoteRef/>
      </w:r>
      <w:r w:rsidRPr="00586C8A">
        <w:rPr>
          <w:rFonts w:ascii="Calibri Light" w:hAnsi="Calibri Light" w:cs="Calibri Light"/>
        </w:rPr>
        <w:t xml:space="preserve"> </w:t>
      </w:r>
      <w:r>
        <w:fldChar w:fldCharType="begin"/>
      </w:r>
      <w:r>
        <w:instrText xml:space="preserve"> HYPERLINK "https://bills.parliament.uk/bills/3523/stages/18473/amendments/10012121" </w:instrText>
      </w:r>
      <w:r>
        <w:fldChar w:fldCharType="separate"/>
      </w:r>
      <w:r w:rsidRPr="00586C8A">
        <w:rPr>
          <w:rStyle w:val="Hyperlink"/>
          <w:rFonts w:ascii="Calibri Light" w:hAnsi="Calibri Light" w:cs="Calibri Light"/>
        </w:rPr>
        <w:t>https://bills.parliament.uk/bills/3523/stages/18473/amendments/10012121</w:t>
      </w:r>
      <w:r>
        <w:fldChar w:fldCharType="end"/>
      </w:r>
    </w:p>
  </w:footnote>
  <w:footnote w:id="11">
    <w:p w:rsidR="00540BBA" w:rsidRPr="00540BBA">
      <w:pPr>
        <w:pStyle w:val="FootnoteText"/>
        <w:rPr>
          <w:rFonts w:ascii="Calibri Light" w:hAnsi="Calibri Light" w:cs="Calibri Light"/>
        </w:rPr>
      </w:pPr>
      <w:r w:rsidRPr="00586C8A">
        <w:rPr>
          <w:rStyle w:val="FootnoteReference"/>
          <w:rFonts w:ascii="Calibri Light" w:hAnsi="Calibri Light" w:cs="Calibri Light"/>
        </w:rPr>
        <w:footnoteRef/>
      </w:r>
      <w:r w:rsidRPr="00586C8A">
        <w:rPr>
          <w:rFonts w:ascii="Calibri Light" w:hAnsi="Calibri Light" w:cs="Calibri Light"/>
        </w:rPr>
        <w:t xml:space="preserve"> “Commercial Leasehold”, in Fourteenth Programme of Law Reform, pp.13–14 (Law Commission, 4 September 2025), </w:t>
      </w:r>
      <w:r>
        <w:fldChar w:fldCharType="begin"/>
      </w:r>
      <w:r>
        <w:instrText xml:space="preserve"> HYPERLINK "https://cdn.websitebuilder.service.justice.gov.uk/uploads/sites/54/2025/09/14th-programme-of-Law-Reform.pdf" </w:instrText>
      </w:r>
      <w:r>
        <w:fldChar w:fldCharType="separate"/>
      </w:r>
      <w:r w:rsidRPr="00946ECF">
        <w:rPr>
          <w:rStyle w:val="Hyperlink"/>
          <w:rFonts w:ascii="Calibri Light" w:hAnsi="Calibri Light" w:cs="Calibri Light"/>
        </w:rPr>
        <w:t>https://cdn.websitebuilder.service.justice.gov.uk/uploads/sites/54/2025/09/14th-programme-of-Law-Reform.pdf</w:t>
      </w:r>
      <w:r>
        <w:fldChar w:fldCharType="end"/>
      </w:r>
    </w:p>
  </w:footnote>
  <w:footnote w:id="12">
    <w:p w:rsidR="006B0A73" w:rsidRPr="00272CC4">
      <w:pPr>
        <w:pStyle w:val="FootnoteText"/>
        <w:rPr>
          <w:rFonts w:ascii="Calibri Light" w:hAnsi="Calibri Light" w:cs="Calibri Light"/>
        </w:rPr>
      </w:pPr>
      <w:r w:rsidRPr="00272CC4">
        <w:rPr>
          <w:rStyle w:val="FootnoteReference"/>
          <w:rFonts w:ascii="Calibri Light" w:hAnsi="Calibri Light" w:cs="Calibri Light"/>
        </w:rPr>
        <w:footnoteRef/>
      </w:r>
      <w:r w:rsidRPr="00272CC4">
        <w:rPr>
          <w:rFonts w:ascii="Calibri Light" w:hAnsi="Calibri Light" w:cs="Calibri Light"/>
        </w:rPr>
        <w:t xml:space="preserve"> </w:t>
      </w:r>
      <w:r>
        <w:fldChar w:fldCharType="begin"/>
      </w:r>
      <w:r>
        <w:instrText xml:space="preserve"> HYPERLINK "https://committees.parliament.uk/publications/46930/documents/242152/default/" </w:instrText>
      </w:r>
      <w:r>
        <w:fldChar w:fldCharType="separate"/>
      </w:r>
      <w:r w:rsidRPr="00272CC4">
        <w:rPr>
          <w:rStyle w:val="Hyperlink"/>
          <w:rFonts w:ascii="Calibri Light" w:hAnsi="Calibri Light" w:cs="Calibri Light"/>
        </w:rPr>
        <w:t>https://committees.parliament.uk/publications/46930/documents/242152/default/</w:t>
      </w:r>
      <w:r>
        <w:fldChar w:fldCharType="end"/>
      </w:r>
    </w:p>
    <w:p w:rsidR="006B0A73">
      <w:pPr>
        <w:pStyle w:val="FootnoteText"/>
      </w:pPr>
    </w:p>
  </w:footnote>
  <w:footnote w:id="13">
    <w:p w:rsidR="0092435B" w:rsidRPr="00EB785C">
      <w:pPr>
        <w:pStyle w:val="FootnoteText"/>
        <w:rPr>
          <w:rFonts w:ascii="Calibri Light" w:hAnsi="Calibri Light" w:cs="Calibri Light"/>
        </w:rPr>
      </w:pPr>
      <w:r w:rsidRPr="00EB785C">
        <w:rPr>
          <w:rStyle w:val="FootnoteReference"/>
          <w:rFonts w:ascii="Calibri Light" w:hAnsi="Calibri Light" w:cs="Calibri Light"/>
        </w:rPr>
        <w:footnoteRef/>
      </w:r>
      <w:r w:rsidRPr="00EB785C">
        <w:rPr>
          <w:rFonts w:ascii="Calibri Light" w:hAnsi="Calibri Light" w:cs="Calibri Light"/>
        </w:rPr>
        <w:t xml:space="preserve"> </w:t>
      </w:r>
      <w:r>
        <w:fldChar w:fldCharType="begin"/>
      </w:r>
      <w:r>
        <w:instrText xml:space="preserve"> HYPERLINK "https://hansard.parliament.uk/Commons/2024-01-25/debates/91bc17ff-ffa7-4188-88ca-5c65b0640146/LeaseholdAndFreeholdReformBill(SeventhSitting)" \l "contribution-1D6D9322-BE07-45E3-9098-41082BCB7530" </w:instrText>
      </w:r>
      <w:r>
        <w:fldChar w:fldCharType="separate"/>
      </w:r>
      <w:r w:rsidRPr="00EB785C">
        <w:rPr>
          <w:rStyle w:val="Hyperlink"/>
          <w:rFonts w:ascii="Calibri Light" w:hAnsi="Calibri Light" w:cs="Calibri Light"/>
        </w:rPr>
        <w:t>https://hansard.parliament.uk/Commons/2024-01-25/debates/91bc17ff-ffa7-4188-88ca-5c65b0640146/LeaseholdAndFreeholdReformBill(SeventhSitting)#contribution-1D6D9322-BE07-45E3-9098-41082BCB7530</w:t>
      </w:r>
      <w:r>
        <w:fldChar w:fldCharType="end"/>
      </w:r>
    </w:p>
  </w:footnote>
  <w:footnote w:id="14">
    <w:p w:rsidR="00E318F9" w:rsidRPr="00EB785C">
      <w:pPr>
        <w:pStyle w:val="FootnoteText"/>
        <w:rPr>
          <w:rFonts w:ascii="Calibri Light" w:hAnsi="Calibri Light" w:cs="Calibri Light"/>
        </w:rPr>
      </w:pPr>
      <w:r w:rsidRPr="00EB785C">
        <w:rPr>
          <w:rStyle w:val="FootnoteReference"/>
          <w:rFonts w:ascii="Calibri Light" w:hAnsi="Calibri Light" w:cs="Calibri Light"/>
        </w:rPr>
        <w:footnoteRef/>
      </w:r>
      <w:r w:rsidRPr="00EB785C">
        <w:rPr>
          <w:rFonts w:ascii="Calibri Light" w:hAnsi="Calibri Light" w:cs="Calibri Light"/>
          <w:color w:val="FFFFFF" w:themeColor="background1"/>
          <w:sz w:val="8"/>
          <w:szCs w:val="8"/>
        </w:rPr>
        <w:t>a</w:t>
      </w:r>
      <w:r>
        <w:fldChar w:fldCharType="begin"/>
      </w:r>
      <w:r>
        <w:instrText xml:space="preserve"> HYPERLINK "https://webarchive.nationalarchives.gov.uk/ukgwa/20120919122719/http://www.communities.gov.uk/documents/housing/pdf/1527264.pdf" </w:instrText>
      </w:r>
      <w:r>
        <w:fldChar w:fldCharType="separate"/>
      </w:r>
      <w:r w:rsidRPr="00EB785C">
        <w:rPr>
          <w:rStyle w:val="Hyperlink"/>
          <w:rFonts w:ascii="Calibri Light" w:hAnsi="Calibri Light" w:cs="Calibri Light"/>
        </w:rPr>
        <w:t>https://webarchive.nationalarchives.gov.uk/ukgwa/20120919122719/http://www.communities.gov.uk/documents/housing/pdf/1527264.pdf</w:t>
      </w:r>
      <w:r>
        <w:fldChar w:fldCharType="end"/>
      </w:r>
    </w:p>
    <w:p w:rsidR="00E318F9">
      <w:pPr>
        <w:pStyle w:val="FootnoteText"/>
      </w:pPr>
    </w:p>
  </w:footnote>
  <w:footnote w:id="15">
    <w:p w:rsidR="00DB5C8B" w:rsidRPr="00DB5C8B">
      <w:pPr>
        <w:pStyle w:val="FootnoteText"/>
        <w:rPr>
          <w:rFonts w:ascii="Calibri Light" w:hAnsi="Calibri Light" w:cs="Calibri Light"/>
        </w:rPr>
      </w:pPr>
      <w:r w:rsidRPr="00DB5C8B">
        <w:rPr>
          <w:rStyle w:val="FootnoteReference"/>
          <w:rFonts w:ascii="Calibri Light" w:hAnsi="Calibri Light" w:cs="Calibri Light"/>
        </w:rPr>
        <w:footnoteRef/>
      </w:r>
      <w:r w:rsidRPr="00DB5C8B">
        <w:rPr>
          <w:rFonts w:ascii="Calibri Light" w:hAnsi="Calibri Light" w:cs="Calibri Light"/>
        </w:rPr>
        <w:t xml:space="preserve"> </w:t>
      </w:r>
      <w:r>
        <w:fldChar w:fldCharType="begin"/>
      </w:r>
      <w:r>
        <w:instrText xml:space="preserve"> HYPERLINK "https://questions-statements.parliament.uk/written-questions/detail/2024-04-25/23795" </w:instrText>
      </w:r>
      <w:r>
        <w:fldChar w:fldCharType="separate"/>
      </w:r>
      <w:r w:rsidRPr="00DB5C8B">
        <w:rPr>
          <w:rStyle w:val="Hyperlink"/>
          <w:rFonts w:ascii="Calibri Light" w:hAnsi="Calibri Light" w:cs="Calibri Light"/>
        </w:rPr>
        <w:t>https://questions-statements.parliament.uk/written-questions/detail/2024-04-25/23795</w:t>
      </w:r>
      <w:r>
        <w:fldChar w:fldCharType="end"/>
      </w:r>
    </w:p>
    <w:p w:rsidR="00DB5C8B">
      <w:pPr>
        <w:pStyle w:val="FootnoteText"/>
      </w:pPr>
    </w:p>
  </w:footnote>
  <w:footnote w:id="16">
    <w:p w:rsidR="00613C1E" w:rsidRPr="00610137">
      <w:pPr>
        <w:pStyle w:val="FootnoteText"/>
        <w:rPr>
          <w:rFonts w:ascii="Calibri Light" w:hAnsi="Calibri Light" w:cs="Calibri Light"/>
        </w:rPr>
      </w:pPr>
      <w:r w:rsidRPr="00610137">
        <w:rPr>
          <w:rStyle w:val="FootnoteReference"/>
          <w:rFonts w:ascii="Calibri Light" w:hAnsi="Calibri Light" w:cs="Calibri Light"/>
        </w:rPr>
        <w:footnoteRef/>
      </w:r>
      <w:r w:rsidRPr="00610137">
        <w:rPr>
          <w:rFonts w:ascii="Calibri Light" w:hAnsi="Calibri Light" w:cs="Calibri Light"/>
        </w:rPr>
        <w:t xml:space="preserve"> </w:t>
      </w:r>
      <w:r>
        <w:fldChar w:fldCharType="begin"/>
      </w:r>
      <w:r>
        <w:instrText xml:space="preserve"> HYPERLINK "https://committees.parliament.uk/oralevidence/15226/pdf/" </w:instrText>
      </w:r>
      <w:r>
        <w:fldChar w:fldCharType="separate"/>
      </w:r>
      <w:r w:rsidRPr="00610137">
        <w:rPr>
          <w:rStyle w:val="Hyperlink"/>
          <w:rFonts w:ascii="Calibri Light" w:hAnsi="Calibri Light" w:cs="Calibri Light"/>
        </w:rPr>
        <w:t>https://committees.parliament.uk/oralevidence/15226/pdf/</w:t>
      </w:r>
      <w:r>
        <w:fldChar w:fldCharType="end"/>
      </w:r>
    </w:p>
  </w:footnote>
  <w:footnote w:id="17">
    <w:p w:rsidR="00E83667" w:rsidRPr="00610137">
      <w:pPr>
        <w:pStyle w:val="FootnoteText"/>
        <w:rPr>
          <w:rFonts w:ascii="Calibri Light" w:hAnsi="Calibri Light" w:cs="Calibri Light"/>
        </w:rPr>
      </w:pPr>
      <w:r w:rsidRPr="00610137">
        <w:rPr>
          <w:rStyle w:val="FootnoteReference"/>
          <w:rFonts w:ascii="Calibri Light" w:hAnsi="Calibri Light" w:cs="Calibri Light"/>
        </w:rPr>
        <w:footnoteRef/>
      </w:r>
      <w:r w:rsidRPr="00610137">
        <w:rPr>
          <w:rFonts w:ascii="Calibri Light" w:hAnsi="Calibri Light" w:cs="Calibri Light"/>
        </w:rPr>
        <w:t xml:space="preserve"> </w:t>
      </w:r>
      <w:r>
        <w:fldChar w:fldCharType="begin"/>
      </w:r>
      <w:r>
        <w:instrText xml:space="preserve"> HYPERLINK "https://www.conservatives.com/wolfson-final-report" </w:instrText>
      </w:r>
      <w:r>
        <w:fldChar w:fldCharType="separate"/>
      </w:r>
      <w:r w:rsidRPr="00610137" w:rsidR="006C4A7B">
        <w:rPr>
          <w:rStyle w:val="Hyperlink"/>
          <w:rFonts w:ascii="Calibri Light" w:hAnsi="Calibri Light" w:cs="Calibri Light"/>
        </w:rPr>
        <w:t>https://www.conservatives.com/wolfson-final-report</w:t>
      </w:r>
      <w:r>
        <w:fldChar w:fldCharType="end"/>
      </w:r>
    </w:p>
    <w:p w:rsidR="006C4A7B">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2943">
    <w:pPr>
      <w:pStyle w:val="Header"/>
    </w:pPr>
    <w:r>
      <w:rPr>
        <w:noProof/>
      </w:rPr>
      <w:pict>
        <v:shapetype id="_x0000_t202" coordsize="21600,21600" o:spt="202" path="m,l,21600r21600,l21600,xe">
          <v:stroke joinstyle="miter"/>
          <v:path gradientshapeok="t" o:connecttype="rect"/>
        </v:shapetype>
        <v:shape id="Text Box 2" o:spid="_x0000_s2049" type="#_x0000_t202" alt="Restricted: Personal Data" style="height:27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109.5pt;z-index:251659264" filled="f" stroked="f">
          <v:fill o:detectmouseclick="t"/>
          <v:textbox style="mso-fit-shape-to-text:t" inset="0,15pt,0,0">
            <w:txbxContent>
              <w:p w:rsidR="00062943" w:rsidRPr="00062943" w:rsidP="00062943">
                <w:pPr>
                  <w:rPr>
                    <w:rFonts w:ascii="Tahoma" w:eastAsia="Tahoma" w:hAnsi="Tahoma" w:cs="Tahoma"/>
                    <w:noProof/>
                    <w:color w:val="000000"/>
                    <w:sz w:val="20"/>
                    <w:szCs w:val="20"/>
                  </w:rPr>
                </w:pPr>
                <w:r w:rsidRPr="00062943">
                  <w:rPr>
                    <w:rFonts w:ascii="Tahoma" w:eastAsia="Tahoma" w:hAnsi="Tahoma" w:cs="Tahoma"/>
                    <w:noProof/>
                    <w:color w:val="000000"/>
                    <w:sz w:val="20"/>
                    <w:szCs w:val="20"/>
                  </w:rPr>
                  <w:t>Restricted: Personal Data</w:t>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2943">
    <w:pPr>
      <w:pStyle w:val="Header"/>
    </w:pPr>
    <w:r>
      <w:rPr>
        <w:noProof/>
      </w:rPr>
      <w:pict>
        <v:shapetype id="_x0000_t202" coordsize="21600,21600" o:spt="202" path="m,l,21600r21600,l21600,xe">
          <v:stroke joinstyle="miter"/>
          <v:path gradientshapeok="t" o:connecttype="rect"/>
        </v:shapetype>
        <v:shape id="Text Box 3" o:spid="_x0000_s2050" type="#_x0000_t202" alt="Restricted: Personal Data" style="height:27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109.5pt;z-index:251660288" filled="f" stroked="f">
          <v:fill o:detectmouseclick="t"/>
          <v:textbox style="mso-fit-shape-to-text:t" inset="0,15pt,0,0">
            <w:txbxContent>
              <w:p w:rsidR="00062943" w:rsidRPr="00062943" w:rsidP="00062943">
                <w:pPr>
                  <w:rPr>
                    <w:rFonts w:ascii="Tahoma" w:eastAsia="Tahoma" w:hAnsi="Tahoma" w:cs="Tahoma"/>
                    <w:noProof/>
                    <w:color w:val="000000"/>
                    <w:sz w:val="20"/>
                    <w:szCs w:val="20"/>
                  </w:rPr>
                </w:pPr>
                <w:r w:rsidRPr="00062943">
                  <w:rPr>
                    <w:rFonts w:ascii="Tahoma" w:eastAsia="Tahoma" w:hAnsi="Tahoma" w:cs="Tahoma"/>
                    <w:noProof/>
                    <w:color w:val="000000"/>
                    <w:sz w:val="20"/>
                    <w:szCs w:val="20"/>
                  </w:rPr>
                  <w:t>Restricted: Personal Data</w:t>
                </w:r>
              </w:p>
            </w:txbxContent>
          </v:textbox>
          <w10:wrap anchorx="page" anchory="page"/>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2943">
    <w:pPr>
      <w:pStyle w:val="Header"/>
    </w:pPr>
    <w:r>
      <w:rPr>
        <w:noProof/>
      </w:rPr>
      <w:pict>
        <v:shapetype id="_x0000_t202" coordsize="21600,21600" o:spt="202" path="m,l,21600r21600,l21600,xe">
          <v:stroke joinstyle="miter"/>
          <v:path gradientshapeok="t" o:connecttype="rect"/>
        </v:shapetype>
        <v:shape id="Text Box 1" o:spid="_x0000_s2051" type="#_x0000_t202" alt="Restricted: Personal Data" style="height:27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109.5pt;z-index:251658240" filled="f" stroked="f">
          <v:fill o:detectmouseclick="t"/>
          <v:textbox style="mso-fit-shape-to-text:t" inset="0,15pt,0,0">
            <w:txbxContent>
              <w:p w:rsidR="00062943" w:rsidRPr="00062943" w:rsidP="00062943">
                <w:pPr>
                  <w:rPr>
                    <w:rFonts w:ascii="Tahoma" w:eastAsia="Tahoma" w:hAnsi="Tahoma" w:cs="Tahoma"/>
                    <w:noProof/>
                    <w:color w:val="000000"/>
                    <w:sz w:val="20"/>
                    <w:szCs w:val="20"/>
                  </w:rPr>
                </w:pPr>
                <w:r w:rsidRPr="00062943">
                  <w:rPr>
                    <w:rFonts w:ascii="Tahoma" w:eastAsia="Tahoma" w:hAnsi="Tahoma" w:cs="Tahoma"/>
                    <w:noProof/>
                    <w:color w:val="000000"/>
                    <w:sz w:val="20"/>
                    <w:szCs w:val="20"/>
                  </w:rPr>
                  <w:t>Restricted: Personal Data</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3E3F1C"/>
    <w:multiLevelType w:val="multilevel"/>
    <w:tmpl w:val="B770C256"/>
    <w:lvl w:ilvl="0">
      <w:start w:val="5"/>
      <w:numFmt w:val="decimal"/>
      <w:lvlText w:val="%1"/>
      <w:lvlJc w:val="left"/>
      <w:pPr>
        <w:ind w:left="360" w:hanging="360"/>
      </w:pPr>
      <w:rPr>
        <w:rFonts w:hint="default"/>
      </w:rPr>
    </w:lvl>
    <w:lvl w:ilvl="1">
      <w:start w:val="2"/>
      <w:numFmt w:val="decimal"/>
      <w:lvlText w:val="%1.%2"/>
      <w:lvlJc w:val="left"/>
      <w:pPr>
        <w:ind w:left="78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289008D"/>
    <w:multiLevelType w:val="multilevel"/>
    <w:tmpl w:val="B7722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74E5FF1"/>
    <w:multiLevelType w:val="multilevel"/>
    <w:tmpl w:val="D82CAE90"/>
    <w:lvl w:ilvl="0">
      <w:start w:val="2"/>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
    <w:nsid w:val="07FA38C2"/>
    <w:multiLevelType w:val="hybridMultilevel"/>
    <w:tmpl w:val="7020D4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0C1E7B6A"/>
    <w:multiLevelType w:val="multilevel"/>
    <w:tmpl w:val="A678C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F2D54DE"/>
    <w:multiLevelType w:val="multilevel"/>
    <w:tmpl w:val="986049B2"/>
    <w:styleLink w:val="CurrentList7"/>
    <w:lvl w:ilvl="0">
      <w:start w:val="1"/>
      <w:numFmt w:val="decimal"/>
      <w:lvlText w:val="%1."/>
      <w:lvlJc w:val="left"/>
      <w:pPr>
        <w:ind w:left="360" w:hanging="360"/>
      </w:pPr>
    </w:lvl>
    <w:lvl w:ilvl="1">
      <w:start w:val="1"/>
      <w:numFmt w:val="decimal"/>
      <w:lvlText w:val="%1.%2."/>
      <w:lvlJc w:val="left"/>
      <w:pPr>
        <w:ind w:left="792" w:hanging="432"/>
      </w:pPr>
      <w:rPr>
        <w:b w:val="0"/>
        <w:bCs w:val="0"/>
        <w:sz w:val="22"/>
        <w:szCs w:val="22"/>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0C747BD"/>
    <w:multiLevelType w:val="hybridMultilevel"/>
    <w:tmpl w:val="C318EB4E"/>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138F129C"/>
    <w:multiLevelType w:val="hybridMultilevel"/>
    <w:tmpl w:val="B4B6425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17612973"/>
    <w:multiLevelType w:val="hybridMultilevel"/>
    <w:tmpl w:val="F51E168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193114DC"/>
    <w:multiLevelType w:val="hybridMultilevel"/>
    <w:tmpl w:val="D2CC82E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1D377BB9"/>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nsid w:val="1E560256"/>
    <w:multiLevelType w:val="hybridMultilevel"/>
    <w:tmpl w:val="866A1C48"/>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2">
    <w:nsid w:val="2E396A96"/>
    <w:multiLevelType w:val="hybridMultilevel"/>
    <w:tmpl w:val="9318948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2FA7655E"/>
    <w:multiLevelType w:val="multilevel"/>
    <w:tmpl w:val="88C08CFE"/>
    <w:styleLink w:val="CurrentList5"/>
    <w:lvl w:ilvl="0">
      <w:start w:val="5"/>
      <w:numFmt w:val="decimal"/>
      <w:lvlText w:val="%1."/>
      <w:lvlJc w:val="left"/>
      <w:pPr>
        <w:ind w:left="500" w:hanging="500"/>
      </w:pPr>
      <w:rPr>
        <w:rFonts w:hint="default"/>
        <w:b w:val="0"/>
      </w:rPr>
    </w:lvl>
    <w:lvl w:ilvl="1">
      <w:start w:val="2"/>
      <w:numFmt w:val="decimal"/>
      <w:lvlText w:val="%1.%2."/>
      <w:lvlJc w:val="left"/>
      <w:pPr>
        <w:ind w:left="500" w:hanging="500"/>
      </w:pPr>
      <w:rPr>
        <w:rFonts w:hint="default"/>
        <w:b w:val="0"/>
      </w:rPr>
    </w:lvl>
    <w:lvl w:ilvl="2">
      <w:start w:val="1"/>
      <w:numFmt w:val="decimal"/>
      <w:lvlText w:val="%1.%2.%3."/>
      <w:lvlJc w:val="left"/>
      <w:pPr>
        <w:ind w:left="1429"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4">
    <w:nsid w:val="2FE941C1"/>
    <w:multiLevelType w:val="multilevel"/>
    <w:tmpl w:val="04090025"/>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nsid w:val="31676657"/>
    <w:multiLevelType w:val="multilevel"/>
    <w:tmpl w:val="D6FC0978"/>
    <w:lvl w:ilvl="0">
      <w:start w:val="5"/>
      <w:numFmt w:val="decimal"/>
      <w:lvlText w:val="%1"/>
      <w:lvlJc w:val="left"/>
      <w:pPr>
        <w:ind w:left="460" w:hanging="460"/>
      </w:pPr>
      <w:rPr>
        <w:rFonts w:ascii="Calibri Light" w:hAnsi="Calibri Light" w:cs="Calibri Light" w:hint="default"/>
        <w:b w:val="0"/>
      </w:rPr>
    </w:lvl>
    <w:lvl w:ilvl="1">
      <w:start w:val="1"/>
      <w:numFmt w:val="decimal"/>
      <w:lvlText w:val="%1.%2"/>
      <w:lvlJc w:val="left"/>
      <w:pPr>
        <w:ind w:left="814" w:hanging="460"/>
      </w:pPr>
      <w:rPr>
        <w:rFonts w:ascii="Calibri Light" w:hAnsi="Calibri Light" w:cs="Calibri Light" w:hint="default"/>
        <w:b w:val="0"/>
      </w:rPr>
    </w:lvl>
    <w:lvl w:ilvl="2">
      <w:start w:val="2"/>
      <w:numFmt w:val="decimal"/>
      <w:lvlText w:val="%1.%2.%3"/>
      <w:lvlJc w:val="left"/>
      <w:pPr>
        <w:ind w:left="1428" w:hanging="720"/>
      </w:pPr>
      <w:rPr>
        <w:rFonts w:ascii="Calibri Light" w:hAnsi="Calibri Light" w:cs="Calibri Light" w:hint="default"/>
        <w:b w:val="0"/>
      </w:rPr>
    </w:lvl>
    <w:lvl w:ilvl="3">
      <w:start w:val="1"/>
      <w:numFmt w:val="decimal"/>
      <w:lvlText w:val="%1.%2.%3.%4"/>
      <w:lvlJc w:val="left"/>
      <w:pPr>
        <w:ind w:left="1782" w:hanging="720"/>
      </w:pPr>
      <w:rPr>
        <w:rFonts w:ascii="Calibri Light" w:hAnsi="Calibri Light" w:cs="Calibri Light" w:hint="default"/>
        <w:b w:val="0"/>
      </w:rPr>
    </w:lvl>
    <w:lvl w:ilvl="4">
      <w:start w:val="1"/>
      <w:numFmt w:val="decimal"/>
      <w:lvlText w:val="%1.%2.%3.%4.%5"/>
      <w:lvlJc w:val="left"/>
      <w:pPr>
        <w:ind w:left="2496" w:hanging="1080"/>
      </w:pPr>
      <w:rPr>
        <w:rFonts w:ascii="Calibri Light" w:hAnsi="Calibri Light" w:cs="Calibri Light" w:hint="default"/>
        <w:b w:val="0"/>
      </w:rPr>
    </w:lvl>
    <w:lvl w:ilvl="5">
      <w:start w:val="1"/>
      <w:numFmt w:val="decimal"/>
      <w:lvlText w:val="%1.%2.%3.%4.%5.%6"/>
      <w:lvlJc w:val="left"/>
      <w:pPr>
        <w:ind w:left="2850" w:hanging="1080"/>
      </w:pPr>
      <w:rPr>
        <w:rFonts w:ascii="Calibri Light" w:hAnsi="Calibri Light" w:cs="Calibri Light" w:hint="default"/>
        <w:b w:val="0"/>
      </w:rPr>
    </w:lvl>
    <w:lvl w:ilvl="6">
      <w:start w:val="1"/>
      <w:numFmt w:val="decimal"/>
      <w:lvlText w:val="%1.%2.%3.%4.%5.%6.%7"/>
      <w:lvlJc w:val="left"/>
      <w:pPr>
        <w:ind w:left="3564" w:hanging="1440"/>
      </w:pPr>
      <w:rPr>
        <w:rFonts w:ascii="Calibri Light" w:hAnsi="Calibri Light" w:cs="Calibri Light" w:hint="default"/>
        <w:b w:val="0"/>
      </w:rPr>
    </w:lvl>
    <w:lvl w:ilvl="7">
      <w:start w:val="1"/>
      <w:numFmt w:val="decimal"/>
      <w:lvlText w:val="%1.%2.%3.%4.%5.%6.%7.%8"/>
      <w:lvlJc w:val="left"/>
      <w:pPr>
        <w:ind w:left="3918" w:hanging="1440"/>
      </w:pPr>
      <w:rPr>
        <w:rFonts w:ascii="Calibri Light" w:hAnsi="Calibri Light" w:cs="Calibri Light" w:hint="default"/>
        <w:b w:val="0"/>
      </w:rPr>
    </w:lvl>
    <w:lvl w:ilvl="8">
      <w:start w:val="1"/>
      <w:numFmt w:val="decimal"/>
      <w:lvlText w:val="%1.%2.%3.%4.%5.%6.%7.%8.%9"/>
      <w:lvlJc w:val="left"/>
      <w:pPr>
        <w:ind w:left="4632" w:hanging="1800"/>
      </w:pPr>
      <w:rPr>
        <w:rFonts w:ascii="Calibri Light" w:hAnsi="Calibri Light" w:cs="Calibri Light" w:hint="default"/>
        <w:b w:val="0"/>
      </w:rPr>
    </w:lvl>
  </w:abstractNum>
  <w:abstractNum w:abstractNumId="16">
    <w:nsid w:val="371972BF"/>
    <w:multiLevelType w:val="hybridMultilevel"/>
    <w:tmpl w:val="F51E168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382F32EB"/>
    <w:multiLevelType w:val="hybridMultilevel"/>
    <w:tmpl w:val="6018EF22"/>
    <w:lvl w:ilvl="0">
      <w:start w:val="1"/>
      <w:numFmt w:val="decimal"/>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8">
    <w:nsid w:val="40A718A2"/>
    <w:multiLevelType w:val="hybridMultilevel"/>
    <w:tmpl w:val="679C20D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41B44FB6"/>
    <w:multiLevelType w:val="multilevel"/>
    <w:tmpl w:val="78E08AB0"/>
    <w:lvl w:ilvl="0">
      <w:start w:val="5"/>
      <w:numFmt w:val="decimal"/>
      <w:lvlText w:val="%1"/>
      <w:lvlJc w:val="left"/>
      <w:pPr>
        <w:ind w:left="440" w:hanging="440"/>
      </w:pPr>
      <w:rPr>
        <w:rFonts w:ascii="Calibri Light" w:hAnsi="Calibri Light" w:cs="Calibri Light" w:hint="default"/>
        <w:b w:val="0"/>
      </w:rPr>
    </w:lvl>
    <w:lvl w:ilvl="1">
      <w:start w:val="1"/>
      <w:numFmt w:val="decimal"/>
      <w:lvlText w:val="%1.%2"/>
      <w:lvlJc w:val="left"/>
      <w:pPr>
        <w:ind w:left="440" w:hanging="440"/>
      </w:pPr>
      <w:rPr>
        <w:rFonts w:ascii="Calibri Light" w:hAnsi="Calibri Light" w:cs="Calibri Light" w:hint="default"/>
        <w:b w:val="0"/>
      </w:rPr>
    </w:lvl>
    <w:lvl w:ilvl="2">
      <w:start w:val="2"/>
      <w:numFmt w:val="decimal"/>
      <w:lvlText w:val="%1.%2.%3"/>
      <w:lvlJc w:val="left"/>
      <w:pPr>
        <w:ind w:left="720" w:hanging="720"/>
      </w:pPr>
      <w:rPr>
        <w:rFonts w:ascii="Calibri Light" w:hAnsi="Calibri Light" w:cs="Calibri Light" w:hint="default"/>
        <w:b w:val="0"/>
      </w:rPr>
    </w:lvl>
    <w:lvl w:ilvl="3">
      <w:start w:val="1"/>
      <w:numFmt w:val="decimal"/>
      <w:lvlText w:val="%1.%2.%3.%4"/>
      <w:lvlJc w:val="left"/>
      <w:pPr>
        <w:ind w:left="720" w:hanging="720"/>
      </w:pPr>
      <w:rPr>
        <w:rFonts w:ascii="Calibri Light" w:hAnsi="Calibri Light" w:cs="Calibri Light" w:hint="default"/>
        <w:b w:val="0"/>
      </w:rPr>
    </w:lvl>
    <w:lvl w:ilvl="4">
      <w:start w:val="1"/>
      <w:numFmt w:val="decimal"/>
      <w:lvlText w:val="%1.%2.%3.%4.%5"/>
      <w:lvlJc w:val="left"/>
      <w:pPr>
        <w:ind w:left="1080" w:hanging="1080"/>
      </w:pPr>
      <w:rPr>
        <w:rFonts w:ascii="Calibri Light" w:hAnsi="Calibri Light" w:cs="Calibri Light" w:hint="default"/>
        <w:b w:val="0"/>
      </w:rPr>
    </w:lvl>
    <w:lvl w:ilvl="5">
      <w:start w:val="1"/>
      <w:numFmt w:val="decimal"/>
      <w:lvlText w:val="%1.%2.%3.%4.%5.%6"/>
      <w:lvlJc w:val="left"/>
      <w:pPr>
        <w:ind w:left="1080" w:hanging="1080"/>
      </w:pPr>
      <w:rPr>
        <w:rFonts w:ascii="Calibri Light" w:hAnsi="Calibri Light" w:cs="Calibri Light" w:hint="default"/>
        <w:b w:val="0"/>
      </w:rPr>
    </w:lvl>
    <w:lvl w:ilvl="6">
      <w:start w:val="1"/>
      <w:numFmt w:val="decimal"/>
      <w:lvlText w:val="%1.%2.%3.%4.%5.%6.%7"/>
      <w:lvlJc w:val="left"/>
      <w:pPr>
        <w:ind w:left="1440" w:hanging="1440"/>
      </w:pPr>
      <w:rPr>
        <w:rFonts w:ascii="Calibri Light" w:hAnsi="Calibri Light" w:cs="Calibri Light" w:hint="default"/>
        <w:b w:val="0"/>
      </w:rPr>
    </w:lvl>
    <w:lvl w:ilvl="7">
      <w:start w:val="1"/>
      <w:numFmt w:val="decimal"/>
      <w:lvlText w:val="%1.%2.%3.%4.%5.%6.%7.%8"/>
      <w:lvlJc w:val="left"/>
      <w:pPr>
        <w:ind w:left="1440" w:hanging="1440"/>
      </w:pPr>
      <w:rPr>
        <w:rFonts w:ascii="Calibri Light" w:hAnsi="Calibri Light" w:cs="Calibri Light" w:hint="default"/>
        <w:b w:val="0"/>
      </w:rPr>
    </w:lvl>
    <w:lvl w:ilvl="8">
      <w:start w:val="1"/>
      <w:numFmt w:val="decimal"/>
      <w:lvlText w:val="%1.%2.%3.%4.%5.%6.%7.%8.%9"/>
      <w:lvlJc w:val="left"/>
      <w:pPr>
        <w:ind w:left="1800" w:hanging="1800"/>
      </w:pPr>
      <w:rPr>
        <w:rFonts w:ascii="Calibri Light" w:hAnsi="Calibri Light" w:cs="Calibri Light" w:hint="default"/>
        <w:b w:val="0"/>
      </w:rPr>
    </w:lvl>
  </w:abstractNum>
  <w:abstractNum w:abstractNumId="20">
    <w:nsid w:val="41D36D2F"/>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49563068"/>
    <w:multiLevelType w:val="hybridMultilevel"/>
    <w:tmpl w:val="84A6633C"/>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2">
    <w:nsid w:val="4D5150FA"/>
    <w:multiLevelType w:val="multilevel"/>
    <w:tmpl w:val="0409001F"/>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3">
    <w:nsid w:val="4ECA6C1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52FE22D6"/>
    <w:multiLevelType w:val="multilevel"/>
    <w:tmpl w:val="2814F4AA"/>
    <w:lvl w:ilvl="0">
      <w:start w:val="3"/>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nsid w:val="57E5335F"/>
    <w:multiLevelType w:val="hybridMultilevel"/>
    <w:tmpl w:val="01940DE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5A984756"/>
    <w:multiLevelType w:val="multilevel"/>
    <w:tmpl w:val="BD863D7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7">
    <w:nsid w:val="5B410389"/>
    <w:multiLevelType w:val="multilevel"/>
    <w:tmpl w:val="2C3C83CE"/>
    <w:lvl w:ilvl="0">
      <w:start w:val="5"/>
      <w:numFmt w:val="decimal"/>
      <w:lvlText w:val="%1."/>
      <w:lvlJc w:val="left"/>
      <w:pPr>
        <w:ind w:left="500" w:hanging="500"/>
      </w:pPr>
      <w:rPr>
        <w:rFonts w:hint="default"/>
        <w:b/>
        <w:bCs w:val="0"/>
      </w:rPr>
    </w:lvl>
    <w:lvl w:ilvl="1">
      <w:start w:val="2"/>
      <w:numFmt w:val="decimal"/>
      <w:lvlText w:val="%1.%2."/>
      <w:lvlJc w:val="left"/>
      <w:pPr>
        <w:ind w:left="500" w:hanging="500"/>
      </w:pPr>
      <w:rPr>
        <w:rFonts w:hint="default"/>
        <w:b/>
        <w:bCs w:val="0"/>
      </w:rPr>
    </w:lvl>
    <w:lvl w:ilvl="2">
      <w:start w:val="1"/>
      <w:numFmt w:val="decimal"/>
      <w:lvlText w:val="%1.%2.%3."/>
      <w:lvlJc w:val="left"/>
      <w:pPr>
        <w:ind w:left="1429"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8">
    <w:nsid w:val="5B411EA2"/>
    <w:multiLevelType w:val="hybridMultilevel"/>
    <w:tmpl w:val="D674AC1A"/>
    <w:lvl w:ilvl="0">
      <w:start w:val="3"/>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5B5A57DB"/>
    <w:multiLevelType w:val="hybridMultilevel"/>
    <w:tmpl w:val="8584A47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0">
    <w:nsid w:val="5CC81F2F"/>
    <w:multiLevelType w:val="multilevel"/>
    <w:tmpl w:val="F126D4B0"/>
    <w:lvl w:ilvl="0">
      <w:start w:val="1"/>
      <w:numFmt w:val="decimal"/>
      <w:lvlText w:val="%1."/>
      <w:lvlJc w:val="left"/>
      <w:pPr>
        <w:ind w:left="360" w:hanging="360"/>
      </w:pPr>
    </w:lvl>
    <w:lvl w:ilvl="1">
      <w:start w:val="1"/>
      <w:numFmt w:val="decimal"/>
      <w:lvlText w:val="%1.%2."/>
      <w:lvlJc w:val="left"/>
      <w:pPr>
        <w:ind w:left="792" w:hanging="432"/>
      </w:pPr>
      <w:rPr>
        <w:b/>
        <w:bCs/>
        <w:sz w:val="22"/>
        <w:szCs w:val="22"/>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5D0E3299"/>
    <w:multiLevelType w:val="multilevel"/>
    <w:tmpl w:val="8F4E21F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nsid w:val="5D512D60"/>
    <w:multiLevelType w:val="multilevel"/>
    <w:tmpl w:val="986049B2"/>
    <w:styleLink w:val="CurrentList2"/>
    <w:lvl w:ilvl="0">
      <w:start w:val="1"/>
      <w:numFmt w:val="decimal"/>
      <w:lvlText w:val="%1."/>
      <w:lvlJc w:val="left"/>
      <w:pPr>
        <w:ind w:left="360" w:hanging="360"/>
      </w:pPr>
    </w:lvl>
    <w:lvl w:ilvl="1">
      <w:start w:val="1"/>
      <w:numFmt w:val="decimal"/>
      <w:lvlText w:val="%1.%2."/>
      <w:lvlJc w:val="left"/>
      <w:pPr>
        <w:ind w:left="792" w:hanging="432"/>
      </w:pPr>
      <w:rPr>
        <w:b w:val="0"/>
        <w:bCs w:val="0"/>
        <w:sz w:val="22"/>
        <w:szCs w:val="22"/>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5EA47FD4"/>
    <w:multiLevelType w:val="multilevel"/>
    <w:tmpl w:val="5540F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FD81E1A"/>
    <w:multiLevelType w:val="hybridMultilevel"/>
    <w:tmpl w:val="F51E168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nsid w:val="60957224"/>
    <w:multiLevelType w:val="multilevel"/>
    <w:tmpl w:val="207C9A52"/>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6">
    <w:nsid w:val="61E421AA"/>
    <w:multiLevelType w:val="multilevel"/>
    <w:tmpl w:val="D40C717C"/>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7">
    <w:nsid w:val="65AE1A5E"/>
    <w:multiLevelType w:val="multilevel"/>
    <w:tmpl w:val="71B0C7C6"/>
    <w:lvl w:ilvl="0">
      <w:start w:val="9"/>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nsid w:val="67FF79A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nsid w:val="68DC15AA"/>
    <w:multiLevelType w:val="hybridMultilevel"/>
    <w:tmpl w:val="FFE218A6"/>
    <w:lvl w:ilvl="0">
      <w:start w:val="4"/>
      <w:numFmt w:val="bullet"/>
      <w:lvlText w:val=""/>
      <w:lvlJc w:val="left"/>
      <w:pPr>
        <w:ind w:left="720" w:hanging="360"/>
      </w:pPr>
      <w:rPr>
        <w:rFonts w:ascii="Symbol" w:hAnsi="Symbol" w:eastAsiaTheme="minorHAnsi" w:cs="Calibri Light"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0">
    <w:nsid w:val="70734EDE"/>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nsid w:val="733101BD"/>
    <w:multiLevelType w:val="multilevel"/>
    <w:tmpl w:val="986049B2"/>
    <w:styleLink w:val="CurrentList4"/>
    <w:lvl w:ilvl="0">
      <w:start w:val="1"/>
      <w:numFmt w:val="decimal"/>
      <w:lvlText w:val="%1."/>
      <w:lvlJc w:val="left"/>
      <w:pPr>
        <w:ind w:left="360" w:hanging="360"/>
      </w:pPr>
    </w:lvl>
    <w:lvl w:ilvl="1">
      <w:start w:val="1"/>
      <w:numFmt w:val="decimal"/>
      <w:lvlText w:val="%1.%2."/>
      <w:lvlJc w:val="left"/>
      <w:pPr>
        <w:ind w:left="792" w:hanging="432"/>
      </w:pPr>
      <w:rPr>
        <w:b w:val="0"/>
        <w:bCs w:val="0"/>
        <w:sz w:val="22"/>
        <w:szCs w:val="22"/>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755E6FFB"/>
    <w:multiLevelType w:val="multilevel"/>
    <w:tmpl w:val="A2C29E7E"/>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nsid w:val="779E31C1"/>
    <w:multiLevelType w:val="multilevel"/>
    <w:tmpl w:val="88C08CFE"/>
    <w:styleLink w:val="CurrentList6"/>
    <w:lvl w:ilvl="0">
      <w:start w:val="5"/>
      <w:numFmt w:val="decimal"/>
      <w:lvlText w:val="%1."/>
      <w:lvlJc w:val="left"/>
      <w:pPr>
        <w:ind w:left="500" w:hanging="500"/>
      </w:pPr>
      <w:rPr>
        <w:rFonts w:hint="default"/>
        <w:b w:val="0"/>
      </w:rPr>
    </w:lvl>
    <w:lvl w:ilvl="1">
      <w:start w:val="2"/>
      <w:numFmt w:val="decimal"/>
      <w:lvlText w:val="%1.%2."/>
      <w:lvlJc w:val="left"/>
      <w:pPr>
        <w:ind w:left="500" w:hanging="500"/>
      </w:pPr>
      <w:rPr>
        <w:rFonts w:hint="default"/>
        <w:b w:val="0"/>
      </w:rPr>
    </w:lvl>
    <w:lvl w:ilvl="2">
      <w:start w:val="1"/>
      <w:numFmt w:val="decimal"/>
      <w:lvlText w:val="%1.%2.%3."/>
      <w:lvlJc w:val="left"/>
      <w:pPr>
        <w:ind w:left="1429"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4">
    <w:nsid w:val="79824D64"/>
    <w:multiLevelType w:val="multilevel"/>
    <w:tmpl w:val="780A7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CA93485"/>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6">
    <w:nsid w:val="7CE77CA9"/>
    <w:multiLevelType w:val="hybridMultilevel"/>
    <w:tmpl w:val="18BA0A48"/>
    <w:lvl w:ilvl="0">
      <w:start w:val="1"/>
      <w:numFmt w:val="decimal"/>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47">
    <w:nsid w:val="7DCE14FB"/>
    <w:multiLevelType w:val="multilevel"/>
    <w:tmpl w:val="994681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z w:val="22"/>
        <w:szCs w:val="22"/>
      </w:rPr>
    </w:lvl>
    <w:lvl w:ilvl="2">
      <w:start w:val="1"/>
      <w:numFmt w:val="decimal"/>
      <w:lvlText w:val="%1.%2.%3."/>
      <w:lvlJc w:val="left"/>
      <w:pPr>
        <w:ind w:left="1429" w:hanging="720"/>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44"/>
  </w:num>
  <w:num w:numId="2">
    <w:abstractNumId w:val="25"/>
  </w:num>
  <w:num w:numId="3">
    <w:abstractNumId w:val="7"/>
  </w:num>
  <w:num w:numId="4">
    <w:abstractNumId w:val="30"/>
  </w:num>
  <w:num w:numId="5">
    <w:abstractNumId w:val="3"/>
  </w:num>
  <w:num w:numId="6">
    <w:abstractNumId w:val="29"/>
  </w:num>
  <w:num w:numId="7">
    <w:abstractNumId w:val="8"/>
  </w:num>
  <w:num w:numId="8">
    <w:abstractNumId w:val="16"/>
  </w:num>
  <w:num w:numId="9">
    <w:abstractNumId w:val="11"/>
  </w:num>
  <w:num w:numId="10">
    <w:abstractNumId w:val="34"/>
  </w:num>
  <w:num w:numId="11">
    <w:abstractNumId w:val="23"/>
  </w:num>
  <w:num w:numId="12">
    <w:abstractNumId w:val="10"/>
  </w:num>
  <w:num w:numId="13">
    <w:abstractNumId w:val="38"/>
  </w:num>
  <w:num w:numId="14">
    <w:abstractNumId w:val="20"/>
  </w:num>
  <w:num w:numId="15">
    <w:abstractNumId w:val="31"/>
  </w:num>
  <w:num w:numId="16">
    <w:abstractNumId w:val="28"/>
  </w:num>
  <w:num w:numId="17">
    <w:abstractNumId w:val="24"/>
  </w:num>
  <w:num w:numId="18">
    <w:abstractNumId w:val="21"/>
  </w:num>
  <w:num w:numId="19">
    <w:abstractNumId w:val="39"/>
  </w:num>
  <w:num w:numId="20">
    <w:abstractNumId w:val="18"/>
  </w:num>
  <w:num w:numId="21">
    <w:abstractNumId w:val="26"/>
  </w:num>
  <w:num w:numId="22">
    <w:abstractNumId w:val="46"/>
  </w:num>
  <w:num w:numId="23">
    <w:abstractNumId w:val="17"/>
  </w:num>
  <w:num w:numId="24">
    <w:abstractNumId w:val="22"/>
  </w:num>
  <w:num w:numId="25">
    <w:abstractNumId w:val="9"/>
  </w:num>
  <w:num w:numId="26">
    <w:abstractNumId w:val="14"/>
  </w:num>
  <w:num w:numId="27">
    <w:abstractNumId w:val="12"/>
  </w:num>
  <w:num w:numId="28">
    <w:abstractNumId w:val="42"/>
  </w:num>
  <w:num w:numId="29">
    <w:abstractNumId w:val="6"/>
  </w:num>
  <w:num w:numId="30">
    <w:abstractNumId w:val="35"/>
  </w:num>
  <w:num w:numId="31">
    <w:abstractNumId w:val="4"/>
  </w:num>
  <w:num w:numId="32">
    <w:abstractNumId w:val="1"/>
  </w:num>
  <w:num w:numId="33">
    <w:abstractNumId w:val="36"/>
  </w:num>
  <w:num w:numId="34">
    <w:abstractNumId w:val="33"/>
  </w:num>
  <w:num w:numId="35">
    <w:abstractNumId w:val="2"/>
  </w:num>
  <w:num w:numId="36">
    <w:abstractNumId w:val="37"/>
  </w:num>
  <w:num w:numId="37">
    <w:abstractNumId w:val="0"/>
  </w:num>
  <w:num w:numId="38">
    <w:abstractNumId w:val="27"/>
  </w:num>
  <w:num w:numId="39">
    <w:abstractNumId w:val="40"/>
  </w:num>
  <w:num w:numId="40">
    <w:abstractNumId w:val="32"/>
  </w:num>
  <w:num w:numId="41">
    <w:abstractNumId w:val="45"/>
  </w:num>
  <w:num w:numId="42">
    <w:abstractNumId w:val="41"/>
  </w:num>
  <w:num w:numId="43">
    <w:abstractNumId w:val="13"/>
  </w:num>
  <w:num w:numId="44">
    <w:abstractNumId w:val="43"/>
  </w:num>
  <w:num w:numId="45">
    <w:abstractNumId w:val="5"/>
  </w:num>
  <w:num w:numId="46">
    <w:abstractNumId w:val="47"/>
  </w:num>
  <w:num w:numId="47">
    <w:abstractNumId w:val="19"/>
  </w:num>
  <w:num w:numId="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C0EF8"/>
  </w:style>
  <w:style w:type="paragraph" w:styleId="Heading1">
    <w:name w:val="heading 1"/>
    <w:basedOn w:val="Normal"/>
    <w:next w:val="Normal"/>
    <w:link w:val="Heading1Char"/>
    <w:uiPriority w:val="9"/>
    <w:qFormat/>
    <w:rsid w:val="009309AD"/>
    <w:pPr>
      <w:keepNext/>
      <w:keepLines/>
      <w:numPr>
        <w:numId w:val="12"/>
      </w:numPr>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2514C9"/>
    <w:pPr>
      <w:keepNext/>
      <w:keepLines/>
      <w:numPr>
        <w:ilvl w:val="1"/>
        <w:numId w:val="12"/>
      </w:numPr>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514C9"/>
    <w:pPr>
      <w:keepNext/>
      <w:keepLines/>
      <w:numPr>
        <w:ilvl w:val="2"/>
        <w:numId w:val="12"/>
      </w:numPr>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2514C9"/>
    <w:pPr>
      <w:keepNext/>
      <w:keepLines/>
      <w:numPr>
        <w:ilvl w:val="3"/>
        <w:numId w:val="12"/>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514C9"/>
    <w:pPr>
      <w:keepNext/>
      <w:keepLines/>
      <w:numPr>
        <w:ilvl w:val="4"/>
        <w:numId w:val="12"/>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514C9"/>
    <w:pPr>
      <w:keepNext/>
      <w:keepLines/>
      <w:numPr>
        <w:ilvl w:val="5"/>
        <w:numId w:val="12"/>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514C9"/>
    <w:pPr>
      <w:keepNext/>
      <w:keepLines/>
      <w:numPr>
        <w:ilvl w:val="6"/>
        <w:numId w:val="12"/>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514C9"/>
    <w:pPr>
      <w:keepNext/>
      <w:keepLines/>
      <w:numPr>
        <w:ilvl w:val="7"/>
        <w:numId w:val="1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514C9"/>
    <w:pPr>
      <w:keepNext/>
      <w:keepLines/>
      <w:numPr>
        <w:ilvl w:val="8"/>
        <w:numId w:val="1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C5B70"/>
    <w:rPr>
      <w:rFonts w:ascii="Times New Roman" w:hAnsi="Times New Roman" w:cs="Times New Roman"/>
    </w:rPr>
  </w:style>
  <w:style w:type="paragraph" w:styleId="ListParagraph">
    <w:name w:val="List Paragraph"/>
    <w:basedOn w:val="Normal"/>
    <w:uiPriority w:val="34"/>
    <w:qFormat/>
    <w:rsid w:val="002814BD"/>
    <w:pPr>
      <w:ind w:left="720"/>
      <w:contextualSpacing/>
    </w:pPr>
  </w:style>
  <w:style w:type="character" w:styleId="Hyperlink">
    <w:name w:val="Hyperlink"/>
    <w:basedOn w:val="DefaultParagraphFont"/>
    <w:uiPriority w:val="99"/>
    <w:unhideWhenUsed/>
    <w:rsid w:val="00F0655E"/>
    <w:rPr>
      <w:color w:val="0563C1" w:themeColor="hyperlink"/>
      <w:u w:val="single"/>
    </w:rPr>
  </w:style>
  <w:style w:type="paragraph" w:styleId="FootnoteText">
    <w:name w:val="footnote text"/>
    <w:basedOn w:val="Normal"/>
    <w:link w:val="FootnoteTextChar"/>
    <w:uiPriority w:val="99"/>
    <w:semiHidden/>
    <w:unhideWhenUsed/>
    <w:rsid w:val="00F0655E"/>
    <w:rPr>
      <w:sz w:val="20"/>
      <w:szCs w:val="20"/>
    </w:rPr>
  </w:style>
  <w:style w:type="character" w:customStyle="1" w:styleId="FootnoteTextChar">
    <w:name w:val="Footnote Text Char"/>
    <w:basedOn w:val="DefaultParagraphFont"/>
    <w:link w:val="FootnoteText"/>
    <w:uiPriority w:val="99"/>
    <w:semiHidden/>
    <w:rsid w:val="00F0655E"/>
    <w:rPr>
      <w:sz w:val="20"/>
      <w:szCs w:val="20"/>
    </w:rPr>
  </w:style>
  <w:style w:type="character" w:styleId="FootnoteReference">
    <w:name w:val="footnote reference"/>
    <w:basedOn w:val="DefaultParagraphFont"/>
    <w:uiPriority w:val="99"/>
    <w:semiHidden/>
    <w:unhideWhenUsed/>
    <w:rsid w:val="00F0655E"/>
    <w:rPr>
      <w:vertAlign w:val="superscript"/>
    </w:rPr>
  </w:style>
  <w:style w:type="character" w:customStyle="1" w:styleId="Heading1Char">
    <w:name w:val="Heading 1 Char"/>
    <w:basedOn w:val="DefaultParagraphFont"/>
    <w:link w:val="Heading1"/>
    <w:uiPriority w:val="9"/>
    <w:rsid w:val="009309AD"/>
    <w:rPr>
      <w:rFonts w:asciiTheme="majorHAnsi" w:eastAsiaTheme="majorEastAsia" w:hAnsiTheme="majorHAnsi" w:cstheme="majorBidi"/>
      <w:color w:val="2F5496" w:themeColor="accent1" w:themeShade="BF"/>
      <w:sz w:val="32"/>
      <w:szCs w:val="32"/>
    </w:rPr>
  </w:style>
  <w:style w:type="character" w:customStyle="1" w:styleId="UnresolvedMention">
    <w:name w:val="Unresolved Mention"/>
    <w:basedOn w:val="DefaultParagraphFont"/>
    <w:uiPriority w:val="99"/>
    <w:semiHidden/>
    <w:unhideWhenUsed/>
    <w:rsid w:val="00DB68C5"/>
    <w:rPr>
      <w:color w:val="605E5C"/>
      <w:shd w:val="clear" w:color="auto" w:fill="E1DFDD"/>
    </w:rPr>
  </w:style>
  <w:style w:type="character" w:customStyle="1" w:styleId="Heading2Char">
    <w:name w:val="Heading 2 Char"/>
    <w:basedOn w:val="DefaultParagraphFont"/>
    <w:link w:val="Heading2"/>
    <w:uiPriority w:val="9"/>
    <w:semiHidden/>
    <w:rsid w:val="002514C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2514C9"/>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2514C9"/>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2514C9"/>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2514C9"/>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2514C9"/>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2514C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514C9"/>
    <w:rPr>
      <w:rFonts w:asciiTheme="majorHAnsi" w:eastAsiaTheme="majorEastAsia" w:hAnsiTheme="majorHAnsi" w:cstheme="majorBidi"/>
      <w:i/>
      <w:iCs/>
      <w:color w:val="272727" w:themeColor="text1" w:themeTint="D8"/>
      <w:sz w:val="21"/>
      <w:szCs w:val="21"/>
    </w:rPr>
  </w:style>
  <w:style w:type="paragraph" w:styleId="Footer">
    <w:name w:val="footer"/>
    <w:basedOn w:val="Normal"/>
    <w:link w:val="FooterChar"/>
    <w:uiPriority w:val="99"/>
    <w:unhideWhenUsed/>
    <w:rsid w:val="008243D4"/>
    <w:pPr>
      <w:tabs>
        <w:tab w:val="center" w:pos="4680"/>
        <w:tab w:val="right" w:pos="9360"/>
      </w:tabs>
    </w:pPr>
  </w:style>
  <w:style w:type="character" w:customStyle="1" w:styleId="FooterChar">
    <w:name w:val="Footer Char"/>
    <w:basedOn w:val="DefaultParagraphFont"/>
    <w:link w:val="Footer"/>
    <w:uiPriority w:val="99"/>
    <w:rsid w:val="008243D4"/>
  </w:style>
  <w:style w:type="character" w:styleId="PageNumber">
    <w:name w:val="page number"/>
    <w:basedOn w:val="DefaultParagraphFont"/>
    <w:uiPriority w:val="99"/>
    <w:semiHidden/>
    <w:unhideWhenUsed/>
    <w:rsid w:val="008243D4"/>
  </w:style>
  <w:style w:type="paragraph" w:styleId="Header">
    <w:name w:val="header"/>
    <w:basedOn w:val="Normal"/>
    <w:link w:val="HeaderChar"/>
    <w:uiPriority w:val="99"/>
    <w:unhideWhenUsed/>
    <w:rsid w:val="008243D4"/>
    <w:pPr>
      <w:tabs>
        <w:tab w:val="center" w:pos="4680"/>
        <w:tab w:val="right" w:pos="9360"/>
      </w:tabs>
    </w:pPr>
  </w:style>
  <w:style w:type="character" w:customStyle="1" w:styleId="HeaderChar">
    <w:name w:val="Header Char"/>
    <w:basedOn w:val="DefaultParagraphFont"/>
    <w:link w:val="Header"/>
    <w:uiPriority w:val="99"/>
    <w:rsid w:val="008243D4"/>
  </w:style>
  <w:style w:type="numbering" w:customStyle="1" w:styleId="CurrentList1">
    <w:name w:val="Current List1"/>
    <w:uiPriority w:val="99"/>
    <w:rsid w:val="005B24E8"/>
    <w:pPr>
      <w:numPr>
        <w:numId w:val="39"/>
      </w:numPr>
    </w:pPr>
  </w:style>
  <w:style w:type="numbering" w:customStyle="1" w:styleId="CurrentList2">
    <w:name w:val="Current List2"/>
    <w:uiPriority w:val="99"/>
    <w:rsid w:val="005B24E8"/>
    <w:pPr>
      <w:numPr>
        <w:numId w:val="40"/>
      </w:numPr>
    </w:pPr>
  </w:style>
  <w:style w:type="numbering" w:customStyle="1" w:styleId="CurrentList3">
    <w:name w:val="Current List3"/>
    <w:uiPriority w:val="99"/>
    <w:rsid w:val="005B24E8"/>
    <w:pPr>
      <w:numPr>
        <w:numId w:val="41"/>
      </w:numPr>
    </w:pPr>
  </w:style>
  <w:style w:type="numbering" w:customStyle="1" w:styleId="CurrentList4">
    <w:name w:val="Current List4"/>
    <w:uiPriority w:val="99"/>
    <w:rsid w:val="005B24E8"/>
    <w:pPr>
      <w:numPr>
        <w:numId w:val="42"/>
      </w:numPr>
    </w:pPr>
  </w:style>
  <w:style w:type="numbering" w:customStyle="1" w:styleId="CurrentList5">
    <w:name w:val="Current List5"/>
    <w:uiPriority w:val="99"/>
    <w:rsid w:val="005B24E8"/>
    <w:pPr>
      <w:numPr>
        <w:numId w:val="43"/>
      </w:numPr>
    </w:pPr>
  </w:style>
  <w:style w:type="numbering" w:customStyle="1" w:styleId="CurrentList6">
    <w:name w:val="Current List6"/>
    <w:uiPriority w:val="99"/>
    <w:rsid w:val="005B24E8"/>
    <w:pPr>
      <w:numPr>
        <w:numId w:val="44"/>
      </w:numPr>
    </w:pPr>
  </w:style>
  <w:style w:type="numbering" w:customStyle="1" w:styleId="CurrentList7">
    <w:name w:val="Current List7"/>
    <w:uiPriority w:val="99"/>
    <w:rsid w:val="005B24E8"/>
    <w:pPr>
      <w:numPr>
        <w:numId w:val="4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header" Target="head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Meeting_x0020_Date xmlns="ca160097-f9a4-47a2-9b12-b18df77a0bea" xsi:nil="true"/>
    <DateSent xmlns="4600776d-0a3c-44b4-bff2-0ceaafb13046" xsi:nil="true"/>
    <Related_x0020_Document xmlns="ca160097-f9a4-47a2-9b12-b18df77a0bea">
      <Url xsi:nil="true"/>
      <Description xsi:nil="true"/>
    </Related_x0020_Document>
    <RecordNumber xmlns="4600776d-0a3c-44b4-bff2-0ceaafb13046" xsi:nil="true"/>
    <Date xmlns="ca160097-f9a4-47a2-9b12-b18df77a0bea"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2</Value>
      <Value>191</Value>
    </TaxCatchAll>
    <Document_x0020_Status xmlns="ca160097-f9a4-47a2-9b12-b18df77a0bea" xsi:nil="true"/>
    <Circulation_x0020_Date xmlns="ca160097-f9a4-47a2-9b12-b18df77a0bea" xsi:nil="true"/>
    <Brief_x0020_status xmlns="ca160097-f9a4-47a2-9b12-b18df77a0bea" xsi:nil="true"/>
    <Publication_x0020_Date xmlns="ca160097-f9a4-47a2-9b12-b18df77a0bea" xsi:nil="true"/>
    <Notes0 xmlns="ca160097-f9a4-47a2-9b12-b18df77a0bea" xsi:nil="true"/>
    <Department xmlns="ca160097-f9a4-47a2-9b12-b18df77a0bea" xsi:nil="true"/>
    <j6c5b17cd04246da82e5604daf08bc68 xmlns="4600776d-0a3c-44b4-bff2-0ceaafb13046">
      <Terms xmlns="http://schemas.microsoft.com/office/infopath/2007/PartnerControls"/>
    </j6c5b17cd04246da82e5604daf08bc68>
    <Additional_x0020_category xmlns="ca160097-f9a4-47a2-9b12-b18df77a0bea" xsi:nil="true"/>
    <lcf76f155ced4ddcb4097134ff3c332f xmlns="ca160097-f9a4-47a2-9b12-b18df77a0bea">
      <Terms xmlns="http://schemas.microsoft.com/office/infopath/2007/PartnerControls"/>
    </lcf76f155ced4ddcb4097134ff3c332f>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EndofSessionDate xmlns="4600776d-0a3c-44b4-bff2-0ceaafb13046" xsi:nil="true"/>
    <n78ca1497cf6442fb3babdda785c85ae xmlns="ca160097-f9a4-47a2-9b12-b18df77a0bea">
      <Terms xmlns="http://schemas.microsoft.com/office/infopath/2007/PartnerControls"/>
    </n78ca1497cf6442fb3babdda785c85ae>
    <DateReceived xmlns="4600776d-0a3c-44b4-bff2-0ceaafb13046" xsi:nil="true"/>
    <TransfertoArchives xmlns="4600776d-0a3c-44b4-bff2-0ceaafb13046">false</TransfertoArchives>
    <j3dc9349b3384741bd6025ba1321f3a9 xmlns="ca160097-f9a4-47a2-9b12-b18df77a0bea">
      <Terms xmlns="http://schemas.microsoft.com/office/infopath/2007/PartnerControls"/>
    </j3dc9349b3384741bd6025ba1321f3a9>
    <Visit xmlns="0606af38-29d8-407d-826d-7a0cb9d9f4ed" xsi:nil="true"/>
    <Useful_x0020_Docs xmlns="ca160097-f9a4-47a2-9b12-b18df77a0bea" xsi:nil="true"/>
    <Deadline xmlns="ca160097-f9a4-47a2-9b12-b18df77a0bea" xsi:nil="true"/>
    <Allocated_x0020_to xmlns="ca160097-f9a4-47a2-9b12-b18df77a0bea">
      <UserInfo>
        <DisplayName/>
        <AccountId xsi:nil="true"/>
        <AccountType/>
      </UserInfo>
    </Allocated_x0020_to>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Status_x0020_of_x0020_correspondence xmlns="ca160097-f9a4-47a2-9b12-b18df77a0bea" xsi:nil="true"/>
    <Witness xmlns="0606af38-29d8-407d-826d-7a0cb9d9f4ed"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ateandTime xmlns="ca160097-f9a4-47a2-9b12-b18df77a0bea" xsi:nil="true"/>
    <TobePublished xmlns="ca160097-f9a4-47a2-9b12-b18df77a0be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68B44E2D2110BA4685F8ED07EBAD70D9" ma:contentTypeVersion="68" ma:contentTypeDescription="Create a new document." ma:contentTypeScope="" ma:versionID="22edb971044480174c45435b4e572c4b">
  <xsd:schema xmlns:xsd="http://www.w3.org/2001/XMLSchema" xmlns:xs="http://www.w3.org/2001/XMLSchema" xmlns:p="http://schemas.microsoft.com/office/2006/metadata/properties" xmlns:ns2="ca160097-f9a4-47a2-9b12-b18df77a0bea" xmlns:ns3="0606af38-29d8-407d-826d-7a0cb9d9f4ed" xmlns:ns4="4600776d-0a3c-44b4-bff2-0ceaafb13046" xmlns:ns5="c86d72e2-090a-4e7d-987e-218d8a0db591" xmlns:ns6="6ab18433-7710-49bd-9bb4-0bb85747556a" targetNamespace="http://schemas.microsoft.com/office/2006/metadata/properties" ma:root="true" ma:fieldsID="21fb6eab2d8c601a077cf9b461354965" ns2:_="" ns3:_="" ns4:_="" ns5:_="" ns6:_="">
    <xsd:import namespace="ca160097-f9a4-47a2-9b12-b18df77a0bea"/>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ja5e4d000da44b5490ce6b4249309924" minOccurs="0"/>
                <xsd:element ref="ns4:e6f926d7f5b14a74bee86c3452d91372" minOccurs="0"/>
                <xsd:element ref="ns4:cd0fc526a5c840319a97fd94028e9904" minOccurs="0"/>
                <xsd:element ref="ns3:Specialist_x0020_Adviser_x003a_First_x0020_Name" minOccurs="0"/>
                <xsd:element ref="ns3:Specialist_x0020_Adviser_x003a_Full_x0020_Name" minOccurs="0"/>
                <xsd:element ref="ns4:g3ef09377e3444258679b6035a1ff93a" minOccurs="0"/>
                <xsd:element ref="ns4:j6c5b17cd04246da82e5604daf08bc68" minOccurs="0"/>
                <xsd:element ref="ns6:_dlc_DocId" minOccurs="0"/>
                <xsd:element ref="ns4:c4838c65c76546ae93d5703426802f7f" minOccurs="0"/>
                <xsd:element ref="ns2:n78ca1497cf6442fb3babdda785c85ae" minOccurs="0"/>
                <xsd:element ref="ns2:j3dc9349b3384741bd6025ba1321f3a9" minOccurs="0"/>
                <xsd:element ref="ns6:_dlc_DocIdUrl" minOccurs="0"/>
                <xsd:element ref="ns3:Visit_x003a_Start_x0020_Time" minOccurs="0"/>
                <xsd:element ref="ns3:Visit_x003a_End_x0020_Time" minOccurs="0"/>
                <xsd:element ref="ns6:_dlc_DocIdPersistId" minOccurs="0"/>
                <xsd:element ref="ns3:Witness_x003a_First_x0020_Name" minOccurs="0"/>
                <xsd:element ref="ns3:Witness_x003a_Full_x0020_Name" minOccurs="0"/>
                <xsd:element ref="ns3:Witness_x003a_Job_x0020_Title" minOccurs="0"/>
                <xsd:element ref="ns6:SharedWithUsers" minOccurs="0"/>
                <xsd:element ref="ns6:SharedWithDetails" minOccurs="0"/>
                <xsd:element ref="ns2:MediaServiceMetadata" minOccurs="0"/>
                <xsd:element ref="ns2:MediaServiceFastMetadata" minOccurs="0"/>
                <xsd:element ref="ns2:MediaServiceDateTaken" minOccurs="0"/>
                <xsd:element ref="ns2:MediaServiceAutoTags" minOccurs="0"/>
                <xsd:element ref="ns2:MediaServiceLocation" minOccurs="0"/>
                <xsd:element ref="ns4:k5b153ee974a4a57a7568e533217f2cb" minOccurs="0"/>
                <xsd:element ref="ns4:TaxCatchAll" minOccurs="0"/>
                <xsd:element ref="ns4:TaxCatchAllLabel" minOccurs="0"/>
                <xsd:element ref="ns2:MediaServiceEventHashCode" minOccurs="0"/>
                <xsd:element ref="ns2:MediaServiceGenerationTime" minOccurs="0"/>
                <xsd:element ref="ns2:MediaServiceAutoKeyPoints" minOccurs="0"/>
                <xsd:element ref="ns2:MediaServiceKeyPoints" minOccurs="0"/>
                <xsd:element ref="ns2:DateandTime" minOccurs="0"/>
                <xsd:element ref="ns2:MediaServiceObjectDetectorVersions" minOccurs="0"/>
                <xsd:element ref="ns2:lcf76f155ced4ddcb4097134ff3c332f" minOccurs="0"/>
                <xsd:element ref="ns2:MediaServiceOCR" minOccurs="0"/>
                <xsd:element ref="ns2:TobePublished"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60097-f9a4-47a2-9b12-b18df77a0bea"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dexed="true"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4"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MediaServiceDateTaken" ma:index="60" nillable="true" ma:displayName="MediaServiceDateTaken" ma:description="" ma:hidden="true" ma:internalName="MediaServiceDateTaken" ma:readOnly="true">
      <xsd:simpleType>
        <xsd:restriction base="dms:Text"/>
      </xsd:simpleType>
    </xsd:element>
    <xsd:element name="MediaServiceAutoTags" ma:index="61" nillable="true" ma:displayName="MediaServiceAutoTags" ma:description="" ma:internalName="MediaServiceAutoTags" ma:readOnly="true">
      <xsd:simpleType>
        <xsd:restriction base="dms:Text"/>
      </xsd:simpleType>
    </xsd:element>
    <xsd:element name="MediaServiceLocation" ma:index="62" nillable="true" ma:displayName="MediaServiceLocation" ma:description="" ma:internalName="MediaServiceLocation"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element name="MediaServiceGenerationTime" ma:index="68" nillable="true" ma:displayName="MediaServiceGenerationTime" ma:hidden="true" ma:internalName="MediaServiceGenerationTime"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DateandTime" ma:index="71" nillable="true" ma:displayName="Date and Time" ma:format="DateOnly" ma:internalName="DateandTime">
      <xsd:simpleType>
        <xsd:restriction base="dms:DateTime"/>
      </xsd:simpleType>
    </xsd:element>
    <xsd:element name="MediaServiceObjectDetectorVersions" ma:index="72" nillable="true" ma:displayName="MediaServiceObjectDetectorVersions" ma:hidden="true" ma:indexed="true" ma:internalName="MediaServiceObjectDetectorVersions" ma:readOnly="true">
      <xsd:simpleType>
        <xsd:restriction base="dms:Text"/>
      </xsd:simpleType>
    </xsd:element>
    <xsd:element name="lcf76f155ced4ddcb4097134ff3c332f" ma:index="7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CR" ma:index="75" nillable="true" ma:displayName="Extracted Text" ma:internalName="MediaServiceOCR" ma:readOnly="true">
      <xsd:simpleType>
        <xsd:restriction base="dms:Note">
          <xsd:maxLength value="255"/>
        </xsd:restriction>
      </xsd:simpleType>
    </xsd:element>
    <xsd:element name="TobePublished" ma:index="76" nillable="true" ma:displayName="To be Published" ma:format="Dropdown" ma:internalName="TobePublished">
      <xsd:simpleType>
        <xsd:restriction base="dms:Text">
          <xsd:maxLength value="255"/>
        </xsd:restriction>
      </xsd:simpleType>
    </xsd:element>
    <xsd:element name="MediaServiceSearchProperties" ma:index="77" nillable="true" ma:displayName="MediaServiceSearchProperties" ma:hidden="true" ma:internalName="MediaServiceSearchProperties" ma:readOnly="true">
      <xsd:simpleType>
        <xsd:restriction base="dms:Note"/>
      </xsd:simpleType>
    </xsd:element>
    <xsd:element name="MediaServiceBillingMetadata" ma:index="7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0aa076f0-b8a1-48bf-8818-83242ab5342f}" ma:internalName="Visit" ma:showField="Title" ma:web="0606af38-29d8-407d-826d-7a0cb9d9f4ed">
      <xsd:simpleType>
        <xsd:restriction base="dms:Lookup"/>
      </xsd:simpleType>
    </xsd:element>
    <xsd:element name="Specialist_x0020_Adviser" ma:index="17" nillable="true" ma:displayName="Specialist Adviser" ma:list="{f0c3f697-2dfe-47db-9feb-52a2e679508b}" ma:internalName="Specialist_x0020_Adviser" ma:showField="Title" ma:web="0606af38-29d8-407d-826d-7a0cb9d9f4ed">
      <xsd:simpleType>
        <xsd:restriction base="dms:Lookup"/>
      </xsd:simpleType>
    </xsd:element>
    <xsd:element name="Witness" ma:index="18" nillable="true" ma:displayName="Witness" ma:list="{4f79105f-fda0-4d63-9233-4f27dd71f267}" ma:internalName="Witness" ma:showField="Title" ma:web="0606af38-29d8-407d-826d-7a0cb9d9f4ed">
      <xsd:simpleType>
        <xsd:restriction base="dms:Lookup"/>
      </xsd:simpleType>
    </xsd:element>
    <xsd:element name="Specialist_x0020_Adviser_x003a_First_x0020_Name" ma:index="36" nillable="true" ma:displayName="Specialist Adviser:First Name" ma:list="{f0c3f697-2dfe-47db-9feb-52a2e679508b}" ma:internalName="Specialist_x0020_Adviser_x003a_First_x0020_Name" ma:readOnly="true" ma:showField="FirstName" ma:web="0606af38-29d8-407d-826d-7a0cb9d9f4ed">
      <xsd:simpleType>
        <xsd:restriction base="dms:Lookup"/>
      </xsd:simpleType>
    </xsd:element>
    <xsd:element name="Specialist_x0020_Adviser_x003a_Full_x0020_Name" ma:index="37" nillable="true" ma:displayName="Specialist Adviser:Full Name" ma:list="{f0c3f697-2dfe-47db-9feb-52a2e679508b}" ma:internalName="Specialist_x0020_Adviser_x003a_Full_x0020_Name" ma:readOnly="true" ma:showField="FullName" ma:web="0606af38-29d8-407d-826d-7a0cb9d9f4ed">
      <xsd:simpleType>
        <xsd:restriction base="dms:Lookup"/>
      </xsd:simpleType>
    </xsd:element>
    <xsd:element name="Visit_x003a_Start_x0020_Time" ma:index="48" nillable="true" ma:displayName="Visit:Start Time" ma:list="{0aa076f0-b8a1-48bf-8818-83242ab5342f}" ma:internalName="Visit_x003a_Start_x0020_Time" ma:readOnly="true" ma:showField="EventDate" ma:web="0606af38-29d8-407d-826d-7a0cb9d9f4ed">
      <xsd:simpleType>
        <xsd:restriction base="dms:Lookup"/>
      </xsd:simpleType>
    </xsd:element>
    <xsd:element name="Visit_x003a_End_x0020_Time" ma:index="49" nillable="true" ma:displayName="Visit:End Time" ma:list="{0aa076f0-b8a1-48bf-8818-83242ab5342f}" ma:internalName="Visit_x003a_End_x0020_Time" ma:readOnly="true" ma:showField="EndDate" ma:web="0606af38-29d8-407d-826d-7a0cb9d9f4ed">
      <xsd:simpleType>
        <xsd:restriction base="dms:Lookup"/>
      </xsd:simpleType>
    </xsd:element>
    <xsd:element name="Witness_x003a_First_x0020_Name" ma:index="51" nillable="true" ma:displayName="Witness:First Name" ma:list="{4f79105f-fda0-4d63-9233-4f27dd71f267}" ma:internalName="Witness_x003a_First_x0020_Name" ma:readOnly="true" ma:showField="First_x0020_Name" ma:web="0606af38-29d8-407d-826d-7a0cb9d9f4ed">
      <xsd:simpleType>
        <xsd:restriction base="dms:Lookup"/>
      </xsd:simpleType>
    </xsd:element>
    <xsd:element name="Witness_x003a_Full_x0020_Name" ma:index="52" nillable="true" ma:displayName="Witness:Full Name" ma:list="{4f79105f-fda0-4d63-9233-4f27dd71f267}" ma:internalName="Witness_x003a_Full_x0020_Name" ma:readOnly="true" ma:showField="Full_x0020_Name" ma:web="0606af38-29d8-407d-826d-7a0cb9d9f4ed">
      <xsd:simpleType>
        <xsd:restriction base="dms:Lookup"/>
      </xsd:simpleType>
    </xsd:element>
    <xsd:element name="Witness_x003a_Job_x0020_Title" ma:index="53" nillable="true" ma:displayName="Witness:Job Title" ma:list="{4f79105f-fda0-4d63-9233-4f27dd71f267}"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3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d0fc526a5c840319a97fd94028e9904" ma:index="35"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38"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3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4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63"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64" nillable="true" ma:displayName="Taxonomy Catch All Column" ma:description="" ma:hidden="true" ma:list="{16fe675c-0843-4115-a495-0e880fdbd303}"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65" nillable="true" ma:displayName="Taxonomy Catch All Column1" ma:description="" ma:hidden="true" ma:list="{16fe675c-0843-4115-a495-0e880fdbd303}"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2"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cb92f1e8-9f4f-49fe-a098-f606b1293349"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40" nillable="true" ma:displayName="Document ID Value" ma:description="The value of the document ID assigned to this item." ma:internalName="_dlc_DocId" ma:readOnly="true">
      <xsd:simpleType>
        <xsd:restriction base="dms:Text"/>
      </xsd:simpleType>
    </xsd:element>
    <xsd:element name="_dlc_DocIdUrl" ma:index="4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0"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C2B2E2-301F-4DE4-A8CA-D24B579EFDD0}">
  <ds:schemaRefs>
    <ds:schemaRef ds:uri="http://schemas.microsoft.com/office/2006/metadata/properties"/>
    <ds:schemaRef ds:uri="http://schemas.microsoft.com/office/infopath/2007/PartnerControls"/>
    <ds:schemaRef ds:uri="ca160097-f9a4-47a2-9b12-b18df77a0bea"/>
    <ds:schemaRef ds:uri="4600776d-0a3c-44b4-bff2-0ceaafb13046"/>
    <ds:schemaRef ds:uri="0606af38-29d8-407d-826d-7a0cb9d9f4ed"/>
    <ds:schemaRef ds:uri="c86d72e2-090a-4e7d-987e-218d8a0db591"/>
  </ds:schemaRefs>
</ds:datastoreItem>
</file>

<file path=customXml/itemProps2.xml><?xml version="1.0" encoding="utf-8"?>
<ds:datastoreItem xmlns:ds="http://schemas.openxmlformats.org/officeDocument/2006/customXml" ds:itemID="{DC437E09-ACAB-46C1-9F9E-B58FAF664BDF}">
  <ds:schemaRefs>
    <ds:schemaRef ds:uri="http://schemas.microsoft.com/sharepoint/v3/contenttype/forms"/>
  </ds:schemaRefs>
</ds:datastoreItem>
</file>

<file path=customXml/itemProps3.xml><?xml version="1.0" encoding="utf-8"?>
<ds:datastoreItem xmlns:ds="http://schemas.openxmlformats.org/officeDocument/2006/customXml" ds:itemID="{A0930491-952D-47F9-8A71-823C869AA041}">
  <ds:schemaRefs>
    <ds:schemaRef ds:uri="http://schemas.microsoft.com/sharepoint/events"/>
  </ds:schemaRefs>
</ds:datastoreItem>
</file>

<file path=customXml/itemProps4.xml><?xml version="1.0" encoding="utf-8"?>
<ds:datastoreItem xmlns:ds="http://schemas.openxmlformats.org/officeDocument/2006/customXml" ds:itemID="{ECD5E5FB-2F7D-E040-AC8C-0CA3A30399B6}">
  <ds:schemaRefs>
    <ds:schemaRef ds:uri="http://schemas.openxmlformats.org/officeDocument/2006/bibliography"/>
  </ds:schemaRefs>
</ds:datastoreItem>
</file>

<file path=customXml/itemProps5.xml><?xml version="1.0" encoding="utf-8"?>
<ds:datastoreItem xmlns:ds="http://schemas.openxmlformats.org/officeDocument/2006/customXml" ds:itemID="{40C66999-C316-406C-8341-ACBEB0937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60097-f9a4-47a2-9b12-b18df77a0bea"/>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98453b5-5ff5-45ea-8b80-71e82b0a2887}"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CLR0246</dc:title>
  <cp:revision>0</cp:revision>
</cp:coreProperties>
</file>