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548F3" w:rsidP="006548F3">
      <w:pPr>
        <w:pStyle w:val="Heading"/>
        <w:jc w:val="center"/>
      </w:pPr>
      <w:r>
        <w:t xml:space="preserve">Written </w:t>
      </w:r>
      <w:r>
        <w:t>e</w:t>
      </w:r>
      <w:r>
        <w:t xml:space="preserve">vidence </w:t>
      </w:r>
      <w:r w:rsidR="00C15406">
        <w:t>s</w:t>
      </w:r>
      <w:r>
        <w:t xml:space="preserve">ubmitted on </w:t>
      </w:r>
      <w:r w:rsidR="00C15406">
        <w:t>by</w:t>
      </w:r>
      <w:r>
        <w:t xml:space="preserve"> the Federation of Private Residents Associations </w:t>
      </w:r>
      <w:r w:rsidR="00C15406">
        <w:t>[CLR 235]</w:t>
      </w:r>
    </w:p>
    <w:p w:rsidR="006548F3" w:rsidP="006548F3">
      <w:pPr>
        <w:pStyle w:val="Body"/>
      </w:pPr>
    </w:p>
    <w:p w:rsidR="006548F3" w:rsidP="006548F3">
      <w:pPr>
        <w:pStyle w:val="Heading21"/>
      </w:pPr>
      <w:r>
        <w:t>Executive Summary</w:t>
      </w:r>
    </w:p>
    <w:p w:rsidR="006548F3" w:rsidP="006548F3">
      <w:pPr>
        <w:pStyle w:val="Body"/>
      </w:pPr>
      <w:r>
        <w:t xml:space="preserve">This submission addresses whether the Draft Bill, in its current form, </w:t>
      </w:r>
      <w:r>
        <w:t>is capable of delivering</w:t>
      </w:r>
      <w:r>
        <w:t xml:space="preserve"> its stated objective of ending leasehold and establishing commonhold as the default tenure.</w:t>
      </w:r>
    </w:p>
    <w:p w:rsidR="006548F3" w:rsidP="006548F3">
      <w:pPr>
        <w:pStyle w:val="Body"/>
      </w:pPr>
      <w:r>
        <w:t>While the intention to reform tenure is welcome, the Bill does not provide the structural foundations necessary to make commonhold workable for existing leaseholders. Without fundamental reform to freehold acquisition, Right to Manage (RTM), planning policy, and financial protections, the legislation risks creating a two-tier system in which existing leaseholders remain trapped in an inferior tenure.</w:t>
      </w:r>
    </w:p>
    <w:p w:rsidR="006548F3" w:rsidP="006548F3">
      <w:pPr>
        <w:pStyle w:val="Body"/>
      </w:pPr>
      <w:r>
        <w:t xml:space="preserve">There remains an opportunity within Part 4, Section </w:t>
      </w:r>
      <w:r>
        <w:t>155</w:t>
      </w:r>
      <w:r>
        <w:t xml:space="preserve"> to amend and strengthen the Bill. Targeted reforms could make leasehold </w:t>
      </w:r>
      <w:r>
        <w:t>liveable</w:t>
      </w:r>
      <w:r>
        <w:t xml:space="preserve"> in the interim, reduce unnecessary disputes, and ensure a genuine and practical pathway to commonhold.</w:t>
      </w:r>
    </w:p>
    <w:p w:rsidR="006548F3" w:rsidP="006548F3">
      <w:pPr>
        <w:pStyle w:val="Body"/>
      </w:pPr>
      <w:r>
        <w:br/>
      </w:r>
    </w:p>
    <w:p w:rsidR="006548F3" w:rsidP="006548F3">
      <w:pPr>
        <w:pStyle w:val="Heading21"/>
      </w:pPr>
      <w:r>
        <w:t>1. The Stated Purpose of the Draft Bill</w:t>
      </w:r>
    </w:p>
    <w:p w:rsidR="006548F3" w:rsidP="006548F3">
      <w:pPr>
        <w:pStyle w:val="Body"/>
      </w:pPr>
      <w:r>
        <w:t>The Draft Bill proposes to:</w:t>
      </w:r>
    </w:p>
    <w:p w:rsidR="006548F3" w:rsidP="006548F3">
      <w:pPr>
        <w:pStyle w:val="Body"/>
      </w:pPr>
      <w:r>
        <w:t>• Reform and reinvigorate the commonhold tenure.</w:t>
      </w:r>
    </w:p>
    <w:p w:rsidR="006548F3" w:rsidP="006548F3">
      <w:pPr>
        <w:pStyle w:val="Body"/>
      </w:pPr>
      <w:r>
        <w:t>• Ban the creation of new leasehold flats and houses.</w:t>
      </w:r>
    </w:p>
    <w:p w:rsidR="006548F3" w:rsidP="006548F3">
      <w:pPr>
        <w:pStyle w:val="Body"/>
      </w:pPr>
      <w:r>
        <w:t>• Provide existing leaseholders with a pathway to greater control of their homes.</w:t>
      </w:r>
    </w:p>
    <w:p w:rsidR="006548F3" w:rsidP="006548F3">
      <w:pPr>
        <w:pStyle w:val="Body"/>
      </w:pPr>
      <w:r>
        <w:t>These objectives are significant. However, they cannot be achieved without first undertaking the necessary groundwork.</w:t>
      </w:r>
    </w:p>
    <w:p w:rsidR="006548F3" w:rsidP="006548F3">
      <w:pPr>
        <w:pStyle w:val="Body"/>
      </w:pPr>
      <w:r>
        <w:br/>
      </w:r>
    </w:p>
    <w:p w:rsidR="006548F3" w:rsidP="006548F3">
      <w:pPr>
        <w:pStyle w:val="Heading21"/>
      </w:pPr>
      <w:r>
        <w:t>2. The Groundwork Required</w:t>
      </w:r>
    </w:p>
    <w:p w:rsidR="006548F3" w:rsidP="006548F3">
      <w:pPr>
        <w:pStyle w:val="Body"/>
      </w:pPr>
      <w:r>
        <w:t xml:space="preserve">Commonhold cannot become a realistic option for existing leaseholders unless they are first able to acquire their </w:t>
      </w:r>
      <w:r>
        <w:t>freeholds</w:t>
      </w:r>
      <w:r>
        <w:t xml:space="preserve"> at a fixed, transparent, and straightforward price.</w:t>
      </w:r>
    </w:p>
    <w:p w:rsidR="006548F3" w:rsidP="006548F3">
      <w:pPr>
        <w:pStyle w:val="Body"/>
      </w:pPr>
      <w:r>
        <w:t>A simple mechanism should be introduced, for example, buying out the value of the ground. Where land is unusable by its current owner because homes are built upon it, the valuation must properly reflect that reality.</w:t>
      </w:r>
    </w:p>
    <w:p w:rsidR="006548F3" w:rsidP="006548F3">
      <w:pPr>
        <w:pStyle w:val="Body"/>
      </w:pPr>
      <w:r>
        <w:t>In addition, tenure-responsive land use planning is essential. Planning authorities and developers must not continue to promote leasehold while Parliament seeks to abolish it. Without alignment between planning policy and tenure reform, the creation of leasehold will continue in practice, even if discouraged in principle.</w:t>
      </w:r>
    </w:p>
    <w:p w:rsidR="006548F3" w:rsidP="006548F3">
      <w:pPr>
        <w:pStyle w:val="Body"/>
      </w:pPr>
      <w:r>
        <w:t xml:space="preserve">If new leasehold flats and houses are </w:t>
      </w:r>
      <w:r>
        <w:t>to be banned</w:t>
      </w:r>
      <w:r>
        <w:t>, Parliament must confront the question directly: are millions of existing leaseholders to remain in a second-class tenure indefinitely?</w:t>
      </w:r>
    </w:p>
    <w:p w:rsidR="006548F3" w:rsidP="006548F3">
      <w:pPr>
        <w:pStyle w:val="Body"/>
      </w:pPr>
      <w:r>
        <w:br/>
      </w:r>
    </w:p>
    <w:p w:rsidR="006548F3" w:rsidP="006548F3">
      <w:pPr>
        <w:pStyle w:val="Heading21"/>
      </w:pPr>
      <w:r>
        <w:t>3. The Position of the FPRA</w:t>
      </w:r>
    </w:p>
    <w:p w:rsidR="006548F3" w:rsidP="006548F3">
      <w:pPr>
        <w:pStyle w:val="Body"/>
      </w:pPr>
      <w:r>
        <w:t>The FPRA represents Leaseholder Associations and Companies. As a member for nearly 30 years and Vice Chair for 10 years, I present the concerns of members who actively manage blocks of flats.</w:t>
      </w:r>
    </w:p>
    <w:p w:rsidR="006548F3" w:rsidP="006548F3">
      <w:pPr>
        <w:pStyle w:val="Body"/>
      </w:pPr>
      <w:r>
        <w:t>Those running</w:t>
      </w:r>
      <w:r>
        <w:t xml:space="preserve"> leasehold blocks are required to operate under two conflicting regimes: as Company Directors under company law and as Freeholders or RTM companies under leasehold law. This dual role is unnecessarily complex and often conflictual. Commonhold would resolve this structural confusion. The current Bill does not.</w:t>
      </w:r>
    </w:p>
    <w:p w:rsidR="006548F3" w:rsidP="006548F3">
      <w:pPr>
        <w:pStyle w:val="Body"/>
      </w:pPr>
      <w:r>
        <w:br/>
      </w:r>
    </w:p>
    <w:p w:rsidR="006548F3" w:rsidP="006548F3">
      <w:pPr>
        <w:pStyle w:val="Heading21"/>
      </w:pPr>
      <w:r>
        <w:t>4. Missed Legislative Opportunities</w:t>
      </w:r>
    </w:p>
    <w:p w:rsidR="006548F3" w:rsidP="006548F3">
      <w:pPr>
        <w:pStyle w:val="Body"/>
      </w:pPr>
      <w:r>
        <w:t>Part 4, Section 155 provides the Secretary of State with the power to repeal or amend other leasehold provisions. This is an opportunity that should be used.</w:t>
      </w:r>
    </w:p>
    <w:p w:rsidR="006548F3" w:rsidP="006548F3">
      <w:pPr>
        <w:pStyle w:val="Body"/>
      </w:pPr>
      <w:r>
        <w:t xml:space="preserve">To make leasehold </w:t>
      </w:r>
      <w:r>
        <w:t>liveable</w:t>
      </w:r>
      <w:r>
        <w:t xml:space="preserve"> while transition to commonhold is achieved, the following reforms are necessary:</w:t>
      </w:r>
    </w:p>
    <w:p w:rsidR="006548F3" w:rsidP="006548F3">
      <w:pPr>
        <w:pStyle w:val="Body"/>
      </w:pPr>
      <w:r>
        <w:t xml:space="preserve">• </w:t>
      </w:r>
      <w:r>
        <w:t>Modernise</w:t>
      </w:r>
      <w:r>
        <w:t xml:space="preserve"> and simplify the provisions relating to viewing accounts. They are outdated, overly complex, and should mandate digital transparency.</w:t>
      </w:r>
    </w:p>
    <w:p w:rsidR="006548F3" w:rsidP="006548F3">
      <w:pPr>
        <w:pStyle w:val="Body"/>
      </w:pPr>
      <w:r>
        <w:t>• Update Section 20 consultation thresholds to a more realistic level, for example £500 per flat or £5,000 in total (whichever is greater), so that smaller blocks are not subjected to continual consultation cycles.</w:t>
      </w:r>
    </w:p>
    <w:p w:rsidR="006548F3" w:rsidP="006548F3">
      <w:pPr>
        <w:pStyle w:val="Body"/>
      </w:pPr>
      <w:r>
        <w:t>• Broaden recognition of management models beyond professional managing agents. Training in estate management principles should be available more widely. Existing codes of practice risk excluding self-managed blocks, which represent many FPRA members, including its Chair.</w:t>
      </w:r>
    </w:p>
    <w:p w:rsidR="006548F3" w:rsidP="006548F3">
      <w:pPr>
        <w:pStyle w:val="Body"/>
      </w:pPr>
      <w:r>
        <w:br/>
      </w:r>
    </w:p>
    <w:p w:rsidR="006548F3" w:rsidP="006548F3">
      <w:pPr>
        <w:pStyle w:val="Heading21"/>
      </w:pPr>
      <w:r>
        <w:t>5. Risk of Increased Disputes</w:t>
      </w:r>
    </w:p>
    <w:p w:rsidR="006548F3" w:rsidP="006548F3">
      <w:pPr>
        <w:pStyle w:val="Body"/>
      </w:pPr>
      <w:r>
        <w:t>Although the Bill purports to give leaseholders greater control, its drafting leaves significant scope for litigation.</w:t>
      </w:r>
    </w:p>
    <w:p w:rsidR="006548F3" w:rsidP="006548F3">
      <w:pPr>
        <w:pStyle w:val="Body"/>
      </w:pPr>
      <w:r>
        <w:t>Examples include:</w:t>
      </w:r>
    </w:p>
    <w:p w:rsidR="006548F3" w:rsidP="006548F3">
      <w:pPr>
        <w:pStyle w:val="Body"/>
      </w:pPr>
      <w:r>
        <w:t>• Ambiguity in the definition of a house versus a flat. If a flat is distinguished by having part of a building beneath it, what qualifies as 'part'? A car park, cellar, or underground passage?</w:t>
      </w:r>
    </w:p>
    <w:p w:rsidR="006548F3" w:rsidP="006548F3">
      <w:pPr>
        <w:pStyle w:val="Body"/>
      </w:pPr>
      <w:r>
        <w:t>• Failure to address estate charges where freeholders retain control despite leaseholders acquiring RTM over all or many blocks.</w:t>
      </w:r>
    </w:p>
    <w:p w:rsidR="006548F3" w:rsidP="006548F3">
      <w:pPr>
        <w:pStyle w:val="Body"/>
      </w:pPr>
      <w:r>
        <w:t xml:space="preserve">• Continued scope for spurious rejection of RTM claims, with delays imposed until </w:t>
      </w:r>
      <w:r>
        <w:t>leaseholders</w:t>
      </w:r>
      <w:r>
        <w:t xml:space="preserve"> exhaust resources.</w:t>
      </w:r>
    </w:p>
    <w:p w:rsidR="006548F3" w:rsidP="006548F3">
      <w:pPr>
        <w:pStyle w:val="Body"/>
      </w:pPr>
      <w:r>
        <w:t>• Absence of a clear definition of a qualifying tenant that does not depend exclusively on Land Registry records.</w:t>
      </w:r>
    </w:p>
    <w:p w:rsidR="006548F3" w:rsidP="006548F3">
      <w:pPr>
        <w:pStyle w:val="Body"/>
      </w:pPr>
      <w:r>
        <w:t xml:space="preserve">The increasing </w:t>
      </w:r>
      <w:r>
        <w:t>prioritisation</w:t>
      </w:r>
      <w:r>
        <w:t xml:space="preserve"> of strict technical compliance over practical justice is making the path to RTM more difficult, not less.</w:t>
      </w:r>
    </w:p>
    <w:p w:rsidR="006548F3" w:rsidP="006548F3">
      <w:pPr>
        <w:pStyle w:val="Body"/>
      </w:pPr>
      <w:r>
        <w:br/>
      </w:r>
    </w:p>
    <w:p w:rsidR="006548F3" w:rsidP="006548F3">
      <w:pPr>
        <w:pStyle w:val="Heading21"/>
      </w:pPr>
      <w:r>
        <w:t>6. Fairness of Lease Contracts</w:t>
      </w:r>
    </w:p>
    <w:p w:rsidR="006548F3" w:rsidP="006548F3">
      <w:pPr>
        <w:pStyle w:val="Body"/>
      </w:pPr>
      <w:r>
        <w:t>It is welcome that certain breaches of covenant will no longer attract forfeiture. However, deeper reform is required.</w:t>
      </w:r>
    </w:p>
    <w:p w:rsidR="006548F3" w:rsidP="006548F3">
      <w:pPr>
        <w:pStyle w:val="Body"/>
      </w:pPr>
      <w:r>
        <w:t>Before pursuing any alleged breach, the lease itself should be examined. If a long lease of 21 years or more cannot be challenged for unfair terms, while a short six-month lease can, there is a clear inconsistency that undermines confidence in the fairness of the system.</w:t>
      </w:r>
    </w:p>
    <w:p w:rsidR="006548F3" w:rsidP="006548F3">
      <w:pPr>
        <w:pStyle w:val="Body"/>
      </w:pPr>
      <w:r>
        <w:br/>
      </w:r>
    </w:p>
    <w:p w:rsidR="006548F3" w:rsidP="006548F3">
      <w:pPr>
        <w:pStyle w:val="Heading21"/>
      </w:pPr>
      <w:r>
        <w:t>7. Protection of Reserve Funds</w:t>
      </w:r>
    </w:p>
    <w:p w:rsidR="006548F3" w:rsidP="006548F3">
      <w:pPr>
        <w:pStyle w:val="Body"/>
      </w:pPr>
      <w:r>
        <w:t>Commonhold associations are required to establish reserve funds. Yet there is no mechanism allowing those funds to be protected beyond £120,000 per client. There is no adequate protection against fraud or cybercrime, even under current professional frameworks.</w:t>
      </w:r>
    </w:p>
    <w:p w:rsidR="006548F3" w:rsidP="006548F3">
      <w:pPr>
        <w:pStyle w:val="Body"/>
      </w:pPr>
      <w:r>
        <w:t>Without meaningful financial safeguards, confidence in commonhold will be undermined from the outset.</w:t>
      </w:r>
    </w:p>
    <w:p w:rsidR="006548F3" w:rsidP="006548F3">
      <w:pPr>
        <w:pStyle w:val="Body"/>
      </w:pPr>
      <w:r>
        <w:br/>
      </w:r>
    </w:p>
    <w:p w:rsidR="006548F3" w:rsidP="006548F3">
      <w:pPr>
        <w:pStyle w:val="Heading21"/>
      </w:pPr>
      <w:r>
        <w:rPr>
          <w:lang w:val="it-IT"/>
        </w:rPr>
        <w:t>Conclusion</w:t>
      </w:r>
    </w:p>
    <w:p w:rsidR="006548F3" w:rsidP="006548F3">
      <w:pPr>
        <w:pStyle w:val="Body"/>
      </w:pPr>
      <w:r>
        <w:t>The ambition to end leasehold is commendable. However, in its current form, the Draft Bill does not provide a practical or coherent route to that objective.</w:t>
      </w:r>
    </w:p>
    <w:p w:rsidR="006548F3" w:rsidP="006548F3">
      <w:pPr>
        <w:pStyle w:val="Body"/>
      </w:pPr>
      <w:r>
        <w:t>Unless strengthened, the legislation risks entrenching existing inequities, increasing litigation, and leaving millions of leaseholders in an inferior tenure. There remains time to remedy these deficiencies. Parliament should do so.</w:t>
      </w:r>
    </w:p>
    <w:p w:rsidR="006548F3" w:rsidP="006548F3">
      <w:pPr>
        <w:pStyle w:val="Heading21"/>
      </w:pPr>
      <w:r>
        <w:rPr>
          <w:lang w:val="it-IT"/>
        </w:rPr>
        <w:t>Parliament</w:t>
      </w:r>
      <w:r>
        <w:rPr>
          <w:rtl/>
        </w:rPr>
        <w:t>’</w:t>
      </w:r>
      <w:r>
        <w:t>s Power to Amend Historic Acts</w:t>
      </w:r>
    </w:p>
    <w:p w:rsidR="006548F3" w:rsidP="006548F3">
      <w:pPr>
        <w:pStyle w:val="Body"/>
      </w:pPr>
      <w:r>
        <w:t>The Draft Commonhold and Leasehold Reform Bill itself shows that Parliament can amend very old Acts of Parliament.</w:t>
      </w:r>
    </w:p>
    <w:p w:rsidR="006548F3" w:rsidP="006548F3">
      <w:pPr>
        <w:pStyle w:val="Body"/>
      </w:pPr>
      <w:r>
        <w:rPr>
          <w:lang w:val="fr-FR"/>
        </w:rPr>
        <w:t xml:space="preserve">Section 155 </w:t>
      </w:r>
      <w:r>
        <w:t>and Section 158 allow the Secretary of State, by regulations, to amend or repeal provisions of Acts passed before the new Act where that amendment is consequential.</w:t>
      </w:r>
    </w:p>
    <w:p w:rsidR="006548F3" w:rsidP="006548F3">
      <w:pPr>
        <w:pStyle w:val="Body"/>
      </w:pPr>
      <w:r>
        <w:t>In simple terms: Parliament can change old laws. Old Acts are not fixed or immune from reform. If Parliament considers reform necessary, it has the constitutional authority to make those changes. The current Bill itself provides a modern example of Parliament exercising that power.</w:t>
      </w:r>
    </w:p>
    <w:p w:rsidR="006548F3" w:rsidP="006548F3">
      <w:pPr>
        <w:pStyle w:val="Body"/>
      </w:pPr>
    </w:p>
    <w:p w:rsidR="006548F3" w:rsidP="006548F3">
      <w:pPr>
        <w:pStyle w:val="Heading"/>
      </w:pPr>
    </w:p>
    <w:p w:rsidR="006548F3" w:rsidP="006548F3">
      <w:pPr>
        <w:pStyle w:val="Heading21"/>
      </w:pPr>
      <w:r>
        <w:t>About the Federation of Private Residents Associations (FPRA)</w:t>
      </w:r>
    </w:p>
    <w:p w:rsidR="006548F3" w:rsidP="006548F3">
      <w:pPr>
        <w:pStyle w:val="Body"/>
      </w:pPr>
      <w:r>
        <w:t xml:space="preserve">The Federation of Private Residents Associations (FPRA) is a national </w:t>
      </w:r>
      <w:r>
        <w:t>organisation</w:t>
      </w:r>
      <w:r>
        <w:t xml:space="preserve"> representing private residential leaseholders and residents</w:t>
      </w:r>
      <w:r>
        <w:rPr>
          <w:rtl/>
        </w:rPr>
        <w:t xml:space="preserve">’ </w:t>
      </w:r>
      <w:r>
        <w:t>associations across England and Wales.</w:t>
      </w:r>
    </w:p>
    <w:p w:rsidR="006548F3" w:rsidP="006548F3">
      <w:pPr>
        <w:pStyle w:val="Body"/>
      </w:pPr>
      <w:r>
        <w:t>FPRA supports and advises residents</w:t>
      </w:r>
      <w:r>
        <w:rPr>
          <w:rtl/>
        </w:rPr>
        <w:t xml:space="preserve">’ </w:t>
      </w:r>
      <w:r>
        <w:t>associations, campaigns for fairer leasehold law, and promotes improved standards of residential property management. It works to protect the interests of long leaseholders and resident-controlled management bodies, including Right to Manage companies and enfranchised developments.</w:t>
      </w:r>
    </w:p>
    <w:p w:rsidR="006548F3" w:rsidP="006548F3">
      <w:pPr>
        <w:pStyle w:val="Body"/>
      </w:pPr>
      <w:r>
        <w:t>FPRA provides a collective voice for leaseholders and advocates reform that promotes transparency, accountability, and genuine resident control of residential property.</w:t>
      </w:r>
    </w:p>
    <w:p w:rsidR="006548F3" w:rsidP="006548F3">
      <w:pPr>
        <w:pStyle w:val="Body"/>
      </w:pPr>
    </w:p>
    <w:p w:rsidR="008B2652" w:rsidRPr="006548F3">
      <w:pPr>
        <w:rPr>
          <w:i/>
          <w:iCs/>
        </w:rPr>
      </w:pPr>
      <w:r w:rsidRPr="006548F3">
        <w:rPr>
          <w:i/>
          <w:iCs/>
        </w:rPr>
        <w:t>February 2026</w:t>
      </w:r>
    </w:p>
    <w:sectPr w:rsidSect="006548F3">
      <w:headerReference w:type="default" r:id="rId8"/>
      <w:footerReference w:type="default" r:id="rId9"/>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Aptos Display">
    <w:charset w:val="00"/>
    <w:family w:val="swiss"/>
    <w:pitch w:val="variable"/>
    <w:sig w:usb0="20000287" w:usb1="00000003" w:usb2="00000000" w:usb3="00000000" w:csb0="0000019F" w:csb1="00000000"/>
  </w:font>
  <w:font w:name="Helvetica Neue">
    <w:altName w:val="Arial"/>
    <w:charset w:val="00"/>
    <w:family w:val="roman"/>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8F3">
    <w:pPr>
      <w:pStyle w:val="Header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8F3">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rsid w:val="006548F3"/>
    <w:pPr>
      <w:pBdr>
        <w:top w:val="nil"/>
        <w:left w:val="nil"/>
        <w:bottom w:val="nil"/>
        <w:right w:val="nil"/>
        <w:between w:val="nil"/>
        <w:bar w:val="nil"/>
      </w:pBdr>
      <w:spacing w:after="0" w:line="240" w:lineRule="auto"/>
    </w:pPr>
    <w:rPr>
      <w:rFonts w:ascii="Times New Roman" w:eastAsia="Arial Unicode MS" w:hAnsi="Times New Roman" w:cs="Times New Roman"/>
      <w:kern w:val="0"/>
      <w:sz w:val="24"/>
      <w:szCs w:val="24"/>
      <w:bdr w:val="nil"/>
      <w:lang w:val="en-US"/>
    </w:rPr>
  </w:style>
  <w:style w:type="paragraph" w:styleId="Heading1">
    <w:name w:val="heading 1"/>
    <w:basedOn w:val="Normal"/>
    <w:next w:val="Normal"/>
    <w:link w:val="Heading1Char"/>
    <w:uiPriority w:val="9"/>
    <w:qFormat/>
    <w:rsid w:val="00D364B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364B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364B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64B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64B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64B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64B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64B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64B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64B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364B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364B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64B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64B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64B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64B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64B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64B7"/>
    <w:rPr>
      <w:rFonts w:eastAsiaTheme="majorEastAsia" w:cstheme="majorBidi"/>
      <w:color w:val="272727" w:themeColor="text1" w:themeTint="D8"/>
    </w:rPr>
  </w:style>
  <w:style w:type="paragraph" w:styleId="Title">
    <w:name w:val="Title"/>
    <w:basedOn w:val="Normal"/>
    <w:next w:val="Normal"/>
    <w:link w:val="TitleChar"/>
    <w:uiPriority w:val="10"/>
    <w:qFormat/>
    <w:rsid w:val="00D364B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364B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364B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64B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64B7"/>
    <w:pPr>
      <w:spacing w:before="160"/>
      <w:jc w:val="center"/>
    </w:pPr>
    <w:rPr>
      <w:i/>
      <w:iCs/>
      <w:color w:val="404040" w:themeColor="text1" w:themeTint="BF"/>
    </w:rPr>
  </w:style>
  <w:style w:type="character" w:customStyle="1" w:styleId="QuoteChar">
    <w:name w:val="Quote Char"/>
    <w:basedOn w:val="DefaultParagraphFont"/>
    <w:link w:val="Quote"/>
    <w:uiPriority w:val="29"/>
    <w:rsid w:val="00D364B7"/>
    <w:rPr>
      <w:i/>
      <w:iCs/>
      <w:color w:val="404040" w:themeColor="text1" w:themeTint="BF"/>
    </w:rPr>
  </w:style>
  <w:style w:type="paragraph" w:styleId="ListParagraph">
    <w:name w:val="List Paragraph"/>
    <w:basedOn w:val="Normal"/>
    <w:uiPriority w:val="34"/>
    <w:qFormat/>
    <w:rsid w:val="00D364B7"/>
    <w:pPr>
      <w:ind w:left="720"/>
      <w:contextualSpacing/>
    </w:pPr>
  </w:style>
  <w:style w:type="character" w:styleId="IntenseEmphasis">
    <w:name w:val="Intense Emphasis"/>
    <w:basedOn w:val="DefaultParagraphFont"/>
    <w:uiPriority w:val="21"/>
    <w:qFormat/>
    <w:rsid w:val="00D364B7"/>
    <w:rPr>
      <w:i/>
      <w:iCs/>
      <w:color w:val="0F4761" w:themeColor="accent1" w:themeShade="BF"/>
    </w:rPr>
  </w:style>
  <w:style w:type="paragraph" w:styleId="IntenseQuote">
    <w:name w:val="Intense Quote"/>
    <w:basedOn w:val="Normal"/>
    <w:next w:val="Normal"/>
    <w:link w:val="IntenseQuoteChar"/>
    <w:uiPriority w:val="30"/>
    <w:qFormat/>
    <w:rsid w:val="00D364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64B7"/>
    <w:rPr>
      <w:i/>
      <w:iCs/>
      <w:color w:val="0F4761" w:themeColor="accent1" w:themeShade="BF"/>
    </w:rPr>
  </w:style>
  <w:style w:type="character" w:styleId="IntenseReference">
    <w:name w:val="Intense Reference"/>
    <w:basedOn w:val="DefaultParagraphFont"/>
    <w:uiPriority w:val="32"/>
    <w:qFormat/>
    <w:rsid w:val="00D364B7"/>
    <w:rPr>
      <w:b/>
      <w:bCs/>
      <w:smallCaps/>
      <w:color w:val="0F4761" w:themeColor="accent1" w:themeShade="BF"/>
      <w:spacing w:val="5"/>
    </w:rPr>
  </w:style>
  <w:style w:type="paragraph" w:customStyle="1" w:styleId="HeaderFooter">
    <w:name w:val="Header &amp; Footer"/>
    <w:rsid w:val="006548F3"/>
    <w:pPr>
      <w:pBdr>
        <w:top w:val="nil"/>
        <w:left w:val="nil"/>
        <w:bottom w:val="nil"/>
        <w:right w:val="nil"/>
        <w:between w:val="nil"/>
        <w:bar w:val="nil"/>
      </w:pBdr>
      <w:tabs>
        <w:tab w:val="right" w:pos="9020"/>
      </w:tabs>
      <w:spacing w:after="0" w:line="240" w:lineRule="auto"/>
    </w:pPr>
    <w:rPr>
      <w:rFonts w:ascii="Helvetica Neue" w:eastAsia="Arial Unicode MS" w:hAnsi="Helvetica Neue" w:cs="Arial Unicode MS"/>
      <w:color w:val="000000"/>
      <w:kern w:val="0"/>
      <w:sz w:val="24"/>
      <w:szCs w:val="24"/>
      <w:bdr w:val="nil"/>
      <w:lang w:eastAsia="en-GB"/>
    </w:rPr>
  </w:style>
  <w:style w:type="paragraph" w:customStyle="1" w:styleId="Heading">
    <w:name w:val="Heading"/>
    <w:next w:val="Body"/>
    <w:rsid w:val="006548F3"/>
    <w:pPr>
      <w:keepNext/>
      <w:keepLines/>
      <w:pBdr>
        <w:top w:val="nil"/>
        <w:left w:val="nil"/>
        <w:bottom w:val="nil"/>
        <w:right w:val="nil"/>
        <w:between w:val="nil"/>
        <w:bar w:val="nil"/>
      </w:pBdr>
      <w:spacing w:before="480" w:after="0" w:line="276" w:lineRule="auto"/>
      <w:outlineLvl w:val="0"/>
    </w:pPr>
    <w:rPr>
      <w:rFonts w:ascii="Calibri" w:eastAsia="Arial Unicode MS" w:hAnsi="Calibri" w:cs="Arial Unicode MS"/>
      <w:b/>
      <w:bCs/>
      <w:color w:val="365F91"/>
      <w:kern w:val="0"/>
      <w:sz w:val="28"/>
      <w:szCs w:val="28"/>
      <w:u w:color="365F91"/>
      <w:bdr w:val="nil"/>
      <w:lang w:val="en-US" w:eastAsia="en-GB"/>
    </w:rPr>
  </w:style>
  <w:style w:type="paragraph" w:customStyle="1" w:styleId="Body">
    <w:name w:val="Body"/>
    <w:rsid w:val="006548F3"/>
    <w:pPr>
      <w:pBdr>
        <w:top w:val="nil"/>
        <w:left w:val="nil"/>
        <w:bottom w:val="nil"/>
        <w:right w:val="nil"/>
        <w:between w:val="nil"/>
        <w:bar w:val="nil"/>
      </w:pBdr>
      <w:spacing w:after="200" w:line="276" w:lineRule="auto"/>
    </w:pPr>
    <w:rPr>
      <w:rFonts w:ascii="Cambria" w:eastAsia="Arial Unicode MS" w:hAnsi="Cambria" w:cs="Arial Unicode MS"/>
      <w:color w:val="000000"/>
      <w:kern w:val="0"/>
      <w:u w:color="000000"/>
      <w:bdr w:val="nil"/>
      <w:lang w:val="en-US" w:eastAsia="en-GB"/>
    </w:rPr>
  </w:style>
  <w:style w:type="paragraph" w:customStyle="1" w:styleId="Heading21">
    <w:name w:val="Heading 21"/>
    <w:next w:val="Body"/>
    <w:rsid w:val="006548F3"/>
    <w:pPr>
      <w:keepNext/>
      <w:keepLines/>
      <w:pBdr>
        <w:top w:val="nil"/>
        <w:left w:val="nil"/>
        <w:bottom w:val="nil"/>
        <w:right w:val="nil"/>
        <w:between w:val="nil"/>
        <w:bar w:val="nil"/>
      </w:pBdr>
      <w:spacing w:before="200" w:after="0" w:line="276" w:lineRule="auto"/>
      <w:outlineLvl w:val="1"/>
    </w:pPr>
    <w:rPr>
      <w:rFonts w:ascii="Calibri" w:eastAsia="Arial Unicode MS" w:hAnsi="Calibri" w:cs="Arial Unicode MS"/>
      <w:b/>
      <w:bCs/>
      <w:color w:val="4F81BD"/>
      <w:kern w:val="0"/>
      <w:sz w:val="26"/>
      <w:szCs w:val="26"/>
      <w:u w:color="4F81BD"/>
      <w:bdr w:val="nil"/>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8B44E2D2110BA4685F8ED07EBAD70D9" ma:contentTypeVersion="68" ma:contentTypeDescription="Create a new document." ma:contentTypeScope="" ma:versionID="22edb971044480174c45435b4e572c4b">
  <xsd:schema xmlns:xsd="http://www.w3.org/2001/XMLSchema" xmlns:xs="http://www.w3.org/2001/XMLSchema" xmlns:p="http://schemas.microsoft.com/office/2006/metadata/properties" xmlns:ns2="ca160097-f9a4-47a2-9b12-b18df77a0bea" xmlns:ns3="0606af38-29d8-407d-826d-7a0cb9d9f4ed" xmlns:ns4="4600776d-0a3c-44b4-bff2-0ceaafb13046" xmlns:ns5="c86d72e2-090a-4e7d-987e-218d8a0db591" xmlns:ns6="6ab18433-7710-49bd-9bb4-0bb85747556a" targetNamespace="http://schemas.microsoft.com/office/2006/metadata/properties" ma:root="true" ma:fieldsID="21fb6eab2d8c601a077cf9b461354965" ns2:_="" ns3:_="" ns4:_="" ns5:_="" ns6:_="">
    <xsd:import namespace="ca160097-f9a4-47a2-9b12-b18df77a0bea"/>
    <xsd:import namespace="0606af38-29d8-407d-826d-7a0cb9d9f4ed"/>
    <xsd:import namespace="4600776d-0a3c-44b4-bff2-0ceaafb13046"/>
    <xsd:import namespace="c86d72e2-090a-4e7d-987e-218d8a0db591"/>
    <xsd:import namespace="6ab18433-7710-49bd-9bb4-0bb85747556a"/>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5:ja5e4d000da44b5490ce6b4249309924" minOccurs="0"/>
                <xsd:element ref="ns4:e6f926d7f5b14a74bee86c3452d91372" minOccurs="0"/>
                <xsd:element ref="ns4:cd0fc526a5c840319a97fd94028e9904" minOccurs="0"/>
                <xsd:element ref="ns3:Specialist_x0020_Adviser_x003a_First_x0020_Name" minOccurs="0"/>
                <xsd:element ref="ns3:Specialist_x0020_Adviser_x003a_Full_x0020_Name" minOccurs="0"/>
                <xsd:element ref="ns4:g3ef09377e3444258679b6035a1ff93a" minOccurs="0"/>
                <xsd:element ref="ns4:j6c5b17cd04246da82e5604daf08bc68" minOccurs="0"/>
                <xsd:element ref="ns6:_dlc_DocId" minOccurs="0"/>
                <xsd:element ref="ns4:c4838c65c76546ae93d5703426802f7f" minOccurs="0"/>
                <xsd:element ref="ns2:n78ca1497cf6442fb3babdda785c85ae" minOccurs="0"/>
                <xsd:element ref="ns2:j3dc9349b3384741bd6025ba1321f3a9" minOccurs="0"/>
                <xsd:element ref="ns6:_dlc_DocIdUrl" minOccurs="0"/>
                <xsd:element ref="ns3:Visit_x003a_Start_x0020_Time" minOccurs="0"/>
                <xsd:element ref="ns3:Visit_x003a_End_x0020_Time" minOccurs="0"/>
                <xsd:element ref="ns6:_dlc_DocIdPersistId" minOccurs="0"/>
                <xsd:element ref="ns3:Witness_x003a_First_x0020_Name" minOccurs="0"/>
                <xsd:element ref="ns3:Witness_x003a_Full_x0020_Name" minOccurs="0"/>
                <xsd:element ref="ns3:Witness_x003a_Job_x0020_Title" minOccurs="0"/>
                <xsd:element ref="ns6:SharedWithUsers" minOccurs="0"/>
                <xsd:element ref="ns6:SharedWithDetails" minOccurs="0"/>
                <xsd:element ref="ns2:MediaServiceMetadata" minOccurs="0"/>
                <xsd:element ref="ns2:MediaServiceFastMetadata" minOccurs="0"/>
                <xsd:element ref="ns2:MediaServiceDateTaken" minOccurs="0"/>
                <xsd:element ref="ns2:MediaServiceAutoTags" minOccurs="0"/>
                <xsd:element ref="ns2:MediaServiceLocation" minOccurs="0"/>
                <xsd:element ref="ns4:k5b153ee974a4a57a7568e533217f2cb" minOccurs="0"/>
                <xsd:element ref="ns4:TaxCatchAll" minOccurs="0"/>
                <xsd:element ref="ns4:TaxCatchAllLabel" minOccurs="0"/>
                <xsd:element ref="ns2:MediaServiceEventHashCode" minOccurs="0"/>
                <xsd:element ref="ns2:MediaServiceGenerationTime" minOccurs="0"/>
                <xsd:element ref="ns2:MediaServiceAutoKeyPoints" minOccurs="0"/>
                <xsd:element ref="ns2:MediaServiceKeyPoints" minOccurs="0"/>
                <xsd:element ref="ns2:DateandTime" minOccurs="0"/>
                <xsd:element ref="ns2:MediaServiceObjectDetectorVersions" minOccurs="0"/>
                <xsd:element ref="ns2:lcf76f155ced4ddcb4097134ff3c332f" minOccurs="0"/>
                <xsd:element ref="ns2:MediaServiceOCR" minOccurs="0"/>
                <xsd:element ref="ns2:TobePublished"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160097-f9a4-47a2-9b12-b18df77a0bea"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xsd:simpleType>
        <xsd:restriction base="dms:Text">
          <xsd:maxLength value="255"/>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dexed="true"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n78ca1497cf6442fb3babdda785c85ae" ma:index="44"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j3dc9349b3384741bd6025ba1321f3a9" ma:index="45"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MediaServiceMetadata" ma:index="58" nillable="true" ma:displayName="MediaServiceMetadata" ma:description="" ma:hidden="true" ma:internalName="MediaServiceMetadata" ma:readOnly="true">
      <xsd:simpleType>
        <xsd:restriction base="dms:Note"/>
      </xsd:simpleType>
    </xsd:element>
    <xsd:element name="MediaServiceFastMetadata" ma:index="59" nillable="true" ma:displayName="MediaServiceFastMetadata" ma:description="" ma:hidden="true" ma:internalName="MediaServiceFastMetadata" ma:readOnly="true">
      <xsd:simpleType>
        <xsd:restriction base="dms:Note"/>
      </xsd:simpleType>
    </xsd:element>
    <xsd:element name="MediaServiceDateTaken" ma:index="60" nillable="true" ma:displayName="MediaServiceDateTaken" ma:description="" ma:hidden="true" ma:internalName="MediaServiceDateTaken" ma:readOnly="true">
      <xsd:simpleType>
        <xsd:restriction base="dms:Text"/>
      </xsd:simpleType>
    </xsd:element>
    <xsd:element name="MediaServiceAutoTags" ma:index="61" nillable="true" ma:displayName="MediaServiceAutoTags" ma:description="" ma:internalName="MediaServiceAutoTags" ma:readOnly="true">
      <xsd:simpleType>
        <xsd:restriction base="dms:Text"/>
      </xsd:simpleType>
    </xsd:element>
    <xsd:element name="MediaServiceLocation" ma:index="62" nillable="true" ma:displayName="MediaServiceLocation" ma:description="" ma:internalName="MediaServiceLocation" ma:readOnly="true">
      <xsd:simpleType>
        <xsd:restriction base="dms:Text"/>
      </xsd:simpleType>
    </xsd:element>
    <xsd:element name="MediaServiceEventHashCode" ma:index="67" nillable="true" ma:displayName="MediaServiceEventHashCode" ma:hidden="true" ma:internalName="MediaServiceEventHashCode" ma:readOnly="true">
      <xsd:simpleType>
        <xsd:restriction base="dms:Text"/>
      </xsd:simpleType>
    </xsd:element>
    <xsd:element name="MediaServiceGenerationTime" ma:index="68" nillable="true" ma:displayName="MediaServiceGenerationTime" ma:hidden="true" ma:internalName="MediaServiceGenerationTime" ma:readOnly="true">
      <xsd:simpleType>
        <xsd:restriction base="dms:Text"/>
      </xsd:simpleType>
    </xsd:element>
    <xsd:element name="MediaServiceAutoKeyPoints" ma:index="69" nillable="true" ma:displayName="MediaServiceAutoKeyPoints" ma:hidden="true" ma:internalName="MediaServiceAutoKeyPoints" ma:readOnly="true">
      <xsd:simpleType>
        <xsd:restriction base="dms:Note"/>
      </xsd:simpleType>
    </xsd:element>
    <xsd:element name="MediaServiceKeyPoints" ma:index="70" nillable="true" ma:displayName="KeyPoints" ma:internalName="MediaServiceKeyPoints" ma:readOnly="true">
      <xsd:simpleType>
        <xsd:restriction base="dms:Note">
          <xsd:maxLength value="255"/>
        </xsd:restriction>
      </xsd:simpleType>
    </xsd:element>
    <xsd:element name="DateandTime" ma:index="71" nillable="true" ma:displayName="Date and Time" ma:format="DateOnly" ma:internalName="DateandTime">
      <xsd:simpleType>
        <xsd:restriction base="dms:DateTime"/>
      </xsd:simpleType>
    </xsd:element>
    <xsd:element name="MediaServiceObjectDetectorVersions" ma:index="72" nillable="true" ma:displayName="MediaServiceObjectDetectorVersions" ma:hidden="true" ma:indexed="true" ma:internalName="MediaServiceObjectDetectorVersions" ma:readOnly="true">
      <xsd:simpleType>
        <xsd:restriction base="dms:Text"/>
      </xsd:simpleType>
    </xsd:element>
    <xsd:element name="lcf76f155ced4ddcb4097134ff3c332f" ma:index="74"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OCR" ma:index="75" nillable="true" ma:displayName="Extracted Text" ma:internalName="MediaServiceOCR" ma:readOnly="true">
      <xsd:simpleType>
        <xsd:restriction base="dms:Note">
          <xsd:maxLength value="255"/>
        </xsd:restriction>
      </xsd:simpleType>
    </xsd:element>
    <xsd:element name="TobePublished" ma:index="76" nillable="true" ma:displayName="To be Published" ma:format="Dropdown" ma:internalName="TobePublished">
      <xsd:simpleType>
        <xsd:restriction base="dms:Text">
          <xsd:maxLength value="255"/>
        </xsd:restriction>
      </xsd:simpleType>
    </xsd:element>
    <xsd:element name="MediaServiceSearchProperties" ma:index="77" nillable="true" ma:displayName="MediaServiceSearchProperties" ma:hidden="true" ma:internalName="MediaServiceSearchProperties" ma:readOnly="true">
      <xsd:simpleType>
        <xsd:restriction base="dms:Note"/>
      </xsd:simpleType>
    </xsd:element>
    <xsd:element name="MediaServiceBillingMetadata" ma:index="7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0aa076f0-b8a1-48bf-8818-83242ab5342f}" ma:internalName="Visit" ma:showField="Title" ma:web="0606af38-29d8-407d-826d-7a0cb9d9f4ed">
      <xsd:simpleType>
        <xsd:restriction base="dms:Lookup"/>
      </xsd:simpleType>
    </xsd:element>
    <xsd:element name="Specialist_x0020_Adviser" ma:index="17" nillable="true" ma:displayName="Specialist Adviser" ma:list="{f0c3f697-2dfe-47db-9feb-52a2e679508b}" ma:internalName="Specialist_x0020_Adviser" ma:showField="Title" ma:web="0606af38-29d8-407d-826d-7a0cb9d9f4ed">
      <xsd:simpleType>
        <xsd:restriction base="dms:Lookup"/>
      </xsd:simpleType>
    </xsd:element>
    <xsd:element name="Witness" ma:index="18" nillable="true" ma:displayName="Witness" ma:list="{4f79105f-fda0-4d63-9233-4f27dd71f267}" ma:internalName="Witness" ma:showField="Title" ma:web="0606af38-29d8-407d-826d-7a0cb9d9f4ed">
      <xsd:simpleType>
        <xsd:restriction base="dms:Lookup"/>
      </xsd:simpleType>
    </xsd:element>
    <xsd:element name="Specialist_x0020_Adviser_x003a_First_x0020_Name" ma:index="36" nillable="true" ma:displayName="Specialist Adviser:First Name" ma:list="{f0c3f697-2dfe-47db-9feb-52a2e679508b}" ma:internalName="Specialist_x0020_Adviser_x003a_First_x0020_Name" ma:readOnly="true" ma:showField="FirstName" ma:web="0606af38-29d8-407d-826d-7a0cb9d9f4ed">
      <xsd:simpleType>
        <xsd:restriction base="dms:Lookup"/>
      </xsd:simpleType>
    </xsd:element>
    <xsd:element name="Specialist_x0020_Adviser_x003a_Full_x0020_Name" ma:index="37" nillable="true" ma:displayName="Specialist Adviser:Full Name" ma:list="{f0c3f697-2dfe-47db-9feb-52a2e679508b}" ma:internalName="Specialist_x0020_Adviser_x003a_Full_x0020_Name" ma:readOnly="true" ma:showField="FullName" ma:web="0606af38-29d8-407d-826d-7a0cb9d9f4ed">
      <xsd:simpleType>
        <xsd:restriction base="dms:Lookup"/>
      </xsd:simpleType>
    </xsd:element>
    <xsd:element name="Visit_x003a_Start_x0020_Time" ma:index="48" nillable="true" ma:displayName="Visit:Start Time" ma:list="{0aa076f0-b8a1-48bf-8818-83242ab5342f}" ma:internalName="Visit_x003a_Start_x0020_Time" ma:readOnly="true" ma:showField="EventDate" ma:web="0606af38-29d8-407d-826d-7a0cb9d9f4ed">
      <xsd:simpleType>
        <xsd:restriction base="dms:Lookup"/>
      </xsd:simpleType>
    </xsd:element>
    <xsd:element name="Visit_x003a_End_x0020_Time" ma:index="49" nillable="true" ma:displayName="Visit:End Time" ma:list="{0aa076f0-b8a1-48bf-8818-83242ab5342f}" ma:internalName="Visit_x003a_End_x0020_Time" ma:readOnly="true" ma:showField="EndDate" ma:web="0606af38-29d8-407d-826d-7a0cb9d9f4ed">
      <xsd:simpleType>
        <xsd:restriction base="dms:Lookup"/>
      </xsd:simpleType>
    </xsd:element>
    <xsd:element name="Witness_x003a_First_x0020_Name" ma:index="51" nillable="true" ma:displayName="Witness:First Name" ma:list="{4f79105f-fda0-4d63-9233-4f27dd71f267}" ma:internalName="Witness_x003a_First_x0020_Name" ma:readOnly="true" ma:showField="First_x0020_Name" ma:web="0606af38-29d8-407d-826d-7a0cb9d9f4ed">
      <xsd:simpleType>
        <xsd:restriction base="dms:Lookup"/>
      </xsd:simpleType>
    </xsd:element>
    <xsd:element name="Witness_x003a_Full_x0020_Name" ma:index="52" nillable="true" ma:displayName="Witness:Full Name" ma:list="{4f79105f-fda0-4d63-9233-4f27dd71f267}" ma:internalName="Witness_x003a_Full_x0020_Name" ma:readOnly="true" ma:showField="Full_x0020_Name" ma:web="0606af38-29d8-407d-826d-7a0cb9d9f4ed">
      <xsd:simpleType>
        <xsd:restriction base="dms:Lookup"/>
      </xsd:simpleType>
    </xsd:element>
    <xsd:element name="Witness_x003a_Job_x0020_Title" ma:index="53" nillable="true" ma:displayName="Witness:Job Title" ma:list="{4f79105f-fda0-4d63-9233-4f27dd71f267}" ma:internalName="Witness_x003a_Job_x0020_Title" ma:readOnly="true" ma:showField="Job_x0020_Titl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DateSent" ma:index="10" nillable="true" ma:displayName="Date Sent" ma:format="DateTime" ma:indexed="true" ma:internalName="DateSent">
      <xsd:simpleType>
        <xsd:restriction base="dms:DateTime"/>
      </xsd:simpleType>
    </xsd:element>
    <xsd:element name="EndofSessionDate" ma:index="25" nillable="true" ma:displayName="End of Session Date" ma:format="DateOnly" ma:internalName="EndofSessionDate">
      <xsd:simpleType>
        <xsd:restriction base="dms:DateTime"/>
      </xsd:simpleType>
    </xsd:element>
    <xsd:element name="TransfertoArchives" ma:index="26" nillable="true" ma:displayName="Transfer to Archives" ma:default="0" ma:internalName="TransfertoArchives">
      <xsd:simpleType>
        <xsd:restriction base="dms:Boolean"/>
      </xsd:simpleType>
    </xsd:element>
    <xsd:element name="RecordNumber" ma:index="31" nillable="true" ma:displayName="Record Number" ma:indexed="true" ma:internalName="RecordNumber">
      <xsd:simpleType>
        <xsd:restriction base="dms:Text">
          <xsd:maxLength value="255"/>
        </xsd:restriction>
      </xsd:simpleType>
    </xsd:element>
    <xsd:element name="e6f926d7f5b14a74bee86c3452d91372" ma:index="34" nillable="true" ma:taxonomy="true" ma:internalName="e6f926d7f5b14a74bee86c3452d91372" ma:taxonomyFieldName="Sessions" ma:displayName="Session" ma:default="136;#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d0fc526a5c840319a97fd94028e9904" ma:index="35"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g3ef09377e3444258679b6035a1ff93a" ma:index="38"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39"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4838c65c76546ae93d5703426802f7f" ma:index="41"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k5b153ee974a4a57a7568e533217f2cb" ma:index="63"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TaxCatchAll" ma:index="64" nillable="true" ma:displayName="Taxonomy Catch All Column" ma:description="" ma:hidden="true" ma:list="{16fe675c-0843-4115-a495-0e880fdbd303}" ma:internalName="TaxCatchAll" ma:showField="CatchAllData"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TaxCatchAllLabel" ma:index="65" nillable="true" ma:displayName="Taxonomy Catch All Column1" ma:description="" ma:hidden="true" ma:list="{16fe675c-0843-4115-a495-0e880fdbd303}" ma:internalName="TaxCatchAllLabel" ma:readOnly="true" ma:showField="CatchAllDataLabel" ma:web="0606af38-29d8-407d-826d-7a0cb9d9f4e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32" nillable="true" ma:taxonomy="true" ma:internalName="ja5e4d000da44b5490ce6b4249309924" ma:taxonomyFieldName="Inquiry" ma:displayName="Inquiry" ma:indexed="true" ma:default="" ma:fieldId="{3a5e4d00-0da4-4b54-90ce-6b4249309924}" ma:sspId="eb37f91c-4bb8-4ab3-bc5a-cd8753815459" ma:termSetId="e92b6cb5-89aa-4b85-8d83-b805cf84055d" ma:anchorId="cb92f1e8-9f4f-49fe-a098-f606b1293349"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 ma:index="40" nillable="true" ma:displayName="Document ID Value" ma:description="The value of the document ID assigned to this item." ma:internalName="_dlc_DocId" ma:readOnly="true">
      <xsd:simpleType>
        <xsd:restriction base="dms:Text"/>
      </xsd:simpleType>
    </xsd:element>
    <xsd:element name="_dlc_DocIdUrl" ma:index="4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0" nillable="true" ma:displayName="Persist ID" ma:description="Keep ID on add." ma:hidden="true" ma:internalName="_dlc_DocIdPersistId" ma:readOnly="true">
      <xsd:simpleType>
        <xsd:restriction base="dms:Boolean"/>
      </xsd:simpleType>
    </xsd:element>
    <xsd:element name="SharedWithUsers" ma:index="56"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7"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Meeting_x0020_Date xmlns="ca160097-f9a4-47a2-9b12-b18df77a0bea" xsi:nil="true"/>
    <DateSent xmlns="4600776d-0a3c-44b4-bff2-0ceaafb13046" xsi:nil="true"/>
    <Related_x0020_Document xmlns="ca160097-f9a4-47a2-9b12-b18df77a0bea">
      <Url xsi:nil="true"/>
      <Description xsi:nil="true"/>
    </Related_x0020_Document>
    <RecordNumber xmlns="4600776d-0a3c-44b4-bff2-0ceaafb13046" xsi:nil="true"/>
    <Date xmlns="ca160097-f9a4-47a2-9b12-b18df77a0bea" xsi:nil="true"/>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TaxCatchAll xmlns="4600776d-0a3c-44b4-bff2-0ceaafb13046">
      <Value>2</Value>
      <Value>191</Value>
    </TaxCatchAll>
    <Document_x0020_Status xmlns="ca160097-f9a4-47a2-9b12-b18df77a0bea" xsi:nil="true"/>
    <Circulation_x0020_Date xmlns="ca160097-f9a4-47a2-9b12-b18df77a0bea" xsi:nil="true"/>
    <Brief_x0020_status xmlns="ca160097-f9a4-47a2-9b12-b18df77a0bea" xsi:nil="true"/>
    <Publication_x0020_Date xmlns="ca160097-f9a4-47a2-9b12-b18df77a0bea" xsi:nil="true"/>
    <Notes0 xmlns="ca160097-f9a4-47a2-9b12-b18df77a0bea" xsi:nil="true"/>
    <Department xmlns="ca160097-f9a4-47a2-9b12-b18df77a0bea" xsi:nil="true"/>
    <j6c5b17cd04246da82e5604daf08bc68 xmlns="4600776d-0a3c-44b4-bff2-0ceaafb13046">
      <Terms xmlns="http://schemas.microsoft.com/office/infopath/2007/PartnerControls"/>
    </j6c5b17cd04246da82e5604daf08bc68>
    <Additional_x0020_category xmlns="ca160097-f9a4-47a2-9b12-b18df77a0bea" xsi:nil="true"/>
    <lcf76f155ced4ddcb4097134ff3c332f xmlns="ca160097-f9a4-47a2-9b12-b18df77a0bea">
      <Terms xmlns="http://schemas.microsoft.com/office/infopath/2007/PartnerControls"/>
    </lcf76f155ced4ddcb4097134ff3c332f>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2024-25</TermName>
          <TermId xmlns="http://schemas.microsoft.com/office/infopath/2007/PartnerControls">173c2407-8e96-435d-bd52-860179bbc150</TermId>
        </TermInfo>
      </Terms>
    </e6f926d7f5b14a74bee86c3452d91372>
    <EndofSessionDate xmlns="4600776d-0a3c-44b4-bff2-0ceaafb13046" xsi:nil="true"/>
    <n78ca1497cf6442fb3babdda785c85ae xmlns="ca160097-f9a4-47a2-9b12-b18df77a0bea">
      <Terms xmlns="http://schemas.microsoft.com/office/infopath/2007/PartnerControls"/>
    </n78ca1497cf6442fb3babdda785c85ae>
    <DateReceived xmlns="4600776d-0a3c-44b4-bff2-0ceaafb13046" xsi:nil="true"/>
    <TransfertoArchives xmlns="4600776d-0a3c-44b4-bff2-0ceaafb13046">false</TransfertoArchives>
    <j3dc9349b3384741bd6025ba1321f3a9 xmlns="ca160097-f9a4-47a2-9b12-b18df77a0bea">
      <Terms xmlns="http://schemas.microsoft.com/office/infopath/2007/PartnerControls"/>
    </j3dc9349b3384741bd6025ba1321f3a9>
    <Visit xmlns="0606af38-29d8-407d-826d-7a0cb9d9f4ed" xsi:nil="true"/>
    <Useful_x0020_Docs xmlns="ca160097-f9a4-47a2-9b12-b18df77a0bea" xsi:nil="true"/>
    <Deadline xmlns="ca160097-f9a4-47a2-9b12-b18df77a0bea" xsi:nil="true"/>
    <Allocated_x0020_to xmlns="ca160097-f9a4-47a2-9b12-b18df77a0bea">
      <UserInfo>
        <DisplayName/>
        <AccountId xsi:nil="true"/>
        <AccountType/>
      </UserInfo>
    </Allocated_x0020_to>
    <ja5e4d000da44b5490ce6b4249309924 xmlns="c86d72e2-090a-4e7d-987e-218d8a0db591">
      <Terms xmlns="http://schemas.microsoft.com/office/infopath/2007/PartnerControls"/>
    </ja5e4d000da44b5490ce6b4249309924>
    <cd0fc526a5c840319a97fd94028e9904 xmlns="4600776d-0a3c-44b4-bff2-0ceaafb13046">
      <Terms xmlns="http://schemas.microsoft.com/office/infopath/2007/PartnerControls"/>
    </cd0fc526a5c840319a97fd94028e9904>
    <Status_x0020_of_x0020_correspondence xmlns="ca160097-f9a4-47a2-9b12-b18df77a0bea" xsi:nil="true"/>
    <Witness xmlns="0606af38-29d8-407d-826d-7a0cb9d9f4ed" xsi:nil="true"/>
    <Specialist_x0020_Adviser xmlns="0606af38-29d8-407d-826d-7a0cb9d9f4ed"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ateandTime xmlns="ca160097-f9a4-47a2-9b12-b18df77a0bea" xsi:nil="true"/>
    <TobePublished xmlns="ca160097-f9a4-47a2-9b12-b18df77a0bea" xsi:nil="true"/>
  </documentManagement>
</p:properties>
</file>

<file path=customXml/itemProps1.xml><?xml version="1.0" encoding="utf-8"?>
<ds:datastoreItem xmlns:ds="http://schemas.openxmlformats.org/officeDocument/2006/customXml" ds:itemID="{5DABCC14-B3B0-4A3D-A85E-2E9991D5A5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160097-f9a4-47a2-9b12-b18df77a0bea"/>
    <ds:schemaRef ds:uri="0606af38-29d8-407d-826d-7a0cb9d9f4ed"/>
    <ds:schemaRef ds:uri="4600776d-0a3c-44b4-bff2-0ceaafb13046"/>
    <ds:schemaRef ds:uri="c86d72e2-090a-4e7d-987e-218d8a0db591"/>
    <ds:schemaRef ds:uri="6ab18433-7710-49bd-9bb4-0bb8574755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07E187-FC3D-4029-81B2-64C9333FFE46}">
  <ds:schemaRefs>
    <ds:schemaRef ds:uri="http://schemas.microsoft.com/sharepoint/events"/>
  </ds:schemaRefs>
</ds:datastoreItem>
</file>

<file path=customXml/itemProps3.xml><?xml version="1.0" encoding="utf-8"?>
<ds:datastoreItem xmlns:ds="http://schemas.openxmlformats.org/officeDocument/2006/customXml" ds:itemID="{7C4C5009-9DC9-4272-85A9-9B4821875F9C}">
  <ds:schemaRefs>
    <ds:schemaRef ds:uri="http://schemas.microsoft.com/sharepoint/v3/contenttype/forms"/>
  </ds:schemaRefs>
</ds:datastoreItem>
</file>

<file path=customXml/itemProps4.xml><?xml version="1.0" encoding="utf-8"?>
<ds:datastoreItem xmlns:ds="http://schemas.openxmlformats.org/officeDocument/2006/customXml" ds:itemID="{F50116A9-5911-4669-9EA1-BF9A3BA88610}">
  <ds:schemaRefs>
    <ds:schemaRef ds:uri="c86d72e2-090a-4e7d-987e-218d8a0db591"/>
    <ds:schemaRef ds:uri="http://schemas.microsoft.com/office/2006/metadata/properties"/>
    <ds:schemaRef ds:uri="http://schemas.microsoft.com/office/infopath/2007/PartnerControls"/>
    <ds:schemaRef ds:uri="http://purl.org/dc/elements/1.1/"/>
    <ds:schemaRef ds:uri="http://purl.org/dc/terms/"/>
    <ds:schemaRef ds:uri="http://purl.org/dc/dcmitype/"/>
    <ds:schemaRef ds:uri="http://schemas.microsoft.com/office/2006/documentManagement/types"/>
    <ds:schemaRef ds:uri="http://schemas.openxmlformats.org/package/2006/metadata/core-properties"/>
    <ds:schemaRef ds:uri="6ab18433-7710-49bd-9bb4-0bb85747556a"/>
    <ds:schemaRef ds:uri="4600776d-0a3c-44b4-bff2-0ceaafb13046"/>
    <ds:schemaRef ds:uri="0606af38-29d8-407d-826d-7a0cb9d9f4ed"/>
    <ds:schemaRef ds:uri="ca160097-f9a4-47a2-9b12-b18df77a0bea"/>
    <ds:schemaRef ds:uri="http://www.w3.org/XML/1998/namespace"/>
  </ds:schemaRefs>
</ds:datastoreItem>
</file>

<file path=docMetadata/LabelInfo.xml><?xml version="1.0" encoding="utf-8"?>
<clbl:labelList xmlns:clbl="http://schemas.microsoft.com/office/2020/mipLabelMetadata">
  <clbl:label id="{698453b5-5ff5-45ea-8b80-71e82b0a2887}"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CLR0235</dc:title>
  <cp:revision>0</cp:revision>
</cp:coreProperties>
</file>