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77506" w:rsidRPr="00277506" w:rsidP="00277506">
      <w:pPr>
        <w:jc w:val="center"/>
        <w:rPr>
          <w:b/>
          <w:bCs/>
          <w:sz w:val="26"/>
          <w:szCs w:val="26"/>
        </w:rPr>
      </w:pPr>
      <w:r>
        <w:rPr>
          <w:b/>
          <w:bCs/>
          <w:sz w:val="26"/>
          <w:szCs w:val="26"/>
        </w:rPr>
        <w:t>Written evidence submitted by Rafiq [CLR 215]</w:t>
      </w:r>
    </w:p>
    <w:p w:rsidR="00277506" w:rsidRPr="000268D0" w:rsidP="000268D0">
      <w:r w:rsidRPr="000268D0">
        <w:t>As one of our neighbouring leaseholders in a mixed-use building with high service charges, including high ground rents, and leasehold problems. We have an overseas freeholder. Reform to the qualifying criteria for collective enfranchisement claims in the Leasehold Reform, Housing and Urban Development Act 1993, the draft Leasehold and Commonhold Reform Bill will not end the feudal leasehold system for me and my long-suffering neighbours. Instead, it will condemn us to ongoing financial abuse in a two-tier s</w:t>
      </w:r>
      <w:r w:rsidRPr="000268D0">
        <w:t>ystem, where buyers clamour for new commonhold flats while we remain locked out of freehold purchase, unable to convert to commonhold, and with our homes effectively condemned in the eyes of potential buyers. I believe the problem raised in my submission to your parliamentary committee affects countless other leaseholders in buildings with commercial elements.</w:t>
      </w:r>
    </w:p>
    <w:p w:rsidR="00277506" w:rsidRPr="000268D0" w:rsidP="000268D0">
      <w:r w:rsidRPr="000268D0">
        <w:t>Due to a reform in the Leasehold and Freehold Reform Act 2024, which raises the non-residential premises limit from 25% to 50%, our building now qualifies for the Right to Manage. While this is positive, our well-resourced freeholder, familiar to the tribunal, could still cause problems for us by refusing to pay their share of service charges and insurance for the hotel and serviced apartments beneath our leasehold flats. As leaseholders in a block where the majority of floor space is residential, and where</w:t>
      </w:r>
      <w:r w:rsidRPr="000268D0">
        <w:t xml:space="preserve"> sky-high service charges affect both our daily lives and the saleability of our homes, we feel that the right to buy out our freehold will finally end this unacceptable nightmare to date.</w:t>
      </w:r>
    </w:p>
    <w:p w:rsidR="00277506" w:rsidRPr="000268D0" w:rsidP="000268D0">
      <w:r w:rsidRPr="000268D0">
        <w:t>Notwithstanding the 2024 Act introduces a new 50% non-residential premises limit for collective enfranchisement claims, which has yet to commence, an obscure provision in the Leasehold Reform, Housing and Urban Development Act 1993 will still unfairly exclude us from buying out our freeholder, automatically disqualifying leaseholders in cases where shared services, including pipes, connect commercial and residential premises. This is despite the fact that we would otherwise meet the new majority-floor-space</w:t>
      </w:r>
      <w:r w:rsidRPr="000268D0">
        <w:t xml:space="preserve"> threshold once Parliament commences the provision.</w:t>
      </w:r>
    </w:p>
    <w:p w:rsidR="00277506" w:rsidRPr="000268D0" w:rsidP="000268D0">
      <w:r w:rsidRPr="000268D0">
        <w:t>This 1993 Act collective enfranchisement exclusion makes no sense if, through the 2024 Act, Parliament intended to allow leaseholders in mixed-use buildings with a majority of residential floor space to buy out their freeholds under the collective enfranchisement scheme by increasing the non-residential premises limit from 25% to 50%.</w:t>
      </w:r>
    </w:p>
    <w:p w:rsidR="00277506" w:rsidRPr="000268D0" w:rsidP="000268D0">
      <w:r w:rsidRPr="000268D0">
        <w:t>The 1993 Act exclusion makes even less sense given that Parliament has provided, through the 2024 Act, a mechanism for leaseholders in mixed-use buildings with significant commercial space to offer mandatory leasebacks of that space to the departing freeholder. The mandatory leaseback mechanism reduces the price payable and makes freehold purchase feasible. It also clearly separates the commercial and residential elements, which was not possible under the 1993 Act when it was passed. The 1993 Act predated t</w:t>
      </w:r>
      <w:r w:rsidRPr="000268D0">
        <w:t>he rise of mixed-use flatted developments in England.</w:t>
      </w:r>
    </w:p>
    <w:p w:rsidR="00277506" w:rsidRPr="000268D0" w:rsidP="000268D0">
      <w:r w:rsidRPr="000268D0">
        <w:t>The issue of infrastructure connecting commercial and residential premises in mixed-use buildings, which affects leaseholders’ ability to buy out their freeholds and is sometimes called “structural dependency” rules, was raised in the last Parliament by MPs and witnesses during the Public Bill Committee stage of the 2024 Act. Parliamentarians including Barry Gardiner MP, Nickie Aiken MP and Lord Bailey of Paddington even tabled amendments to remove this 1993 Act collective enfranchisement exclusion.</w:t>
      </w:r>
    </w:p>
    <w:p w:rsidR="00277506" w:rsidRPr="000268D0" w:rsidP="000268D0">
      <w:r w:rsidRPr="000268D0">
        <w:t>More recently, this 1993 Act exclusion penalising leaseholders has been highlighted in an article by journalist Martina Lees in The Times, following the publication of this government’s draft Leasehold and Commonhold Reform Bill.</w:t>
      </w:r>
    </w:p>
    <w:p w:rsidR="00277506" w:rsidRPr="000268D0" w:rsidP="000268D0">
      <w:r w:rsidRPr="000268D0">
        <w:t xml:space="preserve">The 1993 Act exclusion means that “pipes, cables or other fixed installations” running through commercial and residential premises rule out freehold purchase (see Part I, Chapter I, Preliminary, Section 3 of the Leasehold Reform, Housing and Urban Development Act 1993). Thanks to the enlightened drafting of the 2002 Act, the policy is not repeated with who qualifies for Right to Manage. However, the exclusion actively undermines the policies in the 2024 Act designed to help more leaseholders qualify to buy </w:t>
      </w:r>
      <w:r w:rsidRPr="000268D0">
        <w:t>their freehold, particularly in mixed-use buildings, through mandatory leasebacks and the new 50% nonpresidential premises limit for collective enfranchisement claims. We had no say in the developer’s decision to include a shared plant room, so why should Parliament prevent us from claiming our freedom by paying for collective enfranchisement?</w:t>
      </w:r>
    </w:p>
    <w:p w:rsidR="00277506" w:rsidRPr="000268D0" w:rsidP="000268D0">
      <w:r w:rsidRPr="000268D0">
        <w:t>While the draft Leasehold and Commonhold Reform Bill has several shortcomings, including its failure to implement the remaining Law Commission recommendations on enfranchisement and the Right to Manage despite commitments in the Labour manifesto and the King’s Speech, leaseholders, including myself and others in my block, urgently need the removal of the 1993 Act’s unfair structural dependency exclusion that bars collective enfranchisement. Thank you for your kind consideration.</w:t>
      </w:r>
    </w:p>
    <w:p w:rsidR="00277506"/>
    <w:p w:rsidR="00277506" w:rsidRPr="00277506">
      <w:pPr>
        <w:rPr>
          <w:i/>
          <w:iCs/>
        </w:rPr>
      </w:pPr>
      <w:r>
        <w:rPr>
          <w:i/>
          <w:iCs/>
        </w:rPr>
        <w:t>February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0268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68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68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68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68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68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68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68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68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8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68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68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68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68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68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68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68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68D0"/>
    <w:rPr>
      <w:rFonts w:eastAsiaTheme="majorEastAsia" w:cstheme="majorBidi"/>
      <w:color w:val="272727" w:themeColor="text1" w:themeTint="D8"/>
    </w:rPr>
  </w:style>
  <w:style w:type="paragraph" w:styleId="Title">
    <w:name w:val="Title"/>
    <w:basedOn w:val="Normal"/>
    <w:next w:val="Normal"/>
    <w:link w:val="TitleChar"/>
    <w:uiPriority w:val="10"/>
    <w:qFormat/>
    <w:rsid w:val="000268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68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68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68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68D0"/>
    <w:pPr>
      <w:spacing w:before="160"/>
      <w:jc w:val="center"/>
    </w:pPr>
    <w:rPr>
      <w:i/>
      <w:iCs/>
      <w:color w:val="404040" w:themeColor="text1" w:themeTint="BF"/>
    </w:rPr>
  </w:style>
  <w:style w:type="character" w:customStyle="1" w:styleId="QuoteChar">
    <w:name w:val="Quote Char"/>
    <w:basedOn w:val="DefaultParagraphFont"/>
    <w:link w:val="Quote"/>
    <w:uiPriority w:val="29"/>
    <w:rsid w:val="000268D0"/>
    <w:rPr>
      <w:i/>
      <w:iCs/>
      <w:color w:val="404040" w:themeColor="text1" w:themeTint="BF"/>
    </w:rPr>
  </w:style>
  <w:style w:type="paragraph" w:styleId="ListParagraph">
    <w:name w:val="List Paragraph"/>
    <w:basedOn w:val="Normal"/>
    <w:uiPriority w:val="34"/>
    <w:qFormat/>
    <w:rsid w:val="000268D0"/>
    <w:pPr>
      <w:ind w:left="720"/>
      <w:contextualSpacing/>
    </w:pPr>
  </w:style>
  <w:style w:type="character" w:styleId="IntenseEmphasis">
    <w:name w:val="Intense Emphasis"/>
    <w:basedOn w:val="DefaultParagraphFont"/>
    <w:uiPriority w:val="21"/>
    <w:qFormat/>
    <w:rsid w:val="000268D0"/>
    <w:rPr>
      <w:i/>
      <w:iCs/>
      <w:color w:val="0F4761" w:themeColor="accent1" w:themeShade="BF"/>
    </w:rPr>
  </w:style>
  <w:style w:type="paragraph" w:styleId="IntenseQuote">
    <w:name w:val="Intense Quote"/>
    <w:basedOn w:val="Normal"/>
    <w:next w:val="Normal"/>
    <w:link w:val="IntenseQuoteChar"/>
    <w:uiPriority w:val="30"/>
    <w:qFormat/>
    <w:rsid w:val="00026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68D0"/>
    <w:rPr>
      <w:i/>
      <w:iCs/>
      <w:color w:val="0F4761" w:themeColor="accent1" w:themeShade="BF"/>
    </w:rPr>
  </w:style>
  <w:style w:type="character" w:styleId="IntenseReference">
    <w:name w:val="Intense Reference"/>
    <w:basedOn w:val="DefaultParagraphFont"/>
    <w:uiPriority w:val="32"/>
    <w:qFormat/>
    <w:rsid w:val="000268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8" ma:contentTypeDescription="Create a new document." ma:contentTypeScope="" ma:versionID="22edb971044480174c45435b4e572c4b">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21fb6eab2d8c601a077cf9b461354965"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element ref="ns2:MediaServiceObjectDetectorVersions" minOccurs="0"/>
                <xsd:element ref="ns2:lcf76f155ced4ddcb4097134ff3c332f" minOccurs="0"/>
                <xsd:element ref="ns2:MediaServiceOCR" minOccurs="0"/>
                <xsd:element ref="ns2:TobePublished"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lcf76f155ced4ddcb4097134ff3c332f" ma:index="7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75" nillable="true" ma:displayName="Extracted Text" ma:internalName="MediaServiceOCR" ma:readOnly="true">
      <xsd:simpleType>
        <xsd:restriction base="dms:Note">
          <xsd:maxLength value="255"/>
        </xsd:restriction>
      </xsd:simpleType>
    </xsd:element>
    <xsd:element name="TobePublished" ma:index="76" nillable="true" ma:displayName="To be Published" ma:format="Dropdown" ma:internalName="TobePublished">
      <xsd:simpleType>
        <xsd:restriction base="dms:Text">
          <xsd:maxLength value="255"/>
        </xsd:restriction>
      </xsd:simpleType>
    </xsd:element>
    <xsd:element name="MediaServiceSearchProperties" ma:index="77" nillable="true" ma:displayName="MediaServiceSearchProperties" ma:hidden="true" ma:internalName="MediaServiceSearchProperties" ma:readOnly="true">
      <xsd:simpleType>
        <xsd:restriction base="dms:Note"/>
      </xsd:simpleType>
    </xsd:element>
    <xsd:element name="MediaServiceBillingMetadata" ma:index="7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191</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lcf76f155ced4ddcb4097134ff3c332f xmlns="ca160097-f9a4-47a2-9b12-b18df77a0bea">
      <Terms xmlns="http://schemas.microsoft.com/office/infopath/2007/PartnerControls"/>
    </lcf76f155ced4ddcb4097134ff3c332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TobePublished xmlns="ca160097-f9a4-47a2-9b12-b18df77a0bea" xsi:nil="true"/>
  </documentManagement>
</p:properties>
</file>

<file path=customXml/itemProps1.xml><?xml version="1.0" encoding="utf-8"?>
<ds:datastoreItem xmlns:ds="http://schemas.openxmlformats.org/officeDocument/2006/customXml" ds:itemID="{44106075-B4AA-4EFD-A304-E2078350FD99}">
  <ds:schemaRefs/>
</ds:datastoreItem>
</file>

<file path=customXml/itemProps2.xml><?xml version="1.0" encoding="utf-8"?>
<ds:datastoreItem xmlns:ds="http://schemas.openxmlformats.org/officeDocument/2006/customXml" ds:itemID="{FDC83151-C1B2-4B99-8230-0852449802ED}">
  <ds:schemaRefs/>
</ds:datastoreItem>
</file>

<file path=customXml/itemProps3.xml><?xml version="1.0" encoding="utf-8"?>
<ds:datastoreItem xmlns:ds="http://schemas.openxmlformats.org/officeDocument/2006/customXml" ds:itemID="{AFA2B5BC-DE55-4238-B130-87A3E1005FCC}">
  <ds:schemaRefs/>
</ds:datastoreItem>
</file>

<file path=customXml/itemProps4.xml><?xml version="1.0" encoding="utf-8"?>
<ds:datastoreItem xmlns:ds="http://schemas.openxmlformats.org/officeDocument/2006/customXml" ds:itemID="{5EEE0416-3C16-4792-BBB2-414B951507A3}">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CLR0215</dc:title>
  <cp:revision>0</cp:revision>
</cp:coreProperties>
</file>