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D554C" w:rsidRPr="005D554C" w:rsidP="005D554C">
      <w:pPr>
        <w:pStyle w:val="Heading3"/>
        <w:spacing w:line="200" w:lineRule="atLeast"/>
        <w:jc w:val="center"/>
        <w:rPr>
          <w:color w:val="auto"/>
          <w:sz w:val="26"/>
          <w:szCs w:val="26"/>
        </w:rPr>
      </w:pPr>
      <w:r w:rsidRPr="005D554C">
        <w:rPr>
          <w:color w:val="auto"/>
          <w:sz w:val="26"/>
          <w:szCs w:val="26"/>
        </w:rPr>
        <w:t>Written evidence submitted by t</w:t>
      </w:r>
      <w:r w:rsidRPr="005D554C">
        <w:rPr>
          <w:color w:val="auto"/>
          <w:sz w:val="26"/>
          <w:szCs w:val="26"/>
        </w:rPr>
        <w:t>he ABI [CLR 195]</w:t>
      </w:r>
    </w:p>
    <w:p w:rsidR="005D554C" w:rsidRPr="005D554C" w:rsidP="005D554C">
      <w:pPr>
        <w:pStyle w:val="BodyText"/>
      </w:pPr>
    </w:p>
    <w:p w:rsidR="005D554C" w:rsidRPr="009D0997" w:rsidP="001A0C01">
      <w:pPr>
        <w:pStyle w:val="BodyText"/>
        <w:spacing w:after="0"/>
        <w:rPr>
          <w:b/>
          <w:bCs/>
          <w:i/>
          <w:iCs/>
        </w:rPr>
      </w:pPr>
      <w:r w:rsidRPr="009D0997">
        <w:rPr>
          <w:b/>
          <w:bCs/>
          <w:i/>
          <w:iCs/>
        </w:rPr>
        <w:t xml:space="preserve">About the ABI </w:t>
      </w:r>
    </w:p>
    <w:p w:rsidR="005D554C" w:rsidRPr="000A336D" w:rsidP="000A336D">
      <w:pPr>
        <w:pStyle w:val="BodyText"/>
        <w:spacing w:after="0"/>
        <w:rPr>
          <w:i/>
          <w:iCs/>
        </w:rPr>
      </w:pPr>
      <w:r w:rsidRPr="000A336D">
        <w:rPr>
          <w:i/>
          <w:iCs/>
        </w:rPr>
        <w:t>The ABI is the definitive voice of the UK’s world leading insurance and long-term savings industry, which is the largest sector in Europe and the third largest in the world.</w:t>
      </w:r>
      <w:r w:rsidRPr="009D0997">
        <w:rPr>
          <w:i/>
          <w:iCs/>
        </w:rPr>
        <w:t xml:space="preserve"> </w:t>
      </w:r>
      <w:r w:rsidRPr="000A336D">
        <w:rPr>
          <w:i/>
          <w:iCs/>
        </w:rPr>
        <w:t>We represent more than </w:t>
      </w:r>
      <w:r w:rsidRPr="000A336D">
        <w:rPr>
          <w:b/>
          <w:bCs/>
          <w:i/>
          <w:iCs/>
        </w:rPr>
        <w:t>300 firms</w:t>
      </w:r>
      <w:r w:rsidRPr="000A336D">
        <w:rPr>
          <w:i/>
          <w:iCs/>
        </w:rPr>
        <w:t> within our membership including most household names and specialist providers, providing peace of mind to customers.</w:t>
      </w:r>
    </w:p>
    <w:p w:rsidR="005D554C" w:rsidRPr="009D0997" w:rsidP="000A336D">
      <w:pPr>
        <w:pStyle w:val="BodyText"/>
        <w:spacing w:after="0"/>
        <w:rPr>
          <w:i/>
          <w:iCs/>
        </w:rPr>
      </w:pPr>
    </w:p>
    <w:p w:rsidR="005D554C" w:rsidRPr="000A336D" w:rsidP="000A336D">
      <w:pPr>
        <w:pStyle w:val="BodyText"/>
        <w:spacing w:after="0"/>
        <w:rPr>
          <w:i/>
          <w:iCs/>
        </w:rPr>
      </w:pPr>
      <w:r w:rsidRPr="000A336D">
        <w:rPr>
          <w:i/>
          <w:iCs/>
        </w:rPr>
        <w:t>Our industry employs over </w:t>
      </w:r>
      <w:r w:rsidRPr="000A336D">
        <w:rPr>
          <w:b/>
          <w:bCs/>
          <w:i/>
          <w:iCs/>
        </w:rPr>
        <w:t>300,000 people</w:t>
      </w:r>
      <w:r w:rsidRPr="000A336D">
        <w:rPr>
          <w:i/>
          <w:iCs/>
        </w:rPr>
        <w:t> in high-skilled, lifelong careers, two-thirds of whom are outside of London. And our members manage investments of </w:t>
      </w:r>
      <w:r w:rsidRPr="000A336D">
        <w:rPr>
          <w:b/>
          <w:bCs/>
          <w:i/>
          <w:iCs/>
        </w:rPr>
        <w:t>£1.4 trillion</w:t>
      </w:r>
      <w:r w:rsidRPr="000A336D">
        <w:rPr>
          <w:i/>
          <w:iCs/>
        </w:rPr>
        <w:t>, contribute </w:t>
      </w:r>
      <w:r w:rsidRPr="000A336D">
        <w:rPr>
          <w:b/>
          <w:bCs/>
          <w:i/>
          <w:iCs/>
        </w:rPr>
        <w:t>£18.5 billion</w:t>
      </w:r>
      <w:r w:rsidRPr="000A336D">
        <w:rPr>
          <w:i/>
          <w:iCs/>
        </w:rPr>
        <w:t> in taxes to the Government and support communities and businesses across the UK.</w:t>
      </w:r>
      <w:r w:rsidRPr="009D0997">
        <w:rPr>
          <w:i/>
          <w:iCs/>
        </w:rPr>
        <w:t xml:space="preserve"> </w:t>
      </w:r>
      <w:r w:rsidRPr="000A336D">
        <w:rPr>
          <w:i/>
          <w:iCs/>
        </w:rPr>
        <w:t>As a productive, inclusive and essential sector to the UK economy, together, we are driving change to protect and build a thriving society</w:t>
      </w:r>
      <w:r w:rsidRPr="000A336D">
        <w:rPr>
          <w:b/>
          <w:bCs/>
          <w:i/>
          <w:iCs/>
        </w:rPr>
        <w:t>.</w:t>
      </w:r>
    </w:p>
    <w:p w:rsidR="005D554C" w:rsidP="001A0C01">
      <w:pPr>
        <w:pStyle w:val="BodyText"/>
        <w:spacing w:after="0"/>
        <w:rPr>
          <w:b/>
          <w:bCs/>
        </w:rPr>
      </w:pPr>
    </w:p>
    <w:p w:rsidR="005D554C" w:rsidRPr="001A0C01" w:rsidP="001A0C01">
      <w:pPr>
        <w:pStyle w:val="BodyText"/>
        <w:spacing w:after="0"/>
        <w:rPr>
          <w:b/>
          <w:bCs/>
        </w:rPr>
      </w:pPr>
      <w:r w:rsidRPr="001A0C01">
        <w:rPr>
          <w:b/>
          <w:bCs/>
        </w:rPr>
        <w:t xml:space="preserve">Introduction </w:t>
      </w:r>
      <w:r>
        <w:rPr>
          <w:b/>
          <w:bCs/>
        </w:rPr>
        <w:t>and summary</w:t>
      </w:r>
    </w:p>
    <w:p w:rsidR="005D554C" w:rsidP="001A0C01">
      <w:pPr>
        <w:pStyle w:val="ListParagraph"/>
        <w:numPr>
          <w:ilvl w:val="0"/>
          <w:numId w:val="32"/>
        </w:numPr>
        <w:jc w:val="both"/>
        <w:rPr>
          <w:lang w:eastAsia="en-US"/>
        </w:rPr>
      </w:pPr>
      <w:r>
        <w:rPr>
          <w:lang w:eastAsia="en-US"/>
        </w:rPr>
        <w:t xml:space="preserve">We are grateful for the opportunity to submit evidence to the </w:t>
      </w:r>
      <w:r>
        <w:rPr>
          <w:lang w:eastAsia="en-US"/>
        </w:rPr>
        <w:t xml:space="preserve">Select Committee’s pre-legislative scrutiny inquiry on the draft Leasehold and Commonhold Reform Bill. </w:t>
      </w:r>
      <w:r>
        <w:rPr>
          <w:lang w:eastAsia="en-US"/>
        </w:rPr>
        <w:t xml:space="preserve">We have not responded to every question in the Committee’s </w:t>
      </w:r>
      <w:r>
        <w:rPr>
          <w:lang w:eastAsia="en-US"/>
        </w:rPr>
        <w:t xml:space="preserve">terms of reference and our submission is focused on the areas of the legislation </w:t>
      </w:r>
      <w:r>
        <w:rPr>
          <w:lang w:eastAsia="en-US"/>
        </w:rPr>
        <w:t xml:space="preserve">where we have specific </w:t>
      </w:r>
      <w:r>
        <w:rPr>
          <w:lang w:eastAsia="en-US"/>
        </w:rPr>
        <w:t>views and expertise</w:t>
      </w:r>
      <w:r>
        <w:rPr>
          <w:lang w:eastAsia="en-US"/>
        </w:rPr>
        <w:t>, in particular the</w:t>
      </w:r>
      <w:r>
        <w:rPr>
          <w:lang w:eastAsia="en-US"/>
        </w:rPr>
        <w:t xml:space="preserve"> </w:t>
      </w:r>
      <w:r>
        <w:rPr>
          <w:lang w:eastAsia="en-US"/>
        </w:rPr>
        <w:t>impact of</w:t>
      </w:r>
      <w:r>
        <w:rPr>
          <w:lang w:eastAsia="en-US"/>
        </w:rPr>
        <w:t xml:space="preserve"> proposals to </w:t>
      </w:r>
      <w:r>
        <w:rPr>
          <w:lang w:eastAsia="en-US"/>
        </w:rPr>
        <w:t xml:space="preserve">retrospectively </w:t>
      </w:r>
      <w:r>
        <w:rPr>
          <w:lang w:eastAsia="en-US"/>
        </w:rPr>
        <w:t xml:space="preserve">cap ground rents </w:t>
      </w:r>
      <w:r>
        <w:rPr>
          <w:lang w:eastAsia="en-US"/>
        </w:rPr>
        <w:t>at £250 and transition to a peppercorn after 40 years</w:t>
      </w:r>
      <w:r>
        <w:rPr>
          <w:lang w:eastAsia="en-US"/>
        </w:rPr>
        <w:t xml:space="preserve"> without compensation to</w:t>
      </w:r>
      <w:r>
        <w:rPr>
          <w:lang w:eastAsia="en-US"/>
        </w:rPr>
        <w:t xml:space="preserve"> investors</w:t>
      </w:r>
      <w:r>
        <w:rPr>
          <w:lang w:eastAsia="en-US"/>
        </w:rPr>
        <w:t xml:space="preserve">. </w:t>
      </w:r>
    </w:p>
    <w:p w:rsidR="005D554C" w:rsidP="009077D8">
      <w:pPr>
        <w:pStyle w:val="ListParagraph"/>
        <w:ind w:left="360"/>
        <w:jc w:val="both"/>
        <w:rPr>
          <w:lang w:eastAsia="en-US"/>
        </w:rPr>
      </w:pPr>
    </w:p>
    <w:p w:rsidR="005D554C" w:rsidP="001A0C01">
      <w:pPr>
        <w:pStyle w:val="ListParagraph"/>
        <w:numPr>
          <w:ilvl w:val="0"/>
          <w:numId w:val="32"/>
        </w:numPr>
        <w:jc w:val="both"/>
        <w:rPr>
          <w:lang w:eastAsia="en-US"/>
        </w:rPr>
      </w:pPr>
      <w:r>
        <w:rPr>
          <w:lang w:eastAsia="en-US"/>
        </w:rPr>
        <w:t>We want to ensure that the pre-legislative scrutiny process</w:t>
      </w:r>
      <w:r>
        <w:rPr>
          <w:lang w:eastAsia="en-US"/>
        </w:rPr>
        <w:t xml:space="preserve"> gives</w:t>
      </w:r>
      <w:r>
        <w:rPr>
          <w:lang w:eastAsia="en-US"/>
        </w:rPr>
        <w:t xml:space="preserve"> attention to the significant concerns </w:t>
      </w:r>
      <w:r>
        <w:rPr>
          <w:lang w:eastAsia="en-US"/>
        </w:rPr>
        <w:t xml:space="preserve">that have been raised by long-term savings providers and investors and we would be happy to give oral evidence as part of the Committee’s further scrutiny of the draft legislation. </w:t>
      </w:r>
      <w:r>
        <w:rPr>
          <w:lang w:eastAsia="en-US"/>
        </w:rPr>
        <w:t xml:space="preserve">It is also disappointing that we have not yet seen the government publish </w:t>
      </w:r>
      <w:r>
        <w:rPr>
          <w:lang w:eastAsia="en-US"/>
        </w:rPr>
        <w:t>its</w:t>
      </w:r>
      <w:r>
        <w:rPr>
          <w:lang w:eastAsia="en-US"/>
        </w:rPr>
        <w:t xml:space="preserve"> impact assessment so that this could have been fully considered as part of </w:t>
      </w:r>
      <w:r>
        <w:rPr>
          <w:lang w:eastAsia="en-US"/>
        </w:rPr>
        <w:t xml:space="preserve">the Committee’s call for written evidence. </w:t>
      </w:r>
    </w:p>
    <w:p w:rsidR="005D554C" w:rsidP="009077D8">
      <w:pPr>
        <w:pStyle w:val="ListParagraph"/>
        <w:rPr>
          <w:lang w:eastAsia="en-US"/>
        </w:rPr>
      </w:pPr>
    </w:p>
    <w:p w:rsidR="005D554C" w:rsidP="00DF4FA9">
      <w:pPr>
        <w:pStyle w:val="ListParagraph"/>
        <w:numPr>
          <w:ilvl w:val="0"/>
          <w:numId w:val="32"/>
        </w:numPr>
        <w:jc w:val="both"/>
        <w:rPr>
          <w:lang w:eastAsia="en-US"/>
        </w:rPr>
      </w:pPr>
      <w:r>
        <w:rPr>
          <w:lang w:eastAsia="en-US"/>
        </w:rPr>
        <w:t xml:space="preserve">ABI members do not support </w:t>
      </w:r>
      <w:r>
        <w:rPr>
          <w:lang w:eastAsia="en-US"/>
        </w:rPr>
        <w:t>the</w:t>
      </w:r>
      <w:r>
        <w:rPr>
          <w:lang w:eastAsia="en-US"/>
        </w:rPr>
        <w:t xml:space="preserve"> </w:t>
      </w:r>
      <w:r>
        <w:rPr>
          <w:lang w:eastAsia="en-US"/>
        </w:rPr>
        <w:t>‘</w:t>
      </w:r>
      <w:r>
        <w:rPr>
          <w:lang w:eastAsia="en-US"/>
        </w:rPr>
        <w:t>egregious</w:t>
      </w:r>
      <w:r>
        <w:rPr>
          <w:lang w:eastAsia="en-US"/>
        </w:rPr>
        <w:t>’</w:t>
      </w:r>
      <w:r>
        <w:rPr>
          <w:lang w:eastAsia="en-US"/>
        </w:rPr>
        <w:t xml:space="preserve"> ground rent increases that some leaseholders have experienced. </w:t>
      </w:r>
      <w:r>
        <w:rPr>
          <w:lang w:eastAsia="en-US"/>
        </w:rPr>
        <w:t>However, w</w:t>
      </w:r>
      <w:r>
        <w:rPr>
          <w:lang w:eastAsia="en-US"/>
        </w:rPr>
        <w:t xml:space="preserve">e are very concerned that the government’s proposals to change existing contracts and retrospectively </w:t>
      </w:r>
      <w:r>
        <w:rPr>
          <w:lang w:eastAsia="en-US"/>
        </w:rPr>
        <w:t>cap ground rents is a bad out</w:t>
      </w:r>
      <w:r>
        <w:rPr>
          <w:lang w:eastAsia="en-US"/>
        </w:rPr>
        <w:t>c</w:t>
      </w:r>
      <w:r>
        <w:rPr>
          <w:lang w:eastAsia="en-US"/>
        </w:rPr>
        <w:t xml:space="preserve">ome for UK investability, investor confidence and the UK’s long-term savings sector. </w:t>
      </w:r>
      <w:r>
        <w:rPr>
          <w:lang w:eastAsia="en-US"/>
        </w:rPr>
        <w:t xml:space="preserve">Investors need stability and confidence in the legal and regulatory environment in which they </w:t>
      </w:r>
      <w:r>
        <w:rPr>
          <w:lang w:eastAsia="en-US"/>
        </w:rPr>
        <w:t>invest,</w:t>
      </w:r>
      <w:r>
        <w:rPr>
          <w:lang w:eastAsia="en-US"/>
        </w:rPr>
        <w:t xml:space="preserve"> and this decision will impact confidence and </w:t>
      </w:r>
      <w:r>
        <w:rPr>
          <w:lang w:eastAsia="en-US"/>
        </w:rPr>
        <w:t xml:space="preserve">disrupt the market. </w:t>
      </w:r>
    </w:p>
    <w:p w:rsidR="005D554C" w:rsidP="009077D8">
      <w:pPr>
        <w:pStyle w:val="ListParagraph"/>
        <w:rPr>
          <w:lang w:eastAsia="en-US"/>
        </w:rPr>
      </w:pPr>
    </w:p>
    <w:p w:rsidR="005D554C" w:rsidP="00DF4FA9">
      <w:pPr>
        <w:pStyle w:val="ListParagraph"/>
        <w:numPr>
          <w:ilvl w:val="0"/>
          <w:numId w:val="32"/>
        </w:numPr>
        <w:jc w:val="both"/>
        <w:rPr>
          <w:lang w:eastAsia="en-US"/>
        </w:rPr>
      </w:pPr>
      <w:r>
        <w:rPr>
          <w:lang w:eastAsia="en-US"/>
        </w:rPr>
        <w:t xml:space="preserve">The ABI’s long-term savings members are major investors in the UK economy, including in residential property. Some manage pension funds that have invested in leasehold properties or </w:t>
      </w:r>
      <w:r>
        <w:rPr>
          <w:lang w:eastAsia="en-US"/>
        </w:rPr>
        <w:t>lend</w:t>
      </w:r>
      <w:r>
        <w:rPr>
          <w:lang w:eastAsia="en-US"/>
        </w:rPr>
        <w:t xml:space="preserve"> to freeh</w:t>
      </w:r>
      <w:r>
        <w:rPr>
          <w:lang w:eastAsia="en-US"/>
        </w:rPr>
        <w:t>olders</w:t>
      </w:r>
      <w:r>
        <w:rPr>
          <w:lang w:eastAsia="en-US"/>
        </w:rPr>
        <w:t xml:space="preserve"> as an asset with predictable cash flows that can help to support annuities</w:t>
      </w:r>
      <w:r>
        <w:rPr>
          <w:lang w:eastAsia="en-US"/>
        </w:rPr>
        <w:t>. Our members demand high professional standar</w:t>
      </w:r>
      <w:r>
        <w:rPr>
          <w:lang w:eastAsia="en-US"/>
        </w:rPr>
        <w:t>ds</w:t>
      </w:r>
      <w:r>
        <w:rPr>
          <w:lang w:eastAsia="en-US"/>
        </w:rPr>
        <w:t xml:space="preserve"> and integrity for the freeholders to which they lend </w:t>
      </w:r>
      <w:r>
        <w:rPr>
          <w:lang w:eastAsia="en-US"/>
        </w:rPr>
        <w:t xml:space="preserve">and are not responsible for the extreme cases of ground rent increases which some </w:t>
      </w:r>
      <w:r>
        <w:rPr>
          <w:lang w:eastAsia="en-US"/>
        </w:rPr>
        <w:t>leaseholders</w:t>
      </w:r>
      <w:r>
        <w:rPr>
          <w:lang w:eastAsia="en-US"/>
        </w:rPr>
        <w:t xml:space="preserve"> have faced. </w:t>
      </w:r>
    </w:p>
    <w:p w:rsidR="005D554C" w:rsidP="009077D8">
      <w:pPr>
        <w:pStyle w:val="ListParagraph"/>
        <w:rPr>
          <w:lang w:eastAsia="en-US"/>
        </w:rPr>
      </w:pPr>
    </w:p>
    <w:p w:rsidR="005D554C" w:rsidP="00DF4FA9">
      <w:pPr>
        <w:pStyle w:val="ListParagraph"/>
        <w:numPr>
          <w:ilvl w:val="0"/>
          <w:numId w:val="32"/>
        </w:numPr>
        <w:jc w:val="both"/>
        <w:rPr>
          <w:lang w:eastAsia="en-US"/>
        </w:rPr>
      </w:pPr>
      <w:r>
        <w:rPr>
          <w:lang w:eastAsia="en-US"/>
        </w:rPr>
        <w:t>While we understand the government’s</w:t>
      </w:r>
      <w:r>
        <w:rPr>
          <w:lang w:eastAsia="en-US"/>
        </w:rPr>
        <w:t xml:space="preserve"> policy</w:t>
      </w:r>
      <w:r>
        <w:rPr>
          <w:lang w:eastAsia="en-US"/>
        </w:rPr>
        <w:t xml:space="preserve"> ambition</w:t>
      </w:r>
      <w:r>
        <w:rPr>
          <w:lang w:eastAsia="en-US"/>
        </w:rPr>
        <w:t>,</w:t>
      </w:r>
      <w:r>
        <w:rPr>
          <w:lang w:eastAsia="en-US"/>
        </w:rPr>
        <w:t xml:space="preserve"> and clarity has now been provided with the </w:t>
      </w:r>
      <w:r>
        <w:rPr>
          <w:lang w:eastAsia="en-US"/>
        </w:rPr>
        <w:t>current proposals, the</w:t>
      </w:r>
      <w:r>
        <w:rPr>
          <w:lang w:eastAsia="en-US"/>
        </w:rPr>
        <w:t xml:space="preserve"> blanket</w:t>
      </w:r>
      <w:r>
        <w:rPr>
          <w:lang w:eastAsia="en-US"/>
        </w:rPr>
        <w:t xml:space="preserve"> retrospective cap at £250 without linking to inflation </w:t>
      </w:r>
      <w:r>
        <w:rPr>
          <w:lang w:eastAsia="en-US"/>
        </w:rPr>
        <w:t xml:space="preserve">or </w:t>
      </w:r>
      <w:r>
        <w:rPr>
          <w:lang w:eastAsia="en-US"/>
        </w:rPr>
        <w:t xml:space="preserve">providing </w:t>
      </w:r>
      <w:r>
        <w:rPr>
          <w:lang w:eastAsia="en-US"/>
        </w:rPr>
        <w:t xml:space="preserve">compensation for investors will have a negative impact </w:t>
      </w:r>
      <w:r>
        <w:rPr>
          <w:lang w:eastAsia="en-US"/>
        </w:rPr>
        <w:t xml:space="preserve">for our sector and the wider UK economy. Now the proposals have been published, the Committee and the government must recognise that any </w:t>
      </w:r>
      <w:r>
        <w:rPr>
          <w:lang w:eastAsia="en-US"/>
        </w:rPr>
        <w:t xml:space="preserve">further substantial changes, in particular on the monetary cap or the 40 year transition period, risks </w:t>
      </w:r>
      <w:r>
        <w:rPr>
          <w:lang w:eastAsia="en-US"/>
        </w:rPr>
        <w:t xml:space="preserve">further harm to UK investability and </w:t>
      </w:r>
      <w:r>
        <w:rPr>
          <w:lang w:eastAsia="en-US"/>
        </w:rPr>
        <w:t>additional market di</w:t>
      </w:r>
      <w:r>
        <w:rPr>
          <w:lang w:eastAsia="en-US"/>
        </w:rPr>
        <w:t xml:space="preserve">sruption, undermining the government’s wider ambitions for economic growth. </w:t>
      </w:r>
    </w:p>
    <w:p w:rsidR="005D554C" w:rsidP="009077D8">
      <w:pPr>
        <w:pStyle w:val="ListParagraph"/>
        <w:rPr>
          <w:lang w:eastAsia="en-US"/>
        </w:rPr>
      </w:pPr>
    </w:p>
    <w:p w:rsidR="005D554C" w:rsidP="00DF4FA9">
      <w:pPr>
        <w:pStyle w:val="ListParagraph"/>
        <w:numPr>
          <w:ilvl w:val="0"/>
          <w:numId w:val="32"/>
        </w:numPr>
        <w:jc w:val="both"/>
        <w:rPr>
          <w:lang w:eastAsia="en-US"/>
        </w:rPr>
      </w:pPr>
      <w:r w:rsidRPr="001529CB">
        <w:rPr>
          <w:lang w:eastAsia="en-US"/>
        </w:rPr>
        <w:t>We want to work with Parliamentarians throughout the passage of the legislation to ensure that the views of the insurance and long-term savings industry are understood</w:t>
      </w:r>
      <w:r>
        <w:rPr>
          <w:lang w:eastAsia="en-US"/>
        </w:rPr>
        <w:t xml:space="preserve"> so that the negative impacts for the industry can be mitigated while achieving the government’s overall policy objectives of supporting leaseholders.</w:t>
      </w:r>
      <w:r w:rsidRPr="001529CB">
        <w:rPr>
          <w:lang w:eastAsia="en-US"/>
        </w:rPr>
        <w:t xml:space="preserve"> We look forward to discussing our views on the Bill in further detail with the Committee.</w:t>
      </w:r>
    </w:p>
    <w:p w:rsidR="005D554C" w:rsidP="006521B5">
      <w:pPr>
        <w:rPr>
          <w:lang w:eastAsia="en-US"/>
        </w:rPr>
      </w:pPr>
    </w:p>
    <w:p w:rsidR="005D554C" w:rsidRPr="00386DF4" w:rsidP="00386DF4">
      <w:pPr>
        <w:rPr>
          <w:b/>
          <w:bCs/>
          <w:lang w:eastAsia="en-US"/>
        </w:rPr>
      </w:pPr>
      <w:r>
        <w:rPr>
          <w:b/>
          <w:bCs/>
          <w:lang w:eastAsia="en-US"/>
        </w:rPr>
        <w:t xml:space="preserve">Ground rents </w:t>
      </w:r>
    </w:p>
    <w:p w:rsidR="005D554C" w:rsidP="0097194A">
      <w:pPr>
        <w:pStyle w:val="ListParagraph"/>
        <w:numPr>
          <w:ilvl w:val="0"/>
          <w:numId w:val="32"/>
        </w:numPr>
        <w:jc w:val="both"/>
        <w:rPr>
          <w:lang w:eastAsia="en-US"/>
        </w:rPr>
      </w:pPr>
      <w:r w:rsidRPr="00460919">
        <w:rPr>
          <w:lang w:eastAsia="en-US"/>
        </w:rPr>
        <w:t xml:space="preserve">We support proportionate leasehold reform but </w:t>
      </w:r>
      <w:r>
        <w:rPr>
          <w:lang w:eastAsia="en-US"/>
        </w:rPr>
        <w:t>insurers and</w:t>
      </w:r>
      <w:r w:rsidRPr="00460919">
        <w:rPr>
          <w:lang w:eastAsia="en-US"/>
        </w:rPr>
        <w:t xml:space="preserve"> pension </w:t>
      </w:r>
      <w:r>
        <w:rPr>
          <w:lang w:eastAsia="en-US"/>
        </w:rPr>
        <w:t>providers</w:t>
      </w:r>
      <w:r w:rsidRPr="00460919">
        <w:rPr>
          <w:lang w:eastAsia="en-US"/>
        </w:rPr>
        <w:t xml:space="preserve"> - like the rest of the financial services industry - require </w:t>
      </w:r>
      <w:r>
        <w:rPr>
          <w:lang w:eastAsia="en-US"/>
        </w:rPr>
        <w:t xml:space="preserve">a </w:t>
      </w:r>
      <w:r w:rsidRPr="00460919">
        <w:rPr>
          <w:lang w:eastAsia="en-US"/>
        </w:rPr>
        <w:t xml:space="preserve">predictable and stable rule of law if they are to have the confidence to invest. </w:t>
      </w:r>
    </w:p>
    <w:p w:rsidR="005D554C" w:rsidP="00386DF4">
      <w:pPr>
        <w:jc w:val="both"/>
        <w:rPr>
          <w:lang w:eastAsia="en-US"/>
        </w:rPr>
      </w:pPr>
    </w:p>
    <w:p w:rsidR="005D554C" w:rsidP="00B6241F">
      <w:pPr>
        <w:pStyle w:val="ListParagraph"/>
        <w:numPr>
          <w:ilvl w:val="0"/>
          <w:numId w:val="32"/>
        </w:numPr>
        <w:rPr>
          <w:lang w:eastAsia="en-US"/>
        </w:rPr>
      </w:pPr>
      <w:r w:rsidRPr="00460919">
        <w:rPr>
          <w:lang w:eastAsia="en-US"/>
        </w:rPr>
        <w:t xml:space="preserve">We are deeply concerned that retrospective changes to existing property rights set a troubling precedent and undermine confidence in contract certainty. It is likely to </w:t>
      </w:r>
      <w:r>
        <w:rPr>
          <w:lang w:eastAsia="en-US"/>
        </w:rPr>
        <w:t xml:space="preserve">substantially </w:t>
      </w:r>
      <w:r w:rsidRPr="00460919">
        <w:rPr>
          <w:lang w:eastAsia="en-US"/>
        </w:rPr>
        <w:t>raise the risk premium that investors attach to the UK and could weaken its appeal as a destination for global capital and the domestic market.</w:t>
      </w:r>
      <w:r>
        <w:rPr>
          <w:lang w:eastAsia="en-US"/>
        </w:rPr>
        <w:t xml:space="preserve"> </w:t>
      </w:r>
      <w:r w:rsidRPr="00460919">
        <w:rPr>
          <w:lang w:eastAsia="en-US"/>
        </w:rPr>
        <w:t xml:space="preserve"> </w:t>
      </w:r>
      <w:r>
        <w:rPr>
          <w:lang w:eastAsia="en-US"/>
        </w:rPr>
        <w:t>This retrospective change to existing contracts also follows other recent examples of</w:t>
      </w:r>
      <w:r>
        <w:rPr>
          <w:lang w:eastAsia="en-US"/>
        </w:rPr>
        <w:t xml:space="preserve"> retrospective </w:t>
      </w:r>
      <w:r>
        <w:rPr>
          <w:lang w:eastAsia="en-US"/>
        </w:rPr>
        <w:t>decisions</w:t>
      </w:r>
      <w:r>
        <w:rPr>
          <w:lang w:eastAsia="en-US"/>
        </w:rPr>
        <w:t xml:space="preserve"> such</w:t>
      </w:r>
      <w:r>
        <w:rPr>
          <w:lang w:eastAsia="en-US"/>
        </w:rPr>
        <w:t xml:space="preserve"> </w:t>
      </w:r>
      <w:r>
        <w:rPr>
          <w:lang w:eastAsia="en-US"/>
        </w:rPr>
        <w:t>as the change</w:t>
      </w:r>
      <w:r>
        <w:rPr>
          <w:lang w:eastAsia="en-US"/>
        </w:rPr>
        <w:t xml:space="preserve"> from</w:t>
      </w:r>
      <w:r>
        <w:rPr>
          <w:lang w:eastAsia="en-US"/>
        </w:rPr>
        <w:t xml:space="preserve"> RPI to CPI </w:t>
      </w:r>
      <w:r>
        <w:rPr>
          <w:lang w:eastAsia="en-US"/>
        </w:rPr>
        <w:t xml:space="preserve">on feed in tariffs </w:t>
      </w:r>
      <w:r>
        <w:rPr>
          <w:lang w:eastAsia="en-US"/>
        </w:rPr>
        <w:t xml:space="preserve">for </w:t>
      </w:r>
      <w:r>
        <w:fldChar w:fldCharType="begin"/>
      </w:r>
      <w:r>
        <w:instrText xml:space="preserve"> HYPERLINK "https://www.ft.com/content/59add26d-f1da-4dd4-ac3a-7f3f866a4e37" </w:instrText>
      </w:r>
      <w:r>
        <w:fldChar w:fldCharType="separate"/>
      </w:r>
      <w:r w:rsidRPr="008B728D">
        <w:rPr>
          <w:rStyle w:val="Hyperlink"/>
          <w:lang w:eastAsia="en-US"/>
        </w:rPr>
        <w:t>renewables obligations</w:t>
      </w:r>
      <w:r>
        <w:fldChar w:fldCharType="end"/>
      </w:r>
      <w:r>
        <w:rPr>
          <w:lang w:eastAsia="en-US"/>
        </w:rPr>
        <w:t xml:space="preserve"> which, taken together, </w:t>
      </w:r>
      <w:r>
        <w:rPr>
          <w:lang w:eastAsia="en-US"/>
        </w:rPr>
        <w:t xml:space="preserve">risks further harm to the confidence of both international </w:t>
      </w:r>
      <w:r>
        <w:rPr>
          <w:lang w:eastAsia="en-US"/>
        </w:rPr>
        <w:t>and domestic investors into the UK and adds to the risk premium.</w:t>
      </w:r>
      <w:r>
        <w:rPr>
          <w:lang w:eastAsia="en-US"/>
        </w:rPr>
        <w:t xml:space="preserve"> </w:t>
      </w:r>
    </w:p>
    <w:p w:rsidR="005D554C" w:rsidP="00505099">
      <w:pPr>
        <w:pStyle w:val="ListParagraph"/>
        <w:rPr>
          <w:lang w:eastAsia="en-US"/>
        </w:rPr>
      </w:pPr>
    </w:p>
    <w:p w:rsidR="005D554C" w:rsidP="00B6241F">
      <w:pPr>
        <w:pStyle w:val="ListParagraph"/>
        <w:numPr>
          <w:ilvl w:val="0"/>
          <w:numId w:val="32"/>
        </w:numPr>
        <w:rPr>
          <w:lang w:eastAsia="en-US"/>
        </w:rPr>
      </w:pPr>
      <w:r w:rsidRPr="00B6241F">
        <w:rPr>
          <w:lang w:eastAsia="en-US"/>
        </w:rPr>
        <w:t>The retrospective cap on ground rents will have unintended consequences that reach beyond the issue at hand</w:t>
      </w:r>
      <w:r>
        <w:rPr>
          <w:lang w:eastAsia="en-US"/>
        </w:rPr>
        <w:t xml:space="preserve"> or just those invested in these assets</w:t>
      </w:r>
      <w:r w:rsidRPr="00B6241F">
        <w:rPr>
          <w:lang w:eastAsia="en-US"/>
        </w:rPr>
        <w:t xml:space="preserve">. The cap risks undermining investor confidence in UK assets, at a time when significant progress has been made in attracting inward investment and supporting long-term growth through initiatives such as the Mansion House Accord and the government’s wider package of pension reforms. </w:t>
      </w:r>
    </w:p>
    <w:p w:rsidR="005D554C" w:rsidP="00D46A84">
      <w:pPr>
        <w:pStyle w:val="ListParagraph"/>
        <w:ind w:left="360"/>
        <w:rPr>
          <w:lang w:eastAsia="en-US"/>
        </w:rPr>
      </w:pPr>
    </w:p>
    <w:p w:rsidR="005D554C" w:rsidRPr="00B6241F" w:rsidP="00614F23">
      <w:pPr>
        <w:pStyle w:val="ListParagraph"/>
        <w:numPr>
          <w:ilvl w:val="0"/>
          <w:numId w:val="32"/>
        </w:numPr>
        <w:rPr>
          <w:lang w:eastAsia="en-US"/>
        </w:rPr>
      </w:pPr>
      <w:r w:rsidRPr="00614F23">
        <w:rPr>
          <w:lang w:eastAsia="en-US"/>
        </w:rPr>
        <w:t>The proposals will risk confidence in property rights and existing contracts, substantially increasing the risk premium that investors attach to the UK and reducing the long-term capital available to support growth. Reform can and should be achieved in a way that protects leaseholders most affected while maintaining confidence in UK investability.</w:t>
      </w:r>
    </w:p>
    <w:p w:rsidR="005D554C" w:rsidP="009077D8">
      <w:pPr>
        <w:pStyle w:val="ListParagraph"/>
        <w:ind w:left="360"/>
        <w:jc w:val="both"/>
        <w:rPr>
          <w:lang w:eastAsia="en-US"/>
        </w:rPr>
      </w:pPr>
    </w:p>
    <w:p w:rsidR="005D554C" w:rsidP="00C71619">
      <w:pPr>
        <w:pStyle w:val="ListParagraph"/>
        <w:numPr>
          <w:ilvl w:val="0"/>
          <w:numId w:val="32"/>
        </w:numPr>
        <w:jc w:val="both"/>
        <w:rPr>
          <w:lang w:eastAsia="en-US"/>
        </w:rPr>
      </w:pPr>
      <w:r>
        <w:rPr>
          <w:lang w:eastAsia="en-US"/>
        </w:rPr>
        <w:t>The current proposals for a cap on ground rents</w:t>
      </w:r>
      <w:r>
        <w:rPr>
          <w:lang w:eastAsia="en-US"/>
        </w:rPr>
        <w:t xml:space="preserve"> without linking to inflation or providing compensation for affected firms</w:t>
      </w:r>
      <w:r>
        <w:rPr>
          <w:lang w:eastAsia="en-US"/>
        </w:rPr>
        <w:t xml:space="preserve"> </w:t>
      </w:r>
      <w:r>
        <w:rPr>
          <w:lang w:eastAsia="en-US"/>
        </w:rPr>
        <w:t>a</w:t>
      </w:r>
      <w:r>
        <w:rPr>
          <w:lang w:eastAsia="en-US"/>
        </w:rPr>
        <w:t>re a bad outcome for attracting investment into the UK</w:t>
      </w:r>
      <w:r>
        <w:rPr>
          <w:lang w:eastAsia="en-US"/>
        </w:rPr>
        <w:t>.</w:t>
      </w:r>
      <w:r>
        <w:rPr>
          <w:lang w:eastAsia="en-US"/>
        </w:rPr>
        <w:t xml:space="preserve"> </w:t>
      </w:r>
      <w:r>
        <w:rPr>
          <w:lang w:eastAsia="en-US"/>
        </w:rPr>
        <w:t>During the previous consultation on ground rent proposals</w:t>
      </w:r>
      <w:r>
        <w:fldChar w:fldCharType="begin"/>
      </w:r>
      <w:r>
        <w:instrText xml:space="preserve"> HYPERLINK "https://todaysconveyancer.co.uk/scrapping-leasehold-could-cost-31m/" </w:instrText>
      </w:r>
      <w:r>
        <w:fldChar w:fldCharType="separate"/>
      </w:r>
      <w:r>
        <w:rPr>
          <w:rStyle w:val="Hyperlink"/>
          <w:lang w:eastAsia="en-US"/>
        </w:rPr>
        <w:t xml:space="preserve"> </w:t>
      </w:r>
      <w:r w:rsidRPr="005E6347">
        <w:rPr>
          <w:rStyle w:val="Hyperlink"/>
          <w:lang w:eastAsia="en-US"/>
        </w:rPr>
        <w:t xml:space="preserve">various </w:t>
      </w:r>
      <w:r w:rsidRPr="005E6347">
        <w:rPr>
          <w:rStyle w:val="Hyperlink"/>
          <w:lang w:eastAsia="en-US"/>
        </w:rPr>
        <w:t>analyses</w:t>
      </w:r>
      <w:r>
        <w:fldChar w:fldCharType="end"/>
      </w:r>
      <w:r>
        <w:rPr>
          <w:lang w:eastAsia="en-US"/>
        </w:rPr>
        <w:t xml:space="preserve"> </w:t>
      </w:r>
      <w:r>
        <w:rPr>
          <w:lang w:eastAsia="en-US"/>
        </w:rPr>
        <w:t>estimate</w:t>
      </w:r>
      <w:r>
        <w:rPr>
          <w:lang w:eastAsia="en-US"/>
        </w:rPr>
        <w:t>d</w:t>
      </w:r>
      <w:r>
        <w:rPr>
          <w:lang w:eastAsia="en-US"/>
        </w:rPr>
        <w:t xml:space="preserve"> an impact of £</w:t>
      </w:r>
      <w:r>
        <w:rPr>
          <w:lang w:eastAsia="en-US"/>
        </w:rPr>
        <w:t>15</w:t>
      </w:r>
      <w:r>
        <w:rPr>
          <w:lang w:eastAsia="en-US"/>
        </w:rPr>
        <w:t xml:space="preserve">-40billion for impacted investors as a result of the proposals </w:t>
      </w:r>
      <w:r>
        <w:rPr>
          <w:lang w:eastAsia="en-US"/>
        </w:rPr>
        <w:t xml:space="preserve">and decision not to provide compensation. </w:t>
      </w:r>
      <w:r>
        <w:rPr>
          <w:lang w:eastAsia="en-US"/>
        </w:rPr>
        <w:t xml:space="preserve">The </w:t>
      </w:r>
      <w:r>
        <w:rPr>
          <w:lang w:eastAsia="en-US"/>
        </w:rPr>
        <w:t xml:space="preserve">Government’s own policy paper estimates an impact of £10-12.7billion. </w:t>
      </w:r>
      <w:r>
        <w:rPr>
          <w:lang w:eastAsia="en-US"/>
        </w:rPr>
        <w:t xml:space="preserve">We encourage </w:t>
      </w:r>
      <w:r>
        <w:rPr>
          <w:lang w:eastAsia="en-US"/>
        </w:rPr>
        <w:t xml:space="preserve">the Committee to scrutinise how the government have reached their current policy position and </w:t>
      </w:r>
      <w:r>
        <w:rPr>
          <w:lang w:eastAsia="en-US"/>
        </w:rPr>
        <w:t>what their plans are to mitigate the impacts for affected firms</w:t>
      </w:r>
      <w:r>
        <w:rPr>
          <w:lang w:eastAsia="en-US"/>
        </w:rPr>
        <w:t>, freeholders</w:t>
      </w:r>
      <w:r>
        <w:rPr>
          <w:lang w:eastAsia="en-US"/>
        </w:rPr>
        <w:t xml:space="preserve"> and o</w:t>
      </w:r>
      <w:r>
        <w:rPr>
          <w:lang w:eastAsia="en-US"/>
        </w:rPr>
        <w:t xml:space="preserve">n </w:t>
      </w:r>
      <w:r>
        <w:rPr>
          <w:lang w:eastAsia="en-US"/>
        </w:rPr>
        <w:t>the wider economy</w:t>
      </w:r>
      <w:r>
        <w:rPr>
          <w:lang w:eastAsia="en-US"/>
        </w:rPr>
        <w:t xml:space="preserve">. </w:t>
      </w:r>
    </w:p>
    <w:p w:rsidR="005D554C" w:rsidP="002C129C">
      <w:pPr>
        <w:jc w:val="both"/>
        <w:rPr>
          <w:lang w:eastAsia="en-US"/>
        </w:rPr>
      </w:pPr>
    </w:p>
    <w:p w:rsidR="005D554C" w:rsidP="002C129C">
      <w:pPr>
        <w:pStyle w:val="ListParagraph"/>
        <w:numPr>
          <w:ilvl w:val="0"/>
          <w:numId w:val="32"/>
        </w:numPr>
        <w:rPr>
          <w:lang w:eastAsia="en-US"/>
        </w:rPr>
      </w:pPr>
      <w:r w:rsidRPr="5F15AD64">
        <w:rPr>
          <w:lang w:eastAsia="en-US"/>
        </w:rPr>
        <w:t>We fully support the government’s mission on economic growth, and our sector has a key role to play in supporting growth and investment across the UK. ABI members have committed to investing £100billion in the UK economy through reforms to the Solvency UK regulatory framework, are signatories to the Mansion House Compact and Mansion House Accord with commitments to invest in the UK, as well as being active members of the Sterling 20 group established by the Chancellor of the Exchequer. Ensuring regulatory a</w:t>
      </w:r>
      <w:r w:rsidRPr="5F15AD64">
        <w:rPr>
          <w:lang w:eastAsia="en-US"/>
        </w:rPr>
        <w:t xml:space="preserve">nd legal certainty is vital to </w:t>
      </w:r>
      <w:r>
        <w:rPr>
          <w:lang w:eastAsia="en-US"/>
        </w:rPr>
        <w:t>the UK’s</w:t>
      </w:r>
      <w:r w:rsidRPr="5F15AD64">
        <w:rPr>
          <w:lang w:eastAsia="en-US"/>
        </w:rPr>
        <w:t xml:space="preserve"> international competitiveness and for </w:t>
      </w:r>
      <w:r>
        <w:rPr>
          <w:lang w:eastAsia="en-US"/>
        </w:rPr>
        <w:t>ABI</w:t>
      </w:r>
      <w:r w:rsidRPr="5F15AD64">
        <w:rPr>
          <w:lang w:eastAsia="en-US"/>
        </w:rPr>
        <w:t xml:space="preserve"> members to have confidence to invest. </w:t>
      </w:r>
    </w:p>
    <w:p w:rsidR="005D554C" w:rsidP="00252D00">
      <w:pPr>
        <w:rPr>
          <w:lang w:eastAsia="en-US"/>
        </w:rPr>
      </w:pPr>
    </w:p>
    <w:p w:rsidR="005D554C" w:rsidRPr="0062463A" w:rsidP="00C71619">
      <w:pPr>
        <w:pStyle w:val="ListParagraph"/>
        <w:numPr>
          <w:ilvl w:val="0"/>
          <w:numId w:val="32"/>
        </w:numPr>
        <w:jc w:val="both"/>
        <w:rPr>
          <w:lang w:eastAsia="en-US"/>
        </w:rPr>
      </w:pPr>
      <w:r>
        <w:rPr>
          <w:lang w:eastAsia="en-US"/>
        </w:rPr>
        <w:t>While we have</w:t>
      </w:r>
      <w:r>
        <w:rPr>
          <w:lang w:eastAsia="en-US"/>
        </w:rPr>
        <w:t xml:space="preserve"> </w:t>
      </w:r>
      <w:r>
        <w:rPr>
          <w:lang w:eastAsia="en-US"/>
        </w:rPr>
        <w:t>significant</w:t>
      </w:r>
      <w:r>
        <w:rPr>
          <w:lang w:eastAsia="en-US"/>
        </w:rPr>
        <w:t xml:space="preserve"> concerns about the</w:t>
      </w:r>
      <w:r>
        <w:rPr>
          <w:lang w:eastAsia="en-US"/>
        </w:rPr>
        <w:t xml:space="preserve"> current</w:t>
      </w:r>
      <w:r>
        <w:rPr>
          <w:lang w:eastAsia="en-US"/>
        </w:rPr>
        <w:t xml:space="preserve"> proposals, i</w:t>
      </w:r>
      <w:r>
        <w:rPr>
          <w:lang w:eastAsia="en-US"/>
        </w:rPr>
        <w:t xml:space="preserve">t is important for the Committee </w:t>
      </w:r>
      <w:r>
        <w:rPr>
          <w:lang w:eastAsia="en-US"/>
        </w:rPr>
        <w:t xml:space="preserve">and the government </w:t>
      </w:r>
      <w:r>
        <w:rPr>
          <w:lang w:eastAsia="en-US"/>
        </w:rPr>
        <w:t xml:space="preserve">to </w:t>
      </w:r>
      <w:r>
        <w:rPr>
          <w:lang w:eastAsia="en-US"/>
        </w:rPr>
        <w:t xml:space="preserve">understand </w:t>
      </w:r>
      <w:r>
        <w:rPr>
          <w:lang w:eastAsia="en-US"/>
        </w:rPr>
        <w:t xml:space="preserve">that any </w:t>
      </w:r>
      <w:r>
        <w:rPr>
          <w:lang w:eastAsia="en-US"/>
        </w:rPr>
        <w:t xml:space="preserve">further changes to the proposals, such as reducing the </w:t>
      </w:r>
      <w:r>
        <w:rPr>
          <w:lang w:eastAsia="en-US"/>
        </w:rPr>
        <w:t>monetary cap or the transition period, would risk further damage to investor confidenc</w:t>
      </w:r>
      <w:r>
        <w:rPr>
          <w:lang w:eastAsia="en-US"/>
        </w:rPr>
        <w:t>e, disrupt the market</w:t>
      </w:r>
      <w:r>
        <w:rPr>
          <w:lang w:eastAsia="en-US"/>
        </w:rPr>
        <w:t xml:space="preserve"> an</w:t>
      </w:r>
      <w:r>
        <w:rPr>
          <w:lang w:eastAsia="en-US"/>
        </w:rPr>
        <w:t xml:space="preserve">d undermine the </w:t>
      </w:r>
      <w:r w:rsidRPr="00F65451">
        <w:rPr>
          <w:lang w:eastAsia="en-US"/>
        </w:rPr>
        <w:t>UK’s focus on economic growth</w:t>
      </w:r>
      <w:r w:rsidRPr="0062463A">
        <w:rPr>
          <w:lang w:eastAsia="en-US"/>
        </w:rPr>
        <w:t xml:space="preserve">. </w:t>
      </w:r>
      <w:r w:rsidRPr="0062463A">
        <w:rPr>
          <w:lang w:eastAsia="en-US"/>
        </w:rPr>
        <w:t>The announcement of the plans had a negative impact for the market and the risk of substantive changes through the legislative process, particularly on the £250 cap and 40 y</w:t>
      </w:r>
      <w:r w:rsidRPr="0062463A">
        <w:rPr>
          <w:lang w:eastAsia="en-US"/>
        </w:rPr>
        <w:t xml:space="preserve">ear transition, risks further uncertainty and </w:t>
      </w:r>
      <w:r w:rsidRPr="0062463A">
        <w:rPr>
          <w:lang w:eastAsia="en-US"/>
        </w:rPr>
        <w:t xml:space="preserve">disruption. </w:t>
      </w:r>
    </w:p>
    <w:p w:rsidR="005D554C" w:rsidP="0062463A">
      <w:pPr>
        <w:jc w:val="both"/>
        <w:rPr>
          <w:lang w:eastAsia="en-US"/>
        </w:rPr>
      </w:pPr>
    </w:p>
    <w:p w:rsidR="005D554C" w:rsidP="00057581">
      <w:pPr>
        <w:pStyle w:val="ListParagraph"/>
        <w:numPr>
          <w:ilvl w:val="0"/>
          <w:numId w:val="32"/>
        </w:numPr>
        <w:jc w:val="both"/>
        <w:rPr>
          <w:lang w:eastAsia="en-US"/>
        </w:rPr>
      </w:pPr>
      <w:r>
        <w:rPr>
          <w:lang w:eastAsia="en-US"/>
        </w:rPr>
        <w:t xml:space="preserve">The </w:t>
      </w:r>
      <w:r>
        <w:rPr>
          <w:lang w:eastAsia="en-US"/>
        </w:rPr>
        <w:t xml:space="preserve">£250 </w:t>
      </w:r>
      <w:r>
        <w:rPr>
          <w:lang w:eastAsia="en-US"/>
        </w:rPr>
        <w:t>cap</w:t>
      </w:r>
      <w:r>
        <w:rPr>
          <w:lang w:eastAsia="en-US"/>
        </w:rPr>
        <w:t xml:space="preserve"> without linking to inflation </w:t>
      </w:r>
      <w:r>
        <w:rPr>
          <w:lang w:eastAsia="en-US"/>
        </w:rPr>
        <w:t xml:space="preserve">means that assets will not retain </w:t>
      </w:r>
      <w:r>
        <w:rPr>
          <w:lang w:eastAsia="en-US"/>
        </w:rPr>
        <w:t xml:space="preserve">their real </w:t>
      </w:r>
      <w:r>
        <w:rPr>
          <w:lang w:eastAsia="en-US"/>
        </w:rPr>
        <w:t>economic value</w:t>
      </w:r>
      <w:r>
        <w:rPr>
          <w:lang w:eastAsia="en-US"/>
        </w:rPr>
        <w:t xml:space="preserve"> over the transition period</w:t>
      </w:r>
      <w:r>
        <w:rPr>
          <w:lang w:eastAsia="en-US"/>
        </w:rPr>
        <w:t xml:space="preserve">. </w:t>
      </w:r>
      <w:r>
        <w:rPr>
          <w:lang w:eastAsia="en-US"/>
        </w:rPr>
        <w:t xml:space="preserve">The full impact assessment is yet to be published, but this will materially affect the financial impact to investors. </w:t>
      </w:r>
    </w:p>
    <w:p w:rsidR="005D554C" w:rsidP="0019404B">
      <w:pPr>
        <w:pStyle w:val="ListParagraph"/>
        <w:rPr>
          <w:lang w:eastAsia="en-US"/>
        </w:rPr>
      </w:pPr>
    </w:p>
    <w:p w:rsidR="005D554C" w:rsidP="0092784B">
      <w:pPr>
        <w:pStyle w:val="ListParagraph"/>
        <w:numPr>
          <w:ilvl w:val="0"/>
          <w:numId w:val="32"/>
        </w:numPr>
        <w:rPr>
          <w:lang w:eastAsia="en-US"/>
        </w:rPr>
      </w:pPr>
      <w:r>
        <w:rPr>
          <w:lang w:eastAsia="en-US"/>
        </w:rPr>
        <w:t>Capping ground rents</w:t>
      </w:r>
      <w:r>
        <w:rPr>
          <w:lang w:eastAsia="en-US"/>
        </w:rPr>
        <w:t>, without inflation linking,</w:t>
      </w:r>
      <w:r>
        <w:rPr>
          <w:lang w:eastAsia="en-US"/>
        </w:rPr>
        <w:t xml:space="preserve"> and ultimately moving to a peppercorn</w:t>
      </w:r>
      <w:r w:rsidRPr="0019404B">
        <w:rPr>
          <w:lang w:eastAsia="en-US"/>
        </w:rPr>
        <w:t xml:space="preserve"> could</w:t>
      </w:r>
      <w:r>
        <w:rPr>
          <w:lang w:eastAsia="en-US"/>
        </w:rPr>
        <w:t xml:space="preserve"> also</w:t>
      </w:r>
      <w:r w:rsidRPr="0019404B">
        <w:rPr>
          <w:lang w:eastAsia="en-US"/>
        </w:rPr>
        <w:t xml:space="preserve"> lead to freeholder insolvencies and the effective </w:t>
      </w:r>
      <w:r>
        <w:rPr>
          <w:lang w:eastAsia="en-US"/>
        </w:rPr>
        <w:t xml:space="preserve">appropriation of </w:t>
      </w:r>
      <w:r>
        <w:rPr>
          <w:lang w:eastAsia="en-US"/>
        </w:rPr>
        <w:t>tens of billions worth</w:t>
      </w:r>
      <w:r w:rsidRPr="0019404B">
        <w:rPr>
          <w:lang w:eastAsia="en-US"/>
        </w:rPr>
        <w:t xml:space="preserve"> of assets from UK insurance companies, pension schemes and other long-term investors</w:t>
      </w:r>
      <w:r>
        <w:rPr>
          <w:lang w:eastAsia="en-US"/>
        </w:rPr>
        <w:t xml:space="preserve"> without compensation.</w:t>
      </w:r>
      <w:r>
        <w:rPr>
          <w:lang w:eastAsia="en-US"/>
        </w:rPr>
        <w:t xml:space="preserve"> This is surprising given the government itself has, on a number of occasions</w:t>
      </w:r>
      <w:r>
        <w:rPr>
          <w:lang w:eastAsia="en-US"/>
        </w:rPr>
        <w:t xml:space="preserve"> in the past</w:t>
      </w:r>
      <w:r>
        <w:rPr>
          <w:lang w:eastAsia="en-US"/>
        </w:rPr>
        <w:t xml:space="preserve">, said that </w:t>
      </w:r>
      <w:r>
        <w:rPr>
          <w:lang w:eastAsia="en-US"/>
        </w:rPr>
        <w:t>if</w:t>
      </w:r>
      <w:r>
        <w:rPr>
          <w:lang w:eastAsia="en-US"/>
        </w:rPr>
        <w:t xml:space="preserve"> it </w:t>
      </w:r>
      <w:r>
        <w:rPr>
          <w:lang w:eastAsia="en-US"/>
        </w:rPr>
        <w:t xml:space="preserve">interfered with contractual (property) rights on ground rents then it </w:t>
      </w:r>
      <w:r>
        <w:fldChar w:fldCharType="begin"/>
      </w:r>
      <w:r>
        <w:instrText xml:space="preserve"> HYPERLINK "https://britishinsurers.sharepoint.com/sites/PublicAffairsTeam/Shared%20Documents/Ground%20Rents/1.%09https:/data.parliament.uk/writtenevidence/committeeevidence.svc/evidencedocument/housing-communities-and-local-government-committee/leasehold-reform/oral/96233.html" </w:instrText>
      </w:r>
      <w:r>
        <w:fldChar w:fldCharType="separate"/>
      </w:r>
      <w:r w:rsidRPr="0020447F">
        <w:rPr>
          <w:rStyle w:val="Hyperlink"/>
          <w:lang w:eastAsia="en-US"/>
        </w:rPr>
        <w:t>would need to compensate those affected</w:t>
      </w:r>
      <w:r>
        <w:fldChar w:fldCharType="end"/>
      </w:r>
      <w:r>
        <w:rPr>
          <w:lang w:eastAsia="en-US"/>
        </w:rPr>
        <w:t xml:space="preserve">. </w:t>
      </w:r>
      <w:r>
        <w:rPr>
          <w:lang w:eastAsia="en-US"/>
        </w:rPr>
        <w:t>The impact for investors in ground rent funds is substantial</w:t>
      </w:r>
      <w:r>
        <w:rPr>
          <w:lang w:eastAsia="en-US"/>
        </w:rPr>
        <w:t xml:space="preserve"> and previous analysis </w:t>
      </w:r>
      <w:r>
        <w:rPr>
          <w:lang w:eastAsia="en-US"/>
        </w:rPr>
        <w:t>estimates that the impact for firms could be between £30-40billion without</w:t>
      </w:r>
      <w:r>
        <w:rPr>
          <w:lang w:eastAsia="en-US"/>
        </w:rPr>
        <w:t xml:space="preserve"> any compensation. </w:t>
      </w:r>
    </w:p>
    <w:p w:rsidR="005D554C" w:rsidP="00903E67">
      <w:pPr>
        <w:pStyle w:val="ListParagraph"/>
        <w:rPr>
          <w:lang w:eastAsia="en-US"/>
        </w:rPr>
      </w:pPr>
    </w:p>
    <w:p w:rsidR="005D554C" w:rsidP="0088274F">
      <w:pPr>
        <w:pStyle w:val="ListParagraph"/>
        <w:numPr>
          <w:ilvl w:val="0"/>
          <w:numId w:val="32"/>
        </w:numPr>
        <w:jc w:val="both"/>
        <w:rPr>
          <w:lang w:eastAsia="en-US"/>
        </w:rPr>
      </w:pPr>
      <w:r>
        <w:rPr>
          <w:lang w:eastAsia="en-US"/>
        </w:rPr>
        <w:t xml:space="preserve">While we have deep concerns about the impact of the proposals, we want to continue to work constructively </w:t>
      </w:r>
      <w:r>
        <w:rPr>
          <w:lang w:eastAsia="en-US"/>
        </w:rPr>
        <w:t xml:space="preserve">with both the government and parliament throughout the passage of the Bill to understand the impacts of the legislation for our members and mitigate against unintended </w:t>
      </w:r>
      <w:r>
        <w:rPr>
          <w:lang w:eastAsia="en-US"/>
        </w:rPr>
        <w:t xml:space="preserve">consequences and effects on investor confidence. </w:t>
      </w:r>
      <w:r>
        <w:rPr>
          <w:lang w:eastAsia="en-US"/>
        </w:rPr>
        <w:t>It is disappointing that we are yet to see the impact assessment published by the government so that this analysis could have been fully considered as part of the Committee’s call for written evidence su</w:t>
      </w:r>
      <w:r>
        <w:rPr>
          <w:lang w:eastAsia="en-US"/>
        </w:rPr>
        <w:t xml:space="preserve">bmissions. </w:t>
      </w:r>
    </w:p>
    <w:p w:rsidR="005D554C" w:rsidP="00502786">
      <w:pPr>
        <w:pStyle w:val="ListParagraph"/>
        <w:rPr>
          <w:lang w:eastAsia="en-US"/>
        </w:rPr>
      </w:pPr>
    </w:p>
    <w:p w:rsidR="005D554C" w:rsidP="002F7202">
      <w:pPr>
        <w:pStyle w:val="ListParagraph"/>
        <w:numPr>
          <w:ilvl w:val="0"/>
          <w:numId w:val="32"/>
        </w:numPr>
        <w:jc w:val="both"/>
        <w:rPr>
          <w:lang w:eastAsia="en-US"/>
        </w:rPr>
      </w:pPr>
      <w:r w:rsidRPr="5F15AD64">
        <w:rPr>
          <w:lang w:eastAsia="en-US"/>
        </w:rPr>
        <w:t xml:space="preserve">One area of the </w:t>
      </w:r>
      <w:r w:rsidRPr="5F15AD64">
        <w:rPr>
          <w:lang w:eastAsia="en-US"/>
        </w:rPr>
        <w:t xml:space="preserve">proposals of importance to investors and freeholders is </w:t>
      </w:r>
      <w:r w:rsidRPr="5F15AD64">
        <w:rPr>
          <w:lang w:eastAsia="en-US"/>
        </w:rPr>
        <w:t>the 40</w:t>
      </w:r>
      <w:r w:rsidRPr="5F15AD64">
        <w:rPr>
          <w:lang w:eastAsia="en-US"/>
        </w:rPr>
        <w:t xml:space="preserve"> year transition period </w:t>
      </w:r>
      <w:r w:rsidRPr="5F15AD64">
        <w:rPr>
          <w:lang w:eastAsia="en-US"/>
        </w:rPr>
        <w:t xml:space="preserve">from £250 to peppercorn. </w:t>
      </w:r>
      <w:r w:rsidRPr="5F15AD64">
        <w:rPr>
          <w:lang w:eastAsia="en-US"/>
        </w:rPr>
        <w:t xml:space="preserve">As the Committee will </w:t>
      </w:r>
      <w:r w:rsidRPr="5F15AD64">
        <w:rPr>
          <w:lang w:eastAsia="en-US"/>
        </w:rPr>
        <w:t xml:space="preserve">appreciate, </w:t>
      </w:r>
      <w:r w:rsidRPr="5F15AD64">
        <w:rPr>
          <w:lang w:eastAsia="en-US"/>
        </w:rPr>
        <w:t xml:space="preserve">pensions schemes have long-term </w:t>
      </w:r>
      <w:r>
        <w:rPr>
          <w:lang w:eastAsia="en-US"/>
        </w:rPr>
        <w:t>investments</w:t>
      </w:r>
      <w:r>
        <w:rPr>
          <w:lang w:eastAsia="en-US"/>
        </w:rPr>
        <w:t>,</w:t>
      </w:r>
      <w:r>
        <w:rPr>
          <w:lang w:eastAsia="en-US"/>
        </w:rPr>
        <w:t xml:space="preserve"> contracts and </w:t>
      </w:r>
      <w:r>
        <w:rPr>
          <w:lang w:eastAsia="en-US"/>
        </w:rPr>
        <w:t>liabilities</w:t>
      </w:r>
      <w:r>
        <w:rPr>
          <w:lang w:eastAsia="en-US"/>
        </w:rPr>
        <w:t xml:space="preserve"> and hold assets including ground rents</w:t>
      </w:r>
      <w:r>
        <w:rPr>
          <w:lang w:eastAsia="en-US"/>
        </w:rPr>
        <w:t xml:space="preserve"> to match these liabilities, and therefore</w:t>
      </w:r>
      <w:r w:rsidRPr="5F15AD64">
        <w:rPr>
          <w:lang w:eastAsia="en-US"/>
        </w:rPr>
        <w:t xml:space="preserve"> </w:t>
      </w:r>
      <w:r w:rsidRPr="5F15AD64">
        <w:rPr>
          <w:lang w:eastAsia="en-US"/>
        </w:rPr>
        <w:t xml:space="preserve">directly support the future payment of UK pension policies. </w:t>
      </w:r>
      <w:r>
        <w:rPr>
          <w:lang w:eastAsia="en-US"/>
        </w:rPr>
        <w:t>Our members do this not just because it is prudent to do so, but the UK’s legislative and prudential regulatory framework – Solvency UK – requires it</w:t>
      </w:r>
      <w:r>
        <w:rPr>
          <w:lang w:eastAsia="en-US"/>
        </w:rPr>
        <w:t xml:space="preserve">. </w:t>
      </w:r>
    </w:p>
    <w:p w:rsidR="005D554C" w:rsidP="00BF3A54">
      <w:pPr>
        <w:pStyle w:val="ListParagraph"/>
        <w:rPr>
          <w:lang w:eastAsia="en-US"/>
        </w:rPr>
      </w:pPr>
    </w:p>
    <w:p w:rsidR="005D554C" w:rsidP="002F7202">
      <w:pPr>
        <w:pStyle w:val="ListParagraph"/>
        <w:numPr>
          <w:ilvl w:val="0"/>
          <w:numId w:val="32"/>
        </w:numPr>
        <w:jc w:val="both"/>
        <w:rPr>
          <w:lang w:eastAsia="en-US"/>
        </w:rPr>
      </w:pPr>
      <w:r>
        <w:rPr>
          <w:lang w:eastAsia="en-US"/>
        </w:rPr>
        <w:t>.</w:t>
      </w:r>
      <w:r>
        <w:rPr>
          <w:lang w:eastAsia="en-US"/>
        </w:rPr>
        <w:t xml:space="preserve"> </w:t>
      </w:r>
      <w:r>
        <w:rPr>
          <w:lang w:eastAsia="en-US"/>
        </w:rPr>
        <w:t xml:space="preserve">The </w:t>
      </w:r>
      <w:r>
        <w:rPr>
          <w:lang w:eastAsia="en-US"/>
        </w:rPr>
        <w:t xml:space="preserve">loss of inflation is a real cost to insurers as </w:t>
      </w:r>
      <w:r>
        <w:rPr>
          <w:lang w:eastAsia="en-US"/>
        </w:rPr>
        <w:t xml:space="preserve">this is typically used to back inflation linked promises to customers. </w:t>
      </w:r>
      <w:r>
        <w:rPr>
          <w:lang w:eastAsia="en-US"/>
        </w:rPr>
        <w:t xml:space="preserve">A real terms cap today would still be preserved if there was inflation linkage. </w:t>
      </w:r>
      <w:r>
        <w:rPr>
          <w:lang w:eastAsia="en-US"/>
        </w:rPr>
        <w:t xml:space="preserve">A push to shorten the transition period during the </w:t>
      </w:r>
      <w:r>
        <w:rPr>
          <w:lang w:eastAsia="en-US"/>
        </w:rPr>
        <w:t xml:space="preserve">parliamentary process will cause further market disruption and harm investor confidence in the UK. </w:t>
      </w:r>
    </w:p>
    <w:p w:rsidR="005D554C" w:rsidP="0059258C">
      <w:pPr>
        <w:pStyle w:val="ListParagraph"/>
        <w:rPr>
          <w:lang w:eastAsia="en-US"/>
        </w:rPr>
      </w:pPr>
    </w:p>
    <w:p w:rsidR="005D554C" w:rsidP="002F7202">
      <w:pPr>
        <w:pStyle w:val="ListParagraph"/>
        <w:numPr>
          <w:ilvl w:val="0"/>
          <w:numId w:val="32"/>
        </w:numPr>
        <w:jc w:val="both"/>
        <w:rPr>
          <w:lang w:eastAsia="en-US"/>
        </w:rPr>
      </w:pPr>
      <w:r>
        <w:rPr>
          <w:lang w:eastAsia="en-US"/>
        </w:rPr>
        <w:t xml:space="preserve">A shorter transition period </w:t>
      </w:r>
      <w:r>
        <w:rPr>
          <w:lang w:eastAsia="en-US"/>
        </w:rPr>
        <w:t xml:space="preserve">would </w:t>
      </w:r>
      <w:r>
        <w:rPr>
          <w:lang w:eastAsia="en-US"/>
        </w:rPr>
        <w:t xml:space="preserve">increase the </w:t>
      </w:r>
      <w:r w:rsidRPr="2A683D02">
        <w:rPr>
          <w:lang w:eastAsia="en-US"/>
        </w:rPr>
        <w:t>ri</w:t>
      </w:r>
      <w:r w:rsidRPr="2A683D02">
        <w:rPr>
          <w:lang w:eastAsia="en-US"/>
        </w:rPr>
        <w:t>s</w:t>
      </w:r>
      <w:r w:rsidRPr="2A683D02">
        <w:rPr>
          <w:lang w:eastAsia="en-US"/>
        </w:rPr>
        <w:t>k</w:t>
      </w:r>
      <w:r>
        <w:rPr>
          <w:lang w:eastAsia="en-US"/>
        </w:rPr>
        <w:t xml:space="preserve"> </w:t>
      </w:r>
      <w:r>
        <w:rPr>
          <w:lang w:eastAsia="en-US"/>
        </w:rPr>
        <w:t xml:space="preserve">of </w:t>
      </w:r>
      <w:r>
        <w:rPr>
          <w:lang w:eastAsia="en-US"/>
        </w:rPr>
        <w:t>loans from pension investors to freeholders defaulting, which could result in immediate, and potentially extensive, freeholder insolvencies</w:t>
      </w:r>
      <w:r>
        <w:rPr>
          <w:lang w:eastAsia="en-US"/>
        </w:rPr>
        <w:t xml:space="preserve">, as the </w:t>
      </w:r>
      <w:r>
        <w:fldChar w:fldCharType="begin"/>
      </w:r>
      <w:r>
        <w:instrText xml:space="preserve"> HYPERLINK "chrome-extension://efaidnbmnnnibpcajpcglclefindmkaj/https:/assets.publishing.service.gov.uk/media/698cb666bb6023ea0f7123d5/Policy_statement_on_ground_rents.pdf" </w:instrText>
      </w:r>
      <w:r>
        <w:fldChar w:fldCharType="separate"/>
      </w:r>
      <w:r w:rsidRPr="00C0487E">
        <w:rPr>
          <w:rStyle w:val="Hyperlink"/>
          <w:lang w:eastAsia="en-US"/>
        </w:rPr>
        <w:t xml:space="preserve">MHCLG </w:t>
      </w:r>
      <w:r w:rsidRPr="00C0487E">
        <w:rPr>
          <w:rStyle w:val="Hyperlink"/>
          <w:lang w:eastAsia="en-US"/>
        </w:rPr>
        <w:t>Policy Statement</w:t>
      </w:r>
      <w:r>
        <w:fldChar w:fldCharType="end"/>
      </w:r>
      <w:r>
        <w:rPr>
          <w:lang w:eastAsia="en-US"/>
        </w:rPr>
        <w:t xml:space="preserve"> sets out</w:t>
      </w:r>
      <w:r>
        <w:rPr>
          <w:lang w:eastAsia="en-US"/>
        </w:rPr>
        <w:t>,</w:t>
      </w:r>
      <w:r>
        <w:rPr>
          <w:lang w:eastAsia="en-US"/>
        </w:rPr>
        <w:t xml:space="preserve"> as a result of a peppercorn cap</w:t>
      </w:r>
      <w:r>
        <w:rPr>
          <w:lang w:eastAsia="en-US"/>
        </w:rPr>
        <w:t xml:space="preserve">. The MHCLG </w:t>
      </w:r>
      <w:r>
        <w:rPr>
          <w:lang w:eastAsia="en-US"/>
        </w:rPr>
        <w:t xml:space="preserve">command paper </w:t>
      </w:r>
      <w:r>
        <w:rPr>
          <w:lang w:eastAsia="en-US"/>
        </w:rPr>
        <w:t>recognises</w:t>
      </w:r>
      <w:r>
        <w:rPr>
          <w:lang w:eastAsia="en-US"/>
        </w:rPr>
        <w:t xml:space="preserve"> the risks of moving to peppercorn</w:t>
      </w:r>
      <w:r>
        <w:rPr>
          <w:lang w:eastAsia="en-US"/>
        </w:rPr>
        <w:t xml:space="preserve"> without a transition period </w:t>
      </w:r>
      <w:r>
        <w:rPr>
          <w:lang w:eastAsia="en-US"/>
        </w:rPr>
        <w:t>and states</w:t>
      </w:r>
      <w:r>
        <w:rPr>
          <w:lang w:eastAsia="en-US"/>
        </w:rPr>
        <w:t xml:space="preserve"> it</w:t>
      </w:r>
      <w:r>
        <w:rPr>
          <w:lang w:eastAsia="en-US"/>
        </w:rPr>
        <w:t xml:space="preserve"> </w:t>
      </w:r>
      <w:r w:rsidRPr="00146D22">
        <w:rPr>
          <w:lang w:eastAsia="en-US"/>
        </w:rPr>
        <w:t>“would be particularly problematic where freeholders are responsible for building safety liabilities, with leaseholders potentially facing risks of slower remediation, additional costs and wider problems with building management.</w:t>
      </w:r>
      <w:r>
        <w:rPr>
          <w:lang w:eastAsia="en-US"/>
        </w:rPr>
        <w:t>”</w:t>
      </w:r>
    </w:p>
    <w:p w:rsidR="005D554C" w:rsidP="00826FF1">
      <w:pPr>
        <w:pStyle w:val="ListParagraph"/>
        <w:rPr>
          <w:lang w:eastAsia="en-US"/>
        </w:rPr>
      </w:pPr>
    </w:p>
    <w:p w:rsidR="005D554C" w:rsidP="002F7202">
      <w:pPr>
        <w:pStyle w:val="ListParagraph"/>
        <w:numPr>
          <w:ilvl w:val="0"/>
          <w:numId w:val="32"/>
        </w:numPr>
        <w:jc w:val="both"/>
        <w:rPr>
          <w:lang w:eastAsia="en-US"/>
        </w:rPr>
      </w:pPr>
      <w:r w:rsidRPr="42EB8D56">
        <w:rPr>
          <w:lang w:eastAsia="en-US"/>
        </w:rPr>
        <w:t>It will be</w:t>
      </w:r>
      <w:r w:rsidRPr="42EB8D56">
        <w:rPr>
          <w:lang w:eastAsia="en-US"/>
        </w:rPr>
        <w:t xml:space="preserve"> very </w:t>
      </w:r>
      <w:r w:rsidRPr="42EB8D56">
        <w:rPr>
          <w:lang w:eastAsia="en-US"/>
        </w:rPr>
        <w:t>important for the transition period to be established in primary legislation</w:t>
      </w:r>
      <w:r w:rsidRPr="42EB8D56">
        <w:rPr>
          <w:lang w:eastAsia="en-US"/>
        </w:rPr>
        <w:t>, not secondary powers, in order to give industry confidence</w:t>
      </w:r>
      <w:r w:rsidRPr="42EB8D56">
        <w:rPr>
          <w:lang w:eastAsia="en-US"/>
        </w:rPr>
        <w:t xml:space="preserve"> in </w:t>
      </w:r>
      <w:r w:rsidRPr="42EB8D56">
        <w:rPr>
          <w:lang w:eastAsia="en-US"/>
        </w:rPr>
        <w:t>the new regime</w:t>
      </w:r>
      <w:r w:rsidRPr="42EB8D56">
        <w:rPr>
          <w:lang w:eastAsia="en-US"/>
        </w:rPr>
        <w:t xml:space="preserve"> an</w:t>
      </w:r>
      <w:r w:rsidRPr="42EB8D56">
        <w:rPr>
          <w:lang w:eastAsia="en-US"/>
        </w:rPr>
        <w:t xml:space="preserve">d so that it cannot be amended </w:t>
      </w:r>
      <w:r w:rsidRPr="42EB8D56">
        <w:rPr>
          <w:lang w:eastAsia="en-US"/>
        </w:rPr>
        <w:t xml:space="preserve">without full parliamentary scrutiny. </w:t>
      </w:r>
      <w:r>
        <w:rPr>
          <w:lang w:eastAsia="en-US"/>
        </w:rPr>
        <w:t>This is especially so given the</w:t>
      </w:r>
      <w:r w:rsidRPr="42EB8D56">
        <w:rPr>
          <w:lang w:eastAsia="en-US"/>
        </w:rPr>
        <w:t xml:space="preserve"> Minister’s comments in the House of Commons </w:t>
      </w:r>
      <w:r w:rsidRPr="42EB8D56">
        <w:rPr>
          <w:lang w:eastAsia="en-US"/>
        </w:rPr>
        <w:t>recognising the risk of legal challenge to the government with a shorter transition period</w:t>
      </w:r>
      <w:r>
        <w:rPr>
          <w:lang w:eastAsia="en-US"/>
        </w:rPr>
        <w:t>.</w:t>
      </w:r>
      <w:r w:rsidRPr="42EB8D56">
        <w:rPr>
          <w:lang w:eastAsia="en-US"/>
        </w:rPr>
        <w:t xml:space="preserve"> </w:t>
      </w:r>
    </w:p>
    <w:p w:rsidR="005D554C" w:rsidP="00D12C81">
      <w:pPr>
        <w:pStyle w:val="ListParagraph"/>
        <w:rPr>
          <w:lang w:eastAsia="en-US"/>
        </w:rPr>
      </w:pPr>
    </w:p>
    <w:p w:rsidR="005D554C" w:rsidP="00AD0756">
      <w:pPr>
        <w:pStyle w:val="ListParagraph"/>
        <w:numPr>
          <w:ilvl w:val="0"/>
          <w:numId w:val="32"/>
        </w:numPr>
        <w:jc w:val="both"/>
        <w:rPr>
          <w:lang w:eastAsia="en-US"/>
        </w:rPr>
      </w:pPr>
      <w:r>
        <w:rPr>
          <w:lang w:eastAsia="en-US"/>
        </w:rPr>
        <w:t xml:space="preserve">ABI members are not responsible for the cases of ‘egregious’ increase in ground rents that some leaseholders have experienced. </w:t>
      </w:r>
      <w:r>
        <w:rPr>
          <w:lang w:eastAsia="en-US"/>
        </w:rPr>
        <w:t xml:space="preserve">A </w:t>
      </w:r>
      <w:r>
        <w:rPr>
          <w:lang w:eastAsia="en-US"/>
        </w:rPr>
        <w:t xml:space="preserve">previous Competition and Markets Authority investigation into ground rent highlighted that 13,000 leases were sold by developers where the ground rents had doubled more frequently than every twenty years. </w:t>
      </w:r>
      <w:r>
        <w:fldChar w:fldCharType="begin"/>
      </w:r>
      <w:r>
        <w:instrText xml:space="preserve"> HYPERLINK "https://www.gov.uk/government/publications/leaseholder-pledge/public-pledge-for-leaseholders" </w:instrText>
      </w:r>
      <w:r>
        <w:fldChar w:fldCharType="separate"/>
      </w:r>
      <w:r w:rsidRPr="00932CC1">
        <w:rPr>
          <w:rStyle w:val="Hyperlink"/>
          <w:lang w:eastAsia="en-US"/>
        </w:rPr>
        <w:t>The Public Pledge for Leaseholders</w:t>
      </w:r>
      <w:r>
        <w:fldChar w:fldCharType="end"/>
      </w:r>
      <w:r>
        <w:rPr>
          <w:lang w:eastAsia="en-US"/>
        </w:rPr>
        <w:t xml:space="preserve"> led to the vast majority of these leases being successfully varied to remove clauses that were considered to be onerous and now represents less than 0.1% of all leases. </w:t>
      </w:r>
      <w:r>
        <w:rPr>
          <w:lang w:eastAsia="en-US"/>
        </w:rPr>
        <w:t>Firms have also committed to the</w:t>
      </w:r>
      <w:r w:rsidRPr="009A6AF9">
        <w:rPr>
          <w:lang w:eastAsia="en-US"/>
        </w:rPr>
        <w:t xml:space="preserve"> abolition of ground rent increases which are above inflation (and therefore increase the cost of ground rent in real terms). </w:t>
      </w:r>
      <w:r>
        <w:rPr>
          <w:lang w:eastAsia="en-US"/>
        </w:rPr>
        <w:t xml:space="preserve">While we are supportive of proportionate reforms to the leasehold system, ABI members believe that a more targeted approach </w:t>
      </w:r>
      <w:r>
        <w:rPr>
          <w:lang w:eastAsia="en-US"/>
        </w:rPr>
        <w:t xml:space="preserve">rather </w:t>
      </w:r>
      <w:r>
        <w:rPr>
          <w:lang w:eastAsia="en-US"/>
        </w:rPr>
        <w:t>than a blanket retrospective cap on ground rents woul</w:t>
      </w:r>
      <w:r>
        <w:rPr>
          <w:lang w:eastAsia="en-US"/>
        </w:rPr>
        <w:t>d be a more effective way of meeting the government’s manifesto commitment to tackle ‘unfair and unaffordable costs for leaseholders’.</w:t>
      </w:r>
    </w:p>
    <w:p w:rsidR="005D554C" w:rsidP="0084732B">
      <w:pPr>
        <w:rPr>
          <w:lang w:eastAsia="en-US"/>
        </w:rPr>
      </w:pPr>
    </w:p>
    <w:p w:rsidR="005D554C" w:rsidRPr="00F31EC1" w:rsidP="00F31EC1">
      <w:pPr>
        <w:pStyle w:val="ListParagraph"/>
        <w:numPr>
          <w:ilvl w:val="0"/>
          <w:numId w:val="32"/>
        </w:numPr>
        <w:rPr>
          <w:rFonts w:ascii="Aptos" w:eastAsia="Aptos" w:hAnsi="Aptos" w:cs="Times New Roman"/>
          <w:kern w:val="2"/>
          <w:sz w:val="24"/>
          <w:szCs w:val="24"/>
          <w:lang w:eastAsia="en-US"/>
        </w:rPr>
      </w:pPr>
      <w:r w:rsidRPr="00932CC1">
        <w:rPr>
          <w:lang w:eastAsia="en-US"/>
        </w:rPr>
        <w:t xml:space="preserve">In considering how to deliver proportionate reform, it will be important for the Committee to scrutinise whether the blanket application of the proposed cap achieves the government’s stated policy objectives in all circumstances, or whether it risks unintended consequences for particular parts of the market. The government’s </w:t>
      </w:r>
      <w:r>
        <w:fldChar w:fldCharType="begin"/>
      </w:r>
      <w:r>
        <w:instrText xml:space="preserve"> HYPERLINK "chrome-extension://efaidnbmnnnibpcajpcglclefindmkaj/https:/assets.publishing.service.gov.uk/media/698cb666bb6023ea0f7123d5/Policy_statement_on_ground_rents.pdf" </w:instrText>
      </w:r>
      <w:r>
        <w:fldChar w:fldCharType="separate"/>
      </w:r>
      <w:r w:rsidRPr="00AA3E0E">
        <w:rPr>
          <w:rFonts w:ascii="Aptos" w:eastAsia="Aptos" w:hAnsi="Aptos" w:cs="Times New Roman"/>
          <w:color w:val="467886"/>
          <w:kern w:val="2"/>
          <w:sz w:val="24"/>
          <w:szCs w:val="24"/>
          <w:u w:val="single"/>
          <w:lang w:eastAsia="en-US"/>
        </w:rPr>
        <w:t>policy statement</w:t>
      </w:r>
      <w:r>
        <w:fldChar w:fldCharType="end"/>
      </w:r>
      <w:r>
        <w:rPr>
          <w:rFonts w:ascii="Aptos" w:eastAsia="Aptos" w:hAnsi="Aptos" w:cs="Times New Roman"/>
          <w:kern w:val="2"/>
          <w:sz w:val="24"/>
          <w:szCs w:val="24"/>
          <w:lang w:eastAsia="en-US"/>
        </w:rPr>
        <w:t xml:space="preserve"> </w:t>
      </w:r>
      <w:r w:rsidRPr="00932CC1">
        <w:rPr>
          <w:lang w:eastAsia="en-US"/>
        </w:rPr>
        <w:t>recognises the potential role of limited and tightly defined exemptions, and we believe there is a case for further examination of this approach where it would improve policy targeting, reduce unintended impacts and maintain confidence in the legal and regulatory framework, while still delivering the government’s manifesto commitment. Any such exemptions would need to be clearly defined, straightforward to implement and compatible with the government’s proposed timetable.</w:t>
      </w:r>
      <w:r w:rsidRPr="00AA3E0E">
        <w:rPr>
          <w:rFonts w:ascii="Aptos" w:eastAsia="Aptos" w:hAnsi="Aptos" w:cs="Times New Roman"/>
          <w:b/>
          <w:bCs/>
          <w:kern w:val="2"/>
          <w:sz w:val="24"/>
          <w:szCs w:val="24"/>
          <w:lang w:eastAsia="en-US"/>
        </w:rPr>
        <w:t xml:space="preserve"> </w:t>
      </w:r>
      <w:r w:rsidRPr="00F31EC1">
        <w:rPr>
          <w:rFonts w:ascii="Aptos" w:eastAsia="Aptos" w:hAnsi="Aptos" w:cs="Times New Roman"/>
          <w:b/>
          <w:bCs/>
          <w:kern w:val="2"/>
          <w:szCs w:val="22"/>
          <w:lang w:eastAsia="en-US"/>
        </w:rPr>
        <w:t>There are implementable interventi</w:t>
      </w:r>
      <w:r w:rsidRPr="00F31EC1">
        <w:rPr>
          <w:rFonts w:ascii="Aptos" w:eastAsia="Aptos" w:hAnsi="Aptos" w:cs="Times New Roman"/>
          <w:b/>
          <w:bCs/>
          <w:kern w:val="2"/>
          <w:szCs w:val="22"/>
          <w:lang w:eastAsia="en-US"/>
        </w:rPr>
        <w:t>ons available and the committee should recommend that the government continues discussions on exemptions with the sector as the legislation progresses, with particular consideration on buy to let properties and retirement properties.</w:t>
      </w:r>
    </w:p>
    <w:p w:rsidR="005D554C" w:rsidP="00AA3E0E">
      <w:pPr>
        <w:jc w:val="both"/>
        <w:rPr>
          <w:lang w:eastAsia="en-US"/>
        </w:rPr>
      </w:pPr>
    </w:p>
    <w:p w:rsidR="005D554C" w:rsidRPr="000F43ED" w:rsidP="000F43ED">
      <w:pPr>
        <w:pStyle w:val="ListParagraph"/>
        <w:numPr>
          <w:ilvl w:val="0"/>
          <w:numId w:val="32"/>
        </w:numPr>
        <w:rPr>
          <w:rFonts w:ascii="Aptos" w:eastAsia="Aptos" w:hAnsi="Aptos" w:cs="Times New Roman"/>
          <w:kern w:val="2"/>
          <w:szCs w:val="22"/>
          <w:lang w:eastAsia="en-US"/>
        </w:rPr>
      </w:pPr>
      <w:r w:rsidRPr="000F43ED">
        <w:rPr>
          <w:lang w:eastAsia="en-US"/>
        </w:rPr>
        <w:t>One area the Committee should look to examine further is the application of the cap to buy</w:t>
      </w:r>
      <w:r w:rsidRPr="000F43ED">
        <w:rPr>
          <w:lang w:eastAsia="en-US"/>
        </w:rPr>
        <w:noBreakHyphen/>
        <w:t>to</w:t>
      </w:r>
      <w:r w:rsidRPr="000F43ED">
        <w:rPr>
          <w:lang w:eastAsia="en-US"/>
        </w:rPr>
        <w:noBreakHyphen/>
        <w:t>let properties. The rationale for capping ground rents has been framed primarily around affordability and cost</w:t>
      </w:r>
      <w:r w:rsidRPr="000F43ED">
        <w:rPr>
          <w:lang w:eastAsia="en-US"/>
        </w:rPr>
        <w:noBreakHyphen/>
        <w:t>of</w:t>
      </w:r>
      <w:r w:rsidRPr="000F43ED">
        <w:rPr>
          <w:lang w:eastAsia="en-US"/>
        </w:rPr>
        <w:noBreakHyphen/>
        <w:t>living pressures for owner</w:t>
      </w:r>
      <w:r w:rsidRPr="000F43ED">
        <w:rPr>
          <w:lang w:eastAsia="en-US"/>
        </w:rPr>
        <w:noBreakHyphen/>
        <w:t xml:space="preserve">occupiers. These considerations do not apply in the same way to properties held in the private rented sector, and applying the cap to this cohort risks weakening the link between the policy intervention and its stated objectives. The </w:t>
      </w:r>
      <w:r>
        <w:fldChar w:fldCharType="begin"/>
      </w:r>
      <w:r>
        <w:instrText xml:space="preserve"> HYPERLINK "chrome-extension://efaidnbmnnnibpcajpcglclefindmkaj/https:/publications.parliament.uk/pa/bills/cbill/58-04/0013/LeaseholdandFreeholdReformBillImpactAssessment.pdf" </w:instrText>
      </w:r>
      <w:r>
        <w:fldChar w:fldCharType="separate"/>
      </w:r>
      <w:r w:rsidRPr="000F43ED">
        <w:rPr>
          <w:rFonts w:ascii="Aptos" w:eastAsia="Aptos" w:hAnsi="Aptos" w:cs="Times New Roman"/>
          <w:color w:val="009CD8"/>
          <w:kern w:val="2"/>
          <w:szCs w:val="22"/>
          <w:u w:val="single"/>
          <w:lang w:eastAsia="en-US"/>
        </w:rPr>
        <w:t>2023 Impact Assessment</w:t>
      </w:r>
      <w:r>
        <w:fldChar w:fldCharType="end"/>
      </w:r>
      <w:r w:rsidRPr="000F43ED">
        <w:rPr>
          <w:rFonts w:ascii="Aptos" w:eastAsia="Aptos" w:hAnsi="Aptos" w:cs="Times New Roman"/>
          <w:kern w:val="2"/>
          <w:szCs w:val="22"/>
          <w:lang w:eastAsia="en-US"/>
        </w:rPr>
        <w:t xml:space="preserve"> </w:t>
      </w:r>
      <w:r w:rsidRPr="000F43ED">
        <w:rPr>
          <w:lang w:eastAsia="en-US"/>
        </w:rPr>
        <w:t>for the Leasehold and Freehold Reform Act indicates that a significant proportion of leasehold stock sits within the private rented sector. The Committee may therefore wish to consider whether a more targeted approach would better align the policy with its intended outcomes, while avoiding unnecessary disruption to existing contractual arrangements.</w:t>
      </w:r>
    </w:p>
    <w:p w:rsidR="005D554C" w:rsidP="00AA57D4">
      <w:pPr>
        <w:rPr>
          <w:lang w:eastAsia="en-US"/>
        </w:rPr>
      </w:pPr>
    </w:p>
    <w:p w:rsidR="005D554C" w:rsidP="007A707A">
      <w:pPr>
        <w:pStyle w:val="ListParagraph"/>
        <w:numPr>
          <w:ilvl w:val="0"/>
          <w:numId w:val="32"/>
        </w:numPr>
        <w:jc w:val="both"/>
        <w:rPr>
          <w:lang w:eastAsia="en-US"/>
        </w:rPr>
      </w:pPr>
      <w:r w:rsidRPr="007A707A">
        <w:rPr>
          <w:lang w:eastAsia="en-US"/>
        </w:rPr>
        <w:t xml:space="preserve">Retirement housing is another area where the Committee </w:t>
      </w:r>
      <w:r>
        <w:rPr>
          <w:lang w:eastAsia="en-US"/>
        </w:rPr>
        <w:t>should</w:t>
      </w:r>
      <w:r w:rsidRPr="007A707A">
        <w:rPr>
          <w:lang w:eastAsia="en-US"/>
        </w:rPr>
        <w:t xml:space="preserve"> consider carefully the potential unintended consequences of the proposed cap. Retirement housing models often rely on specific funding and management structures to support the ongoing provision of services, maintenance and building safety for residents, many of whom are on fixed incomes. It will therefore be important to assess how changes to income streams interact with these arrangements, and to ensure that reforms do not inadvertently undermine the financial structures that support service provision and</w:t>
      </w:r>
      <w:r w:rsidRPr="007A707A">
        <w:rPr>
          <w:lang w:eastAsia="en-US"/>
        </w:rPr>
        <w:t xml:space="preserve"> effective building management. We encourage the Committee to scrutinise how the proposals will affect the operation of retirement housing and whether additional safeguards or tailored approaches are needed to protect residents while delivering the government’s policy objectives.</w:t>
      </w:r>
    </w:p>
    <w:p w:rsidR="005D554C" w:rsidP="007A707A">
      <w:pPr>
        <w:jc w:val="both"/>
        <w:rPr>
          <w:lang w:eastAsia="en-US"/>
        </w:rPr>
      </w:pPr>
    </w:p>
    <w:p w:rsidR="005D554C" w:rsidP="00AD0756">
      <w:pPr>
        <w:pStyle w:val="ListParagraph"/>
        <w:numPr>
          <w:ilvl w:val="0"/>
          <w:numId w:val="32"/>
        </w:numPr>
        <w:jc w:val="both"/>
        <w:rPr>
          <w:lang w:eastAsia="en-US"/>
        </w:rPr>
      </w:pPr>
      <w:r>
        <w:rPr>
          <w:lang w:eastAsia="en-US"/>
        </w:rPr>
        <w:t xml:space="preserve">Given the level of debate around mortgage affordability and </w:t>
      </w:r>
      <w:r>
        <w:rPr>
          <w:lang w:eastAsia="en-US"/>
        </w:rPr>
        <w:t xml:space="preserve">the weight this is given as part of the policy rationale </w:t>
      </w:r>
      <w:r>
        <w:rPr>
          <w:lang w:eastAsia="en-US"/>
        </w:rPr>
        <w:t>for the £250 cap, the Committee should engage with lenders to fully understand the position as part of the inquiry</w:t>
      </w:r>
      <w:r>
        <w:rPr>
          <w:lang w:eastAsia="en-US"/>
        </w:rPr>
        <w:t xml:space="preserve">. </w:t>
      </w:r>
      <w:r>
        <w:rPr>
          <w:lang w:eastAsia="en-US"/>
        </w:rPr>
        <w:t xml:space="preserve">ABI members have questioned the evidence base for </w:t>
      </w:r>
      <w:r>
        <w:rPr>
          <w:lang w:eastAsia="en-US"/>
        </w:rPr>
        <w:t>which the £250 cap has been set as th</w:t>
      </w:r>
      <w:r>
        <w:rPr>
          <w:lang w:eastAsia="en-US"/>
        </w:rPr>
        <w:t>e level at which ground rents become unaffordable.</w:t>
      </w:r>
      <w:r>
        <w:rPr>
          <w:lang w:eastAsia="en-US"/>
        </w:rPr>
        <w:t xml:space="preserve"> </w:t>
      </w:r>
    </w:p>
    <w:p w:rsidR="005D554C" w:rsidP="004B044B">
      <w:pPr>
        <w:jc w:val="both"/>
        <w:rPr>
          <w:lang w:eastAsia="en-US"/>
        </w:rPr>
      </w:pPr>
    </w:p>
    <w:p w:rsidR="005D554C" w:rsidP="002F7202">
      <w:pPr>
        <w:pStyle w:val="ListParagraph"/>
        <w:numPr>
          <w:ilvl w:val="0"/>
          <w:numId w:val="32"/>
        </w:numPr>
        <w:jc w:val="both"/>
        <w:rPr>
          <w:lang w:eastAsia="en-US"/>
        </w:rPr>
      </w:pPr>
      <w:r>
        <w:rPr>
          <w:lang w:eastAsia="en-US"/>
        </w:rPr>
        <w:t xml:space="preserve">During </w:t>
      </w:r>
      <w:r>
        <w:rPr>
          <w:lang w:eastAsia="en-US"/>
        </w:rPr>
        <w:t xml:space="preserve">the debates on the Leasehold and Freehold Reform Act 2024 in the last Parliament, and during the development of the current government’s proposals, there has been much debate about </w:t>
      </w:r>
      <w:r>
        <w:rPr>
          <w:lang w:eastAsia="en-US"/>
        </w:rPr>
        <w:t>the impact of capping ground rents causing freeholder insolvencies, disruption</w:t>
      </w:r>
      <w:r>
        <w:rPr>
          <w:lang w:eastAsia="en-US"/>
        </w:rPr>
        <w:t xml:space="preserve"> for existing leaseholders and negative impacts on the mortgage market. We encourage the </w:t>
      </w:r>
      <w:r>
        <w:rPr>
          <w:lang w:eastAsia="en-US"/>
        </w:rPr>
        <w:t xml:space="preserve">Committee </w:t>
      </w:r>
      <w:r>
        <w:rPr>
          <w:lang w:eastAsia="en-US"/>
        </w:rPr>
        <w:t>to scrutinise the government on these points an</w:t>
      </w:r>
      <w:r>
        <w:rPr>
          <w:lang w:eastAsia="en-US"/>
        </w:rPr>
        <w:t xml:space="preserve">d how this is being considered as part of the Impact Assessment on the Bill, which is yet to be published. </w:t>
      </w:r>
    </w:p>
    <w:p w:rsidR="005D554C" w:rsidP="00A64130">
      <w:pPr>
        <w:jc w:val="both"/>
        <w:rPr>
          <w:lang w:eastAsia="en-US"/>
        </w:rPr>
      </w:pPr>
    </w:p>
    <w:p w:rsidR="005D554C" w:rsidRPr="00941BEA" w:rsidP="00A64130">
      <w:pPr>
        <w:jc w:val="both"/>
        <w:rPr>
          <w:i/>
          <w:iCs/>
          <w:lang w:eastAsia="en-US"/>
        </w:rPr>
      </w:pPr>
      <w:r w:rsidRPr="00A64130">
        <w:rPr>
          <w:i/>
          <w:iCs/>
          <w:lang w:eastAsia="en-US"/>
        </w:rPr>
        <w:t xml:space="preserve">Legal risk </w:t>
      </w:r>
    </w:p>
    <w:p w:rsidR="005D554C" w:rsidP="00183D1B">
      <w:pPr>
        <w:pStyle w:val="ListParagraph"/>
        <w:numPr>
          <w:ilvl w:val="0"/>
          <w:numId w:val="32"/>
        </w:numPr>
        <w:jc w:val="both"/>
        <w:rPr>
          <w:lang w:eastAsia="en-US"/>
        </w:rPr>
      </w:pPr>
      <w:r>
        <w:rPr>
          <w:lang w:eastAsia="en-US"/>
        </w:rPr>
        <w:t>The</w:t>
      </w:r>
      <w:r>
        <w:rPr>
          <w:lang w:eastAsia="en-US"/>
        </w:rPr>
        <w:t xml:space="preserve"> Leasehold and Freehold Reform Bill faced legal challenge on a number of areas from freeholders. In previous Parliaments this Select Committee has heard evidence from </w:t>
      </w:r>
      <w:r>
        <w:fldChar w:fldCharType="begin"/>
      </w:r>
      <w:r>
        <w:instrText xml:space="preserve"> HYPERLINK "https://britishinsurers.sharepoint.com/sites/PublicAffairsTeam/Shared%20Documents/Ground%20Rents/1.%09https:/data.parliament.uk/writtenevidence/committeeevidence.svc/evidencedocument/housing-communities-and-local-government-committee/leasehold-reform/oral/96233.html" </w:instrText>
      </w:r>
      <w:r>
        <w:fldChar w:fldCharType="separate"/>
      </w:r>
      <w:r w:rsidRPr="00A41BD9">
        <w:rPr>
          <w:rStyle w:val="Hyperlink"/>
          <w:lang w:eastAsia="en-US"/>
        </w:rPr>
        <w:t>Ministers</w:t>
      </w:r>
      <w:r>
        <w:fldChar w:fldCharType="end"/>
      </w:r>
      <w:r>
        <w:rPr>
          <w:lang w:eastAsia="en-US"/>
        </w:rPr>
        <w:t xml:space="preserve"> </w:t>
      </w:r>
      <w:r>
        <w:rPr>
          <w:lang w:eastAsia="en-US"/>
        </w:rPr>
        <w:t xml:space="preserve">on the risks of legal challenge if freeholders are not compensated. The Committee has also </w:t>
      </w:r>
      <w:r>
        <w:fldChar w:fldCharType="begin"/>
      </w:r>
      <w:r>
        <w:instrText xml:space="preserve"> HYPERLINK "https://publications.parliament.uk/pa/cm201719/cmselect/cmcomloc/1468/1468.pdf" </w:instrText>
      </w:r>
      <w:r>
        <w:fldChar w:fldCharType="separate"/>
      </w:r>
      <w:r w:rsidRPr="00AD3676">
        <w:rPr>
          <w:rStyle w:val="Hyperlink"/>
          <w:lang w:eastAsia="en-US"/>
        </w:rPr>
        <w:t>previously recommended</w:t>
      </w:r>
      <w:r>
        <w:fldChar w:fldCharType="end"/>
      </w:r>
      <w:r>
        <w:rPr>
          <w:lang w:eastAsia="en-US"/>
        </w:rPr>
        <w:t xml:space="preserve"> that </w:t>
      </w:r>
      <w:r>
        <w:rPr>
          <w:lang w:eastAsia="en-US"/>
        </w:rPr>
        <w:t>compensation is considered a</w:t>
      </w:r>
      <w:r>
        <w:rPr>
          <w:lang w:eastAsia="en-US"/>
        </w:rPr>
        <w:t>s</w:t>
      </w:r>
      <w:r>
        <w:rPr>
          <w:lang w:eastAsia="en-US"/>
        </w:rPr>
        <w:t xml:space="preserve"> part of the </w:t>
      </w:r>
      <w:r>
        <w:rPr>
          <w:lang w:eastAsia="en-US"/>
        </w:rPr>
        <w:t xml:space="preserve">impact assessment on the legislation. </w:t>
      </w:r>
    </w:p>
    <w:p w:rsidR="005D554C" w:rsidP="00703A9C">
      <w:pPr>
        <w:jc w:val="both"/>
        <w:rPr>
          <w:lang w:eastAsia="en-US"/>
        </w:rPr>
      </w:pPr>
    </w:p>
    <w:p w:rsidR="005D554C" w:rsidRPr="00A64130" w:rsidP="00703A9C">
      <w:pPr>
        <w:jc w:val="both"/>
        <w:rPr>
          <w:i/>
          <w:iCs/>
          <w:lang w:eastAsia="en-US"/>
        </w:rPr>
      </w:pPr>
      <w:r w:rsidRPr="00A64130">
        <w:rPr>
          <w:i/>
          <w:iCs/>
          <w:lang w:eastAsia="en-US"/>
        </w:rPr>
        <w:t>Insurance</w:t>
      </w:r>
    </w:p>
    <w:p w:rsidR="005D554C" w:rsidP="002B7CB7">
      <w:pPr>
        <w:pStyle w:val="ListParagraph"/>
        <w:numPr>
          <w:ilvl w:val="0"/>
          <w:numId w:val="32"/>
        </w:numPr>
        <w:jc w:val="both"/>
        <w:rPr>
          <w:lang w:eastAsia="en-US"/>
        </w:rPr>
      </w:pPr>
      <w:r>
        <w:rPr>
          <w:lang w:eastAsia="en-US"/>
        </w:rPr>
        <w:t xml:space="preserve">We support the implementation of measures in the Leasehold </w:t>
      </w:r>
      <w:r>
        <w:rPr>
          <w:lang w:eastAsia="en-US"/>
        </w:rPr>
        <w:t xml:space="preserve">and Freehold Reform Act 2024 to increase transparency for leaseholders on service charges and </w:t>
      </w:r>
      <w:r>
        <w:rPr>
          <w:lang w:eastAsia="en-US"/>
        </w:rPr>
        <w:t xml:space="preserve">reforms to commission payments between freeholders and managing agents. </w:t>
      </w:r>
    </w:p>
    <w:p w:rsidR="005D554C" w:rsidP="00450AA2">
      <w:pPr>
        <w:jc w:val="both"/>
        <w:rPr>
          <w:lang w:eastAsia="en-US"/>
        </w:rPr>
      </w:pPr>
    </w:p>
    <w:p w:rsidR="005D554C" w:rsidP="00450AA2">
      <w:pPr>
        <w:pStyle w:val="ListParagraph"/>
        <w:numPr>
          <w:ilvl w:val="0"/>
          <w:numId w:val="32"/>
        </w:numPr>
        <w:jc w:val="both"/>
        <w:rPr>
          <w:lang w:eastAsia="en-US"/>
        </w:rPr>
      </w:pPr>
      <w:r>
        <w:rPr>
          <w:lang w:eastAsia="en-US"/>
        </w:rPr>
        <w:t xml:space="preserve">To support leaseholders living in </w:t>
      </w:r>
      <w:r>
        <w:rPr>
          <w:lang w:eastAsia="en-US"/>
        </w:rPr>
        <w:t>high-risk</w:t>
      </w:r>
      <w:r>
        <w:rPr>
          <w:lang w:eastAsia="en-US"/>
        </w:rPr>
        <w:t xml:space="preserve"> buildings awaiting cladding remediation, the ABI and our members established and launched the Fire Safety Reinsu</w:t>
      </w:r>
      <w:r>
        <w:rPr>
          <w:lang w:eastAsia="en-US"/>
        </w:rPr>
        <w:t xml:space="preserve">rance Facility </w:t>
      </w:r>
      <w:r>
        <w:rPr>
          <w:lang w:eastAsia="en-US"/>
        </w:rPr>
        <w:t xml:space="preserve">to increase capacity within the market for high rise residential buildings. </w:t>
      </w:r>
      <w:r>
        <w:rPr>
          <w:lang w:eastAsia="en-US"/>
        </w:rPr>
        <w:t xml:space="preserve">More information on how the facility was developed and how it operates can be found at the ABI’s website </w:t>
      </w:r>
      <w:r>
        <w:fldChar w:fldCharType="begin"/>
      </w:r>
      <w:r>
        <w:instrText xml:space="preserve"> HYPERLINK "https://www.abi.org.uk/products-and-issues/choosing-the-right-insurance/home-insurance/buildings-insurance/fire-safety-reinsurance-facility/" </w:instrText>
      </w:r>
      <w:r>
        <w:fldChar w:fldCharType="separate"/>
      </w:r>
      <w:r w:rsidRPr="00477366">
        <w:rPr>
          <w:rStyle w:val="Hyperlink"/>
          <w:lang w:eastAsia="en-US"/>
        </w:rPr>
        <w:t>here</w:t>
      </w:r>
      <w:r>
        <w:fldChar w:fldCharType="end"/>
      </w:r>
      <w:r>
        <w:rPr>
          <w:lang w:eastAsia="en-US"/>
        </w:rPr>
        <w:t xml:space="preserve">. </w:t>
      </w:r>
    </w:p>
    <w:p w:rsidR="005D554C" w:rsidP="00CE64B9">
      <w:pPr>
        <w:pStyle w:val="ListParagraph"/>
        <w:rPr>
          <w:lang w:eastAsia="en-US"/>
        </w:rPr>
      </w:pPr>
    </w:p>
    <w:p w:rsidR="005D554C" w:rsidP="00450AA2">
      <w:pPr>
        <w:pStyle w:val="ListParagraph"/>
        <w:numPr>
          <w:ilvl w:val="0"/>
          <w:numId w:val="32"/>
        </w:numPr>
        <w:jc w:val="both"/>
        <w:rPr>
          <w:lang w:eastAsia="en-US"/>
        </w:rPr>
      </w:pPr>
      <w:r>
        <w:rPr>
          <w:lang w:eastAsia="en-US"/>
        </w:rPr>
        <w:t xml:space="preserve">In its first year, more than 760 buildings were entered into the facility at a total value of £17.1billion </w:t>
      </w:r>
      <w:r>
        <w:rPr>
          <w:lang w:eastAsia="en-US"/>
        </w:rPr>
        <w:t xml:space="preserve">insured. Examples of buildings securing insurance when they would otherwise not have had cover, and some evidence of reduced premiums, shows that the Facility is working as intended to increase capacity in the multi-occupancy buildings insurance market for buildings with fire safety issues. </w:t>
      </w:r>
      <w:r>
        <w:rPr>
          <w:lang w:eastAsia="en-US"/>
        </w:rPr>
        <w:t xml:space="preserve">Following a positive first year we were pleased to announce </w:t>
      </w:r>
      <w:r>
        <w:rPr>
          <w:lang w:eastAsia="en-US"/>
        </w:rPr>
        <w:t xml:space="preserve">that the capacity has expanded so that firms operating in the facility can </w:t>
      </w:r>
      <w:r>
        <w:rPr>
          <w:lang w:eastAsia="en-US"/>
        </w:rPr>
        <w:t xml:space="preserve">now cover losses up to £75million, up from £50million in its first year. </w:t>
      </w:r>
    </w:p>
    <w:p w:rsidR="005D554C" w:rsidP="0036041A">
      <w:pPr>
        <w:pStyle w:val="ListParagraph"/>
        <w:rPr>
          <w:lang w:eastAsia="en-US"/>
        </w:rPr>
      </w:pPr>
    </w:p>
    <w:p w:rsidR="005D554C" w:rsidP="00450AA2">
      <w:pPr>
        <w:pStyle w:val="ListParagraph"/>
        <w:numPr>
          <w:ilvl w:val="0"/>
          <w:numId w:val="32"/>
        </w:numPr>
        <w:jc w:val="both"/>
        <w:rPr>
          <w:lang w:eastAsia="en-US"/>
        </w:rPr>
      </w:pPr>
      <w:r w:rsidRPr="5F15AD64">
        <w:rPr>
          <w:lang w:eastAsia="en-US"/>
        </w:rPr>
        <w:t xml:space="preserve">As capacity increases, this should encourage more competition and improve the availability of insurance for </w:t>
      </w:r>
      <w:r w:rsidRPr="5F15AD64">
        <w:rPr>
          <w:lang w:eastAsia="en-US"/>
        </w:rPr>
        <w:t>high-risk</w:t>
      </w:r>
      <w:r w:rsidRPr="5F15AD64">
        <w:rPr>
          <w:lang w:eastAsia="en-US"/>
        </w:rPr>
        <w:t xml:space="preserve"> buildings while remediation work takes place. In turn, this should support leaseholders in England, Wales and Northern Ireland as well as property owners in Scotland. </w:t>
      </w:r>
      <w:r w:rsidRPr="5F15AD64">
        <w:rPr>
          <w:lang w:eastAsia="en-US"/>
        </w:rPr>
        <w:t>We are continuing to work with MHCLG and HM Treasury to monitor progress of the facility and consider what more can be done to support affected leaseholders.</w:t>
      </w:r>
      <w:r w:rsidRPr="5F15AD64">
        <w:rPr>
          <w:lang w:eastAsia="en-US"/>
        </w:rPr>
        <w:t xml:space="preserve"> We support the government’s Cladding Remediation Acceleration Plan and </w:t>
      </w:r>
      <w:r w:rsidRPr="5F15AD64">
        <w:rPr>
          <w:lang w:eastAsia="en-US"/>
        </w:rPr>
        <w:t>believe the ultimate answer to support leaseholders is to ensure that dangerous cladding is remediat</w:t>
      </w:r>
      <w:r w:rsidRPr="5F15AD64">
        <w:rPr>
          <w:lang w:eastAsia="en-US"/>
        </w:rPr>
        <w:t>ed</w:t>
      </w:r>
      <w:r w:rsidRPr="5F15AD64">
        <w:rPr>
          <w:lang w:eastAsia="en-US"/>
        </w:rPr>
        <w:t xml:space="preserve"> as </w:t>
      </w:r>
      <w:r w:rsidRPr="5F15AD64">
        <w:rPr>
          <w:lang w:eastAsia="en-US"/>
        </w:rPr>
        <w:t>quickly as possible and to a standard th</w:t>
      </w:r>
      <w:r>
        <w:rPr>
          <w:lang w:eastAsia="en-US"/>
        </w:rPr>
        <w:t>at</w:t>
      </w:r>
      <w:r w:rsidRPr="5F15AD64">
        <w:rPr>
          <w:lang w:eastAsia="en-US"/>
        </w:rPr>
        <w:t xml:space="preserve"> recognises the importance of building resilience, not just life safety. </w:t>
      </w:r>
    </w:p>
    <w:p w:rsidR="005D554C" w:rsidP="00477366">
      <w:pPr>
        <w:pStyle w:val="ListParagraph"/>
        <w:rPr>
          <w:lang w:eastAsia="en-US"/>
        </w:rPr>
      </w:pPr>
    </w:p>
    <w:p w:rsidR="005D554C" w:rsidP="00F7435E">
      <w:pPr>
        <w:pStyle w:val="ListParagraph"/>
        <w:numPr>
          <w:ilvl w:val="0"/>
          <w:numId w:val="32"/>
        </w:numPr>
        <w:jc w:val="both"/>
        <w:rPr>
          <w:lang w:eastAsia="en-US"/>
        </w:rPr>
      </w:pPr>
      <w:r>
        <w:rPr>
          <w:lang w:eastAsia="en-US"/>
        </w:rPr>
        <w:t xml:space="preserve">On the </w:t>
      </w:r>
      <w:r>
        <w:rPr>
          <w:lang w:eastAsia="en-US"/>
        </w:rPr>
        <w:t xml:space="preserve">move to commonhold as the default tenure it will be very important </w:t>
      </w:r>
      <w:r>
        <w:rPr>
          <w:lang w:eastAsia="en-US"/>
        </w:rPr>
        <w:t xml:space="preserve">to ensure </w:t>
      </w:r>
      <w:r>
        <w:rPr>
          <w:lang w:eastAsia="en-US"/>
        </w:rPr>
        <w:t xml:space="preserve">high levels of professional standards and </w:t>
      </w:r>
      <w:r>
        <w:rPr>
          <w:lang w:eastAsia="en-US"/>
        </w:rPr>
        <w:t xml:space="preserve">transparency of building maintenance and repair </w:t>
      </w:r>
      <w:r>
        <w:rPr>
          <w:lang w:eastAsia="en-US"/>
        </w:rPr>
        <w:t xml:space="preserve">to support insurer confidence in the built environment. </w:t>
      </w:r>
    </w:p>
    <w:p w:rsidR="005D554C" w:rsidP="00F7435E">
      <w:pPr>
        <w:pStyle w:val="ListParagraph"/>
        <w:rPr>
          <w:lang w:eastAsia="en-US"/>
        </w:rPr>
      </w:pPr>
    </w:p>
    <w:p w:rsidR="005D554C" w:rsidP="00F7435E">
      <w:pPr>
        <w:pStyle w:val="ListParagraph"/>
        <w:numPr>
          <w:ilvl w:val="0"/>
          <w:numId w:val="32"/>
        </w:numPr>
        <w:jc w:val="both"/>
        <w:rPr>
          <w:lang w:eastAsia="en-US"/>
        </w:rPr>
      </w:pPr>
      <w:r w:rsidRPr="5F15AD64">
        <w:rPr>
          <w:lang w:eastAsia="en-US"/>
        </w:rPr>
        <w:t>The transition to commonhold will be a significant s</w:t>
      </w:r>
      <w:r w:rsidRPr="5F15AD64">
        <w:rPr>
          <w:lang w:eastAsia="en-US"/>
        </w:rPr>
        <w:t>hift in the legal and regulatory framework for properties in England and Wales</w:t>
      </w:r>
      <w:r w:rsidRPr="5F15AD64">
        <w:rPr>
          <w:lang w:eastAsia="en-US"/>
        </w:rPr>
        <w:t>. M</w:t>
      </w:r>
      <w:r w:rsidRPr="5F15AD64">
        <w:rPr>
          <w:lang w:eastAsia="en-US"/>
        </w:rPr>
        <w:t xml:space="preserve">any operational </w:t>
      </w:r>
      <w:r w:rsidRPr="5F15AD64">
        <w:rPr>
          <w:lang w:eastAsia="en-US"/>
        </w:rPr>
        <w:t>considerations</w:t>
      </w:r>
      <w:r w:rsidRPr="5F15AD64">
        <w:rPr>
          <w:lang w:eastAsia="en-US"/>
        </w:rPr>
        <w:t xml:space="preserve"> for </w:t>
      </w:r>
      <w:r w:rsidRPr="5F15AD64">
        <w:rPr>
          <w:lang w:eastAsia="en-US"/>
        </w:rPr>
        <w:t xml:space="preserve">services such as insurance are not currently included in the detail of the draft Bill and will be dealt with through further consultation and secondary legislation. </w:t>
      </w:r>
      <w:r w:rsidRPr="5F15AD64">
        <w:rPr>
          <w:lang w:eastAsia="en-US"/>
        </w:rPr>
        <w:t xml:space="preserve"> </w:t>
      </w:r>
      <w:r w:rsidRPr="5F15AD64">
        <w:rPr>
          <w:lang w:eastAsia="en-US"/>
        </w:rPr>
        <w:t xml:space="preserve">As the legislation progresses, </w:t>
      </w:r>
      <w:r w:rsidRPr="5F15AD64">
        <w:rPr>
          <w:lang w:eastAsia="en-US"/>
        </w:rPr>
        <w:t xml:space="preserve">it will be </w:t>
      </w:r>
      <w:r w:rsidRPr="5F15AD64">
        <w:rPr>
          <w:lang w:eastAsia="en-US"/>
        </w:rPr>
        <w:t xml:space="preserve">essential for the government to work closely with the insurance sector, as well as other parts of financial services such as </w:t>
      </w:r>
      <w:r w:rsidRPr="5F15AD64">
        <w:rPr>
          <w:lang w:eastAsia="en-US"/>
        </w:rPr>
        <w:t xml:space="preserve">brokers, </w:t>
      </w:r>
      <w:r w:rsidRPr="5F15AD64">
        <w:rPr>
          <w:lang w:eastAsia="en-US"/>
        </w:rPr>
        <w:t xml:space="preserve">mortgage </w:t>
      </w:r>
      <w:r w:rsidRPr="5F15AD64">
        <w:rPr>
          <w:lang w:eastAsia="en-US"/>
        </w:rPr>
        <w:t>providers</w:t>
      </w:r>
      <w:r w:rsidRPr="5F15AD64">
        <w:rPr>
          <w:lang w:eastAsia="en-US"/>
        </w:rPr>
        <w:t xml:space="preserve"> and lenders, </w:t>
      </w:r>
      <w:r w:rsidRPr="5F15AD64">
        <w:rPr>
          <w:lang w:eastAsia="en-US"/>
        </w:rPr>
        <w:t xml:space="preserve">so that the transition can be managed </w:t>
      </w:r>
      <w:r w:rsidRPr="5F15AD64">
        <w:rPr>
          <w:lang w:eastAsia="en-US"/>
        </w:rPr>
        <w:t xml:space="preserve">smoothly for existing leaseholders. </w:t>
      </w:r>
      <w:r w:rsidRPr="5F15AD64">
        <w:rPr>
          <w:lang w:eastAsia="en-US"/>
        </w:rPr>
        <w:t>Consideration of the impact on service charges should also be gi</w:t>
      </w:r>
      <w:r w:rsidRPr="5F15AD64">
        <w:rPr>
          <w:lang w:eastAsia="en-US"/>
        </w:rPr>
        <w:t>ven to ensure there are no unintended consequences.</w:t>
      </w:r>
    </w:p>
    <w:p w:rsidR="005D554C" w:rsidP="00D62CCE">
      <w:pPr>
        <w:pStyle w:val="ListParagraph"/>
        <w:rPr>
          <w:lang w:eastAsia="en-US"/>
        </w:rPr>
      </w:pPr>
    </w:p>
    <w:p w:rsidR="005D554C" w:rsidP="00450AA2">
      <w:pPr>
        <w:pStyle w:val="ListParagraph"/>
        <w:numPr>
          <w:ilvl w:val="0"/>
          <w:numId w:val="32"/>
        </w:numPr>
        <w:jc w:val="both"/>
        <w:rPr>
          <w:lang w:eastAsia="en-US"/>
        </w:rPr>
      </w:pPr>
      <w:r w:rsidRPr="5F15AD64">
        <w:rPr>
          <w:lang w:eastAsia="en-US"/>
        </w:rPr>
        <w:t>One of th</w:t>
      </w:r>
      <w:r w:rsidRPr="5F15AD64">
        <w:rPr>
          <w:lang w:eastAsia="en-US"/>
        </w:rPr>
        <w:t>e main considerations for insurers will be the impact of the shift to commonhold on</w:t>
      </w:r>
      <w:r w:rsidRPr="5F15AD64">
        <w:rPr>
          <w:lang w:eastAsia="en-US"/>
        </w:rPr>
        <w:t xml:space="preserve"> how insurers underwrite and pool risk for multi-occupancy buildings through portfolios. </w:t>
      </w:r>
      <w:r w:rsidRPr="5F15AD64">
        <w:rPr>
          <w:lang w:eastAsia="en-US"/>
        </w:rPr>
        <w:t xml:space="preserve">Currently the leasehold system allows insurers to </w:t>
      </w:r>
      <w:r w:rsidRPr="5F15AD64">
        <w:rPr>
          <w:lang w:eastAsia="en-US"/>
        </w:rPr>
        <w:t>place cover for portfolios of buildings</w:t>
      </w:r>
      <w:r w:rsidRPr="5F15AD64">
        <w:rPr>
          <w:lang w:eastAsia="en-US"/>
        </w:rPr>
        <w:t xml:space="preserve">, </w:t>
      </w:r>
      <w:r w:rsidRPr="5F15AD64">
        <w:rPr>
          <w:lang w:eastAsia="en-US"/>
        </w:rPr>
        <w:t>managing risk across a number of buildings</w:t>
      </w:r>
      <w:r w:rsidRPr="5F15AD64">
        <w:rPr>
          <w:lang w:eastAsia="en-US"/>
        </w:rPr>
        <w:t xml:space="preserve"> which can have both affordability and competition benefits for managing agents/building owners and individual leaseholders. </w:t>
      </w:r>
      <w:r w:rsidRPr="5F15AD64">
        <w:rPr>
          <w:lang w:eastAsia="en-US"/>
        </w:rPr>
        <w:t>Moving to a building by building procurement process under a commonhold system wil</w:t>
      </w:r>
      <w:r w:rsidRPr="5F15AD64">
        <w:rPr>
          <w:lang w:eastAsia="en-US"/>
        </w:rPr>
        <w:t xml:space="preserve">l change how insurers are able to pool risk with </w:t>
      </w:r>
      <w:r w:rsidRPr="5F15AD64">
        <w:rPr>
          <w:lang w:eastAsia="en-US"/>
        </w:rPr>
        <w:t xml:space="preserve">the potential for higher premiums or less competition in the market for higher risk buildings where they can no longer be placed into a larger portfolio. Further detail will need to be understood on how the </w:t>
      </w:r>
      <w:r w:rsidRPr="5F15AD64">
        <w:rPr>
          <w:lang w:eastAsia="en-US"/>
        </w:rPr>
        <w:t>new commonhold system will affect insurance</w:t>
      </w:r>
      <w:r w:rsidRPr="5F15AD64">
        <w:rPr>
          <w:lang w:eastAsia="en-US"/>
        </w:rPr>
        <w:t xml:space="preserve"> and the sector will need to be engaged with as a key stakeholder so that </w:t>
      </w:r>
      <w:r w:rsidRPr="5F15AD64">
        <w:rPr>
          <w:lang w:eastAsia="en-US"/>
        </w:rPr>
        <w:t>the transition can be managed</w:t>
      </w:r>
      <w:r w:rsidRPr="5F15AD64">
        <w:rPr>
          <w:lang w:eastAsia="en-US"/>
        </w:rPr>
        <w:t>, guidance agreed</w:t>
      </w:r>
      <w:r w:rsidRPr="5F15AD64">
        <w:rPr>
          <w:lang w:eastAsia="en-US"/>
        </w:rPr>
        <w:t xml:space="preserve"> and new processes implemented alongside the passage of the legislation. </w:t>
      </w:r>
    </w:p>
    <w:p w:rsidR="005D554C" w:rsidP="00703A9C">
      <w:pPr>
        <w:jc w:val="both"/>
        <w:rPr>
          <w:lang w:eastAsia="en-US"/>
        </w:rPr>
      </w:pPr>
    </w:p>
    <w:p w:rsidR="005D554C" w:rsidP="00703A9C">
      <w:pPr>
        <w:jc w:val="both"/>
        <w:rPr>
          <w:lang w:eastAsia="en-US"/>
        </w:rPr>
      </w:pPr>
    </w:p>
    <w:p w:rsidR="005D554C" w:rsidRPr="005D554C" w:rsidP="00703A9C">
      <w:pPr>
        <w:jc w:val="both"/>
        <w:rPr>
          <w:i/>
          <w:iCs/>
          <w:lang w:eastAsia="en-US"/>
        </w:rPr>
      </w:pPr>
      <w:r>
        <w:rPr>
          <w:i/>
          <w:iCs/>
          <w:lang w:eastAsia="en-US"/>
        </w:rPr>
        <w:t>February 2026</w:t>
      </w:r>
    </w:p>
    <w:sectPr w:rsidSect="005E7EDB">
      <w:pgSz w:w="11906" w:h="16838" w:code="9"/>
      <w:pgMar w:top="1985" w:right="851" w:bottom="1134" w:left="1134" w:header="737" w:footer="34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ter">
    <w:altName w:val="Calibri"/>
    <w:charset w:val="00"/>
    <w:family w:val="swiss"/>
    <w:pitch w:val="variable"/>
    <w:sig w:usb0="E00002FF" w:usb1="1200A1FF" w:usb2="00000001" w:usb3="00000000" w:csb0="0000019F" w:csb1="00000000"/>
  </w:font>
  <w:font w:name="Aptos">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MingLiU">
    <w:altName w:val="細明體"/>
    <w:panose1 w:val="02010609000101010101"/>
    <w:charset w:val="88"/>
    <w:family w:val="modern"/>
    <w:pitch w:val="fixed"/>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0"/>
    <w:multiLevelType w:val="singleLevel"/>
    <w:tmpl w:val="49F83C26"/>
    <w:lvl w:ilvl="0">
      <w:start w:val="1"/>
      <w:numFmt w:val="bullet"/>
      <w:pStyle w:val="ListBullet5"/>
      <w:lvlText w:val=""/>
      <w:lvlJc w:val="left"/>
      <w:pPr>
        <w:tabs>
          <w:tab w:val="num" w:pos="1492"/>
        </w:tabs>
        <w:ind w:left="1492" w:hanging="360"/>
      </w:pPr>
      <w:rPr>
        <w:rFonts w:ascii="Symbol" w:hAnsi="Symbol" w:hint="default"/>
      </w:rPr>
    </w:lvl>
  </w:abstractNum>
  <w:abstractNum w:abstractNumId="1">
    <w:nsid w:val="FFFFFF81"/>
    <w:multiLevelType w:val="singleLevel"/>
    <w:tmpl w:val="992A5F8C"/>
    <w:lvl w:ilvl="0">
      <w:start w:val="1"/>
      <w:numFmt w:val="bullet"/>
      <w:pStyle w:val="ListBullet4"/>
      <w:lvlText w:val=""/>
      <w:lvlJc w:val="left"/>
      <w:pPr>
        <w:tabs>
          <w:tab w:val="num" w:pos="1209"/>
        </w:tabs>
        <w:ind w:left="1209" w:hanging="360"/>
      </w:pPr>
      <w:rPr>
        <w:rFonts w:ascii="Symbol" w:hAnsi="Symbol" w:hint="default"/>
      </w:rPr>
    </w:lvl>
  </w:abstractNum>
  <w:abstractNum w:abstractNumId="2">
    <w:nsid w:val="023D01F2"/>
    <w:multiLevelType w:val="hybridMultilevel"/>
    <w:tmpl w:val="B678B000"/>
    <w:lvl w:ilvl="0">
      <w:start w:val="1"/>
      <w:numFmt w:val="bullet"/>
      <w:lvlText w:val="o"/>
      <w:lvlJc w:val="left"/>
      <w:pPr>
        <w:ind w:left="1074" w:hanging="360"/>
      </w:pPr>
      <w:rPr>
        <w:rFonts w:ascii="Courier New" w:hAnsi="Courier New" w:cs="Courier New" w:hint="default"/>
      </w:rPr>
    </w:lvl>
    <w:lvl w:ilvl="1" w:tentative="1">
      <w:start w:val="1"/>
      <w:numFmt w:val="bullet"/>
      <w:lvlText w:val="o"/>
      <w:lvlJc w:val="left"/>
      <w:pPr>
        <w:ind w:left="1794" w:hanging="360"/>
      </w:pPr>
      <w:rPr>
        <w:rFonts w:ascii="Courier New" w:hAnsi="Courier New" w:cs="Courier New" w:hint="default"/>
      </w:rPr>
    </w:lvl>
    <w:lvl w:ilvl="2" w:tentative="1">
      <w:start w:val="1"/>
      <w:numFmt w:val="bullet"/>
      <w:lvlText w:val=""/>
      <w:lvlJc w:val="left"/>
      <w:pPr>
        <w:ind w:left="2514" w:hanging="360"/>
      </w:pPr>
      <w:rPr>
        <w:rFonts w:ascii="Wingdings" w:hAnsi="Wingdings" w:hint="default"/>
      </w:rPr>
    </w:lvl>
    <w:lvl w:ilvl="3" w:tentative="1">
      <w:start w:val="1"/>
      <w:numFmt w:val="bullet"/>
      <w:lvlText w:val=""/>
      <w:lvlJc w:val="left"/>
      <w:pPr>
        <w:ind w:left="3234" w:hanging="360"/>
      </w:pPr>
      <w:rPr>
        <w:rFonts w:ascii="Symbol" w:hAnsi="Symbol" w:hint="default"/>
      </w:rPr>
    </w:lvl>
    <w:lvl w:ilvl="4" w:tentative="1">
      <w:start w:val="1"/>
      <w:numFmt w:val="bullet"/>
      <w:lvlText w:val="o"/>
      <w:lvlJc w:val="left"/>
      <w:pPr>
        <w:ind w:left="3954" w:hanging="360"/>
      </w:pPr>
      <w:rPr>
        <w:rFonts w:ascii="Courier New" w:hAnsi="Courier New" w:cs="Courier New" w:hint="default"/>
      </w:rPr>
    </w:lvl>
    <w:lvl w:ilvl="5" w:tentative="1">
      <w:start w:val="1"/>
      <w:numFmt w:val="bullet"/>
      <w:lvlText w:val=""/>
      <w:lvlJc w:val="left"/>
      <w:pPr>
        <w:ind w:left="4674" w:hanging="360"/>
      </w:pPr>
      <w:rPr>
        <w:rFonts w:ascii="Wingdings" w:hAnsi="Wingdings" w:hint="default"/>
      </w:rPr>
    </w:lvl>
    <w:lvl w:ilvl="6" w:tentative="1">
      <w:start w:val="1"/>
      <w:numFmt w:val="bullet"/>
      <w:lvlText w:val=""/>
      <w:lvlJc w:val="left"/>
      <w:pPr>
        <w:ind w:left="5394" w:hanging="360"/>
      </w:pPr>
      <w:rPr>
        <w:rFonts w:ascii="Symbol" w:hAnsi="Symbol" w:hint="default"/>
      </w:rPr>
    </w:lvl>
    <w:lvl w:ilvl="7" w:tentative="1">
      <w:start w:val="1"/>
      <w:numFmt w:val="bullet"/>
      <w:lvlText w:val="o"/>
      <w:lvlJc w:val="left"/>
      <w:pPr>
        <w:ind w:left="6114" w:hanging="360"/>
      </w:pPr>
      <w:rPr>
        <w:rFonts w:ascii="Courier New" w:hAnsi="Courier New" w:cs="Courier New" w:hint="default"/>
      </w:rPr>
    </w:lvl>
    <w:lvl w:ilvl="8" w:tentative="1">
      <w:start w:val="1"/>
      <w:numFmt w:val="bullet"/>
      <w:lvlText w:val=""/>
      <w:lvlJc w:val="left"/>
      <w:pPr>
        <w:ind w:left="6834" w:hanging="360"/>
      </w:pPr>
      <w:rPr>
        <w:rFonts w:ascii="Wingdings" w:hAnsi="Wingdings" w:hint="default"/>
      </w:rPr>
    </w:lvl>
  </w:abstractNum>
  <w:abstractNum w:abstractNumId="3">
    <w:nsid w:val="03BE516F"/>
    <w:multiLevelType w:val="hybridMultilevel"/>
    <w:tmpl w:val="706C6330"/>
    <w:lvl w:ilvl="0">
      <w:start w:val="1"/>
      <w:numFmt w:val="bullet"/>
      <w:lvlText w:val="o"/>
      <w:lvlJc w:val="left"/>
      <w:pPr>
        <w:ind w:left="1074" w:hanging="360"/>
      </w:pPr>
      <w:rPr>
        <w:rFonts w:ascii="Courier New" w:hAnsi="Courier New" w:cs="Courier New" w:hint="default"/>
      </w:rPr>
    </w:lvl>
    <w:lvl w:ilvl="1" w:tentative="1">
      <w:start w:val="1"/>
      <w:numFmt w:val="bullet"/>
      <w:lvlText w:val="o"/>
      <w:lvlJc w:val="left"/>
      <w:pPr>
        <w:ind w:left="1794" w:hanging="360"/>
      </w:pPr>
      <w:rPr>
        <w:rFonts w:ascii="Courier New" w:hAnsi="Courier New" w:cs="Courier New" w:hint="default"/>
      </w:rPr>
    </w:lvl>
    <w:lvl w:ilvl="2" w:tentative="1">
      <w:start w:val="1"/>
      <w:numFmt w:val="bullet"/>
      <w:lvlText w:val=""/>
      <w:lvlJc w:val="left"/>
      <w:pPr>
        <w:ind w:left="2514" w:hanging="360"/>
      </w:pPr>
      <w:rPr>
        <w:rFonts w:ascii="Wingdings" w:hAnsi="Wingdings" w:hint="default"/>
      </w:rPr>
    </w:lvl>
    <w:lvl w:ilvl="3" w:tentative="1">
      <w:start w:val="1"/>
      <w:numFmt w:val="bullet"/>
      <w:lvlText w:val=""/>
      <w:lvlJc w:val="left"/>
      <w:pPr>
        <w:ind w:left="3234" w:hanging="360"/>
      </w:pPr>
      <w:rPr>
        <w:rFonts w:ascii="Symbol" w:hAnsi="Symbol" w:hint="default"/>
      </w:rPr>
    </w:lvl>
    <w:lvl w:ilvl="4" w:tentative="1">
      <w:start w:val="1"/>
      <w:numFmt w:val="bullet"/>
      <w:lvlText w:val="o"/>
      <w:lvlJc w:val="left"/>
      <w:pPr>
        <w:ind w:left="3954" w:hanging="360"/>
      </w:pPr>
      <w:rPr>
        <w:rFonts w:ascii="Courier New" w:hAnsi="Courier New" w:cs="Courier New" w:hint="default"/>
      </w:rPr>
    </w:lvl>
    <w:lvl w:ilvl="5" w:tentative="1">
      <w:start w:val="1"/>
      <w:numFmt w:val="bullet"/>
      <w:lvlText w:val=""/>
      <w:lvlJc w:val="left"/>
      <w:pPr>
        <w:ind w:left="4674" w:hanging="360"/>
      </w:pPr>
      <w:rPr>
        <w:rFonts w:ascii="Wingdings" w:hAnsi="Wingdings" w:hint="default"/>
      </w:rPr>
    </w:lvl>
    <w:lvl w:ilvl="6" w:tentative="1">
      <w:start w:val="1"/>
      <w:numFmt w:val="bullet"/>
      <w:lvlText w:val=""/>
      <w:lvlJc w:val="left"/>
      <w:pPr>
        <w:ind w:left="5394" w:hanging="360"/>
      </w:pPr>
      <w:rPr>
        <w:rFonts w:ascii="Symbol" w:hAnsi="Symbol" w:hint="default"/>
      </w:rPr>
    </w:lvl>
    <w:lvl w:ilvl="7" w:tentative="1">
      <w:start w:val="1"/>
      <w:numFmt w:val="bullet"/>
      <w:lvlText w:val="o"/>
      <w:lvlJc w:val="left"/>
      <w:pPr>
        <w:ind w:left="6114" w:hanging="360"/>
      </w:pPr>
      <w:rPr>
        <w:rFonts w:ascii="Courier New" w:hAnsi="Courier New" w:cs="Courier New" w:hint="default"/>
      </w:rPr>
    </w:lvl>
    <w:lvl w:ilvl="8" w:tentative="1">
      <w:start w:val="1"/>
      <w:numFmt w:val="bullet"/>
      <w:lvlText w:val=""/>
      <w:lvlJc w:val="left"/>
      <w:pPr>
        <w:ind w:left="6834" w:hanging="360"/>
      </w:pPr>
      <w:rPr>
        <w:rFonts w:ascii="Wingdings" w:hAnsi="Wingdings" w:hint="default"/>
      </w:rPr>
    </w:lvl>
  </w:abstractNum>
  <w:abstractNum w:abstractNumId="4">
    <w:nsid w:val="079929BD"/>
    <w:multiLevelType w:val="multilevel"/>
    <w:tmpl w:val="BF06B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D5B1AF6"/>
    <w:multiLevelType w:val="hybridMultilevel"/>
    <w:tmpl w:val="23667C0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104E3CF4"/>
    <w:multiLevelType w:val="hybridMultilevel"/>
    <w:tmpl w:val="23DACB50"/>
    <w:lvl w:ilvl="0">
      <w:start w:val="2023"/>
      <w:numFmt w:val="decimal"/>
      <w:lvlText w:val="%1"/>
      <w:lvlJc w:val="left"/>
      <w:pPr>
        <w:ind w:left="900" w:hanging="540"/>
      </w:pPr>
      <w:rPr>
        <w:rFonts w:hint="default"/>
        <w:color w:val="009CD8"/>
        <w:u w:val="single"/>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10C92DE1"/>
    <w:multiLevelType w:val="multilevel"/>
    <w:tmpl w:val="B88C6228"/>
    <w:numStyleLink w:val="NumList"/>
  </w:abstractNum>
  <w:abstractNum w:abstractNumId="8">
    <w:nsid w:val="13B0789C"/>
    <w:multiLevelType w:val="multilevel"/>
    <w:tmpl w:val="76668DB0"/>
    <w:styleLink w:val="BulletList"/>
    <w:lvl w:ilvl="0">
      <w:start w:val="1"/>
      <w:numFmt w:val="bullet"/>
      <w:pStyle w:val="ListBullet"/>
      <w:lvlText w:val=""/>
      <w:lvlJc w:val="left"/>
      <w:pPr>
        <w:ind w:left="340" w:hanging="340"/>
      </w:pPr>
      <w:rPr>
        <w:rFonts w:ascii="Symbol" w:hAnsi="Symbol" w:cs="Times New Roman" w:hint="default"/>
        <w:color w:val="auto"/>
        <w:szCs w:val="28"/>
      </w:rPr>
    </w:lvl>
    <w:lvl w:ilvl="1">
      <w:start w:val="1"/>
      <w:numFmt w:val="bullet"/>
      <w:pStyle w:val="ListBullet2"/>
      <w:lvlText w:val="–"/>
      <w:lvlJc w:val="left"/>
      <w:pPr>
        <w:ind w:left="680" w:hanging="340"/>
      </w:pPr>
      <w:rPr>
        <w:rFonts w:ascii="Inter" w:hAnsi="Inter" w:cs="Times New Roman" w:hint="default"/>
        <w:color w:val="auto"/>
        <w:szCs w:val="28"/>
      </w:rPr>
    </w:lvl>
    <w:lvl w:ilvl="2">
      <w:start w:val="1"/>
      <w:numFmt w:val="bullet"/>
      <w:pStyle w:val="ListBullet3"/>
      <w:lvlText w:val=""/>
      <w:lvlJc w:val="left"/>
      <w:pPr>
        <w:ind w:left="1021" w:hanging="341"/>
      </w:pPr>
      <w:rPr>
        <w:rFonts w:ascii="Symbol" w:hAnsi="Symbol" w:cs="Times New Roman" w:hint="default"/>
        <w:color w:val="auto"/>
        <w:szCs w:val="28"/>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nsid w:val="15005655"/>
    <w:multiLevelType w:val="hybridMultilevel"/>
    <w:tmpl w:val="B3EAAE00"/>
    <w:lvl w:ilvl="0">
      <w:start w:val="1"/>
      <w:numFmt w:val="bullet"/>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0">
    <w:nsid w:val="19FB5578"/>
    <w:multiLevelType w:val="hybridMultilevel"/>
    <w:tmpl w:val="43E2964A"/>
    <w:lvl w:ilvl="0">
      <w:start w:val="1"/>
      <w:numFmt w:val="bullet"/>
      <w:lvlText w:val=""/>
      <w:lvlJc w:val="left"/>
      <w:pPr>
        <w:ind w:left="767" w:hanging="360"/>
      </w:pPr>
      <w:rPr>
        <w:rFonts w:ascii="Symbol" w:hAnsi="Symbol" w:hint="default"/>
      </w:rPr>
    </w:lvl>
    <w:lvl w:ilvl="1" w:tentative="1">
      <w:start w:val="1"/>
      <w:numFmt w:val="bullet"/>
      <w:lvlText w:val="o"/>
      <w:lvlJc w:val="left"/>
      <w:pPr>
        <w:ind w:left="1487" w:hanging="360"/>
      </w:pPr>
      <w:rPr>
        <w:rFonts w:ascii="Courier New" w:hAnsi="Courier New" w:cs="Courier New" w:hint="default"/>
      </w:rPr>
    </w:lvl>
    <w:lvl w:ilvl="2" w:tentative="1">
      <w:start w:val="1"/>
      <w:numFmt w:val="bullet"/>
      <w:lvlText w:val=""/>
      <w:lvlJc w:val="left"/>
      <w:pPr>
        <w:ind w:left="2207" w:hanging="360"/>
      </w:pPr>
      <w:rPr>
        <w:rFonts w:ascii="Wingdings" w:hAnsi="Wingdings" w:hint="default"/>
      </w:rPr>
    </w:lvl>
    <w:lvl w:ilvl="3" w:tentative="1">
      <w:start w:val="1"/>
      <w:numFmt w:val="bullet"/>
      <w:lvlText w:val=""/>
      <w:lvlJc w:val="left"/>
      <w:pPr>
        <w:ind w:left="2927" w:hanging="360"/>
      </w:pPr>
      <w:rPr>
        <w:rFonts w:ascii="Symbol" w:hAnsi="Symbol" w:hint="default"/>
      </w:rPr>
    </w:lvl>
    <w:lvl w:ilvl="4" w:tentative="1">
      <w:start w:val="1"/>
      <w:numFmt w:val="bullet"/>
      <w:lvlText w:val="o"/>
      <w:lvlJc w:val="left"/>
      <w:pPr>
        <w:ind w:left="3647" w:hanging="360"/>
      </w:pPr>
      <w:rPr>
        <w:rFonts w:ascii="Courier New" w:hAnsi="Courier New" w:cs="Courier New" w:hint="default"/>
      </w:rPr>
    </w:lvl>
    <w:lvl w:ilvl="5" w:tentative="1">
      <w:start w:val="1"/>
      <w:numFmt w:val="bullet"/>
      <w:lvlText w:val=""/>
      <w:lvlJc w:val="left"/>
      <w:pPr>
        <w:ind w:left="4367" w:hanging="360"/>
      </w:pPr>
      <w:rPr>
        <w:rFonts w:ascii="Wingdings" w:hAnsi="Wingdings" w:hint="default"/>
      </w:rPr>
    </w:lvl>
    <w:lvl w:ilvl="6" w:tentative="1">
      <w:start w:val="1"/>
      <w:numFmt w:val="bullet"/>
      <w:lvlText w:val=""/>
      <w:lvlJc w:val="left"/>
      <w:pPr>
        <w:ind w:left="5087" w:hanging="360"/>
      </w:pPr>
      <w:rPr>
        <w:rFonts w:ascii="Symbol" w:hAnsi="Symbol" w:hint="default"/>
      </w:rPr>
    </w:lvl>
    <w:lvl w:ilvl="7" w:tentative="1">
      <w:start w:val="1"/>
      <w:numFmt w:val="bullet"/>
      <w:lvlText w:val="o"/>
      <w:lvlJc w:val="left"/>
      <w:pPr>
        <w:ind w:left="5807" w:hanging="360"/>
      </w:pPr>
      <w:rPr>
        <w:rFonts w:ascii="Courier New" w:hAnsi="Courier New" w:cs="Courier New" w:hint="default"/>
      </w:rPr>
    </w:lvl>
    <w:lvl w:ilvl="8" w:tentative="1">
      <w:start w:val="1"/>
      <w:numFmt w:val="bullet"/>
      <w:lvlText w:val=""/>
      <w:lvlJc w:val="left"/>
      <w:pPr>
        <w:ind w:left="6527" w:hanging="360"/>
      </w:pPr>
      <w:rPr>
        <w:rFonts w:ascii="Wingdings" w:hAnsi="Wingdings" w:hint="default"/>
      </w:rPr>
    </w:lvl>
  </w:abstractNum>
  <w:abstractNum w:abstractNumId="11">
    <w:nsid w:val="1C9547B1"/>
    <w:multiLevelType w:val="hybridMultilevel"/>
    <w:tmpl w:val="6E8A3BD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1F705213"/>
    <w:multiLevelType w:val="hybridMultilevel"/>
    <w:tmpl w:val="D326085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230C341B"/>
    <w:multiLevelType w:val="hybridMultilevel"/>
    <w:tmpl w:val="5F00D8A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26391E48"/>
    <w:multiLevelType w:val="hybridMultilevel"/>
    <w:tmpl w:val="E16C84BA"/>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295A0B71"/>
    <w:multiLevelType w:val="multilevel"/>
    <w:tmpl w:val="52C26148"/>
    <w:styleLink w:val="ArticleSection"/>
    <w:lvl w:ilvl="0">
      <w:start w:val="1"/>
      <w:numFmt w:val="upperRoman"/>
      <w:lvlText w:val="Article %1."/>
      <w:lvlJc w:val="left"/>
      <w:pPr>
        <w:ind w:left="0" w:firstLine="0"/>
      </w:pPr>
      <w:rPr>
        <w:rFonts w:hint="default"/>
        <w:color w:val="auto"/>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16">
    <w:nsid w:val="297103D0"/>
    <w:multiLevelType w:val="multilevel"/>
    <w:tmpl w:val="F0965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6AD3CE7"/>
    <w:multiLevelType w:val="multilevel"/>
    <w:tmpl w:val="76668DB0"/>
    <w:numStyleLink w:val="BulletList"/>
  </w:abstractNum>
  <w:abstractNum w:abstractNumId="18">
    <w:nsid w:val="36D70B4B"/>
    <w:multiLevelType w:val="hybridMultilevel"/>
    <w:tmpl w:val="DFD8270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39355CB2"/>
    <w:multiLevelType w:val="hybridMultilevel"/>
    <w:tmpl w:val="E1E0054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3AA87344"/>
    <w:multiLevelType w:val="multilevel"/>
    <w:tmpl w:val="D4287C60"/>
    <w:styleLink w:val="HeadingNumList"/>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nsid w:val="412155AA"/>
    <w:multiLevelType w:val="multilevel"/>
    <w:tmpl w:val="52D8A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6D22968"/>
    <w:multiLevelType w:val="multilevel"/>
    <w:tmpl w:val="B88C6228"/>
    <w:styleLink w:val="NumList"/>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nsid w:val="4AB95723"/>
    <w:multiLevelType w:val="hybridMultilevel"/>
    <w:tmpl w:val="3A3A26D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nsid w:val="59A0283F"/>
    <w:multiLevelType w:val="hybridMultilevel"/>
    <w:tmpl w:val="850EF78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nsid w:val="5A471697"/>
    <w:multiLevelType w:val="hybridMultilevel"/>
    <w:tmpl w:val="C20CDC02"/>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6">
    <w:nsid w:val="5CF86145"/>
    <w:multiLevelType w:val="multilevel"/>
    <w:tmpl w:val="BB2E8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1750ADF"/>
    <w:multiLevelType w:val="hybridMultilevel"/>
    <w:tmpl w:val="89A27EE8"/>
    <w:lvl w:ilvl="0">
      <w:start w:val="1"/>
      <w:numFmt w:val="bullet"/>
      <w:lvlText w:val="o"/>
      <w:lvlJc w:val="left"/>
      <w:pPr>
        <w:ind w:left="1074" w:hanging="360"/>
      </w:pPr>
      <w:rPr>
        <w:rFonts w:ascii="Courier New" w:hAnsi="Courier New" w:cs="Courier New" w:hint="default"/>
      </w:rPr>
    </w:lvl>
    <w:lvl w:ilvl="1" w:tentative="1">
      <w:start w:val="1"/>
      <w:numFmt w:val="bullet"/>
      <w:lvlText w:val="o"/>
      <w:lvlJc w:val="left"/>
      <w:pPr>
        <w:ind w:left="1794" w:hanging="360"/>
      </w:pPr>
      <w:rPr>
        <w:rFonts w:ascii="Courier New" w:hAnsi="Courier New" w:cs="Courier New" w:hint="default"/>
      </w:rPr>
    </w:lvl>
    <w:lvl w:ilvl="2" w:tentative="1">
      <w:start w:val="1"/>
      <w:numFmt w:val="bullet"/>
      <w:lvlText w:val=""/>
      <w:lvlJc w:val="left"/>
      <w:pPr>
        <w:ind w:left="2514" w:hanging="360"/>
      </w:pPr>
      <w:rPr>
        <w:rFonts w:ascii="Wingdings" w:hAnsi="Wingdings" w:hint="default"/>
      </w:rPr>
    </w:lvl>
    <w:lvl w:ilvl="3" w:tentative="1">
      <w:start w:val="1"/>
      <w:numFmt w:val="bullet"/>
      <w:lvlText w:val=""/>
      <w:lvlJc w:val="left"/>
      <w:pPr>
        <w:ind w:left="3234" w:hanging="360"/>
      </w:pPr>
      <w:rPr>
        <w:rFonts w:ascii="Symbol" w:hAnsi="Symbol" w:hint="default"/>
      </w:rPr>
    </w:lvl>
    <w:lvl w:ilvl="4" w:tentative="1">
      <w:start w:val="1"/>
      <w:numFmt w:val="bullet"/>
      <w:lvlText w:val="o"/>
      <w:lvlJc w:val="left"/>
      <w:pPr>
        <w:ind w:left="3954" w:hanging="360"/>
      </w:pPr>
      <w:rPr>
        <w:rFonts w:ascii="Courier New" w:hAnsi="Courier New" w:cs="Courier New" w:hint="default"/>
      </w:rPr>
    </w:lvl>
    <w:lvl w:ilvl="5" w:tentative="1">
      <w:start w:val="1"/>
      <w:numFmt w:val="bullet"/>
      <w:lvlText w:val=""/>
      <w:lvlJc w:val="left"/>
      <w:pPr>
        <w:ind w:left="4674" w:hanging="360"/>
      </w:pPr>
      <w:rPr>
        <w:rFonts w:ascii="Wingdings" w:hAnsi="Wingdings" w:hint="default"/>
      </w:rPr>
    </w:lvl>
    <w:lvl w:ilvl="6" w:tentative="1">
      <w:start w:val="1"/>
      <w:numFmt w:val="bullet"/>
      <w:lvlText w:val=""/>
      <w:lvlJc w:val="left"/>
      <w:pPr>
        <w:ind w:left="5394" w:hanging="360"/>
      </w:pPr>
      <w:rPr>
        <w:rFonts w:ascii="Symbol" w:hAnsi="Symbol" w:hint="default"/>
      </w:rPr>
    </w:lvl>
    <w:lvl w:ilvl="7" w:tentative="1">
      <w:start w:val="1"/>
      <w:numFmt w:val="bullet"/>
      <w:lvlText w:val="o"/>
      <w:lvlJc w:val="left"/>
      <w:pPr>
        <w:ind w:left="6114" w:hanging="360"/>
      </w:pPr>
      <w:rPr>
        <w:rFonts w:ascii="Courier New" w:hAnsi="Courier New" w:cs="Courier New" w:hint="default"/>
      </w:rPr>
    </w:lvl>
    <w:lvl w:ilvl="8" w:tentative="1">
      <w:start w:val="1"/>
      <w:numFmt w:val="bullet"/>
      <w:lvlText w:val=""/>
      <w:lvlJc w:val="left"/>
      <w:pPr>
        <w:ind w:left="6834" w:hanging="360"/>
      </w:pPr>
      <w:rPr>
        <w:rFonts w:ascii="Wingdings" w:hAnsi="Wingdings" w:hint="default"/>
      </w:rPr>
    </w:lvl>
  </w:abstractNum>
  <w:abstractNum w:abstractNumId="28">
    <w:nsid w:val="6F3D3401"/>
    <w:multiLevelType w:val="multilevel"/>
    <w:tmpl w:val="99BC4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1E94135"/>
    <w:multiLevelType w:val="hybridMultilevel"/>
    <w:tmpl w:val="B074F78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0">
    <w:nsid w:val="734C7019"/>
    <w:multiLevelType w:val="hybridMultilevel"/>
    <w:tmpl w:val="342CD0DE"/>
    <w:lvl w:ilvl="0">
      <w:start w:val="2"/>
      <w:numFmt w:val="bullet"/>
      <w:lvlText w:val="-"/>
      <w:lvlJc w:val="left"/>
      <w:pPr>
        <w:ind w:left="720" w:hanging="360"/>
      </w:pPr>
      <w:rPr>
        <w:rFonts w:ascii="Aptos" w:eastAsia="Aptos" w:hAnsi="Aptos"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nsid w:val="7E3A58E2"/>
    <w:multiLevelType w:val="multilevel"/>
    <w:tmpl w:val="2DCEC4F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2">
    <w:nsid w:val="7E717EB2"/>
    <w:multiLevelType w:val="hybridMultilevel"/>
    <w:tmpl w:val="647C7760"/>
    <w:lvl w:ilvl="0">
      <w:start w:val="1"/>
      <w:numFmt w:val="decimal"/>
      <w:lvlText w:val="%1&gt;"/>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2"/>
  </w:num>
  <w:num w:numId="2">
    <w:abstractNumId w:val="20"/>
  </w:num>
  <w:num w:numId="3">
    <w:abstractNumId w:val="7"/>
  </w:num>
  <w:num w:numId="4">
    <w:abstractNumId w:val="8"/>
  </w:num>
  <w:num w:numId="5">
    <w:abstractNumId w:val="15"/>
  </w:num>
  <w:num w:numId="6">
    <w:abstractNumId w:val="1"/>
  </w:num>
  <w:num w:numId="7">
    <w:abstractNumId w:val="0"/>
  </w:num>
  <w:num w:numId="8">
    <w:abstractNumId w:val="17"/>
  </w:num>
  <w:num w:numId="9">
    <w:abstractNumId w:val="12"/>
  </w:num>
  <w:num w:numId="10">
    <w:abstractNumId w:val="18"/>
  </w:num>
  <w:num w:numId="11">
    <w:abstractNumId w:val="9"/>
  </w:num>
  <w:num w:numId="12">
    <w:abstractNumId w:val="23"/>
  </w:num>
  <w:num w:numId="13">
    <w:abstractNumId w:val="24"/>
  </w:num>
  <w:num w:numId="14">
    <w:abstractNumId w:val="11"/>
  </w:num>
  <w:num w:numId="15">
    <w:abstractNumId w:val="2"/>
  </w:num>
  <w:num w:numId="16">
    <w:abstractNumId w:val="27"/>
  </w:num>
  <w:num w:numId="17">
    <w:abstractNumId w:val="3"/>
  </w:num>
  <w:num w:numId="18">
    <w:abstractNumId w:val="13"/>
  </w:num>
  <w:num w:numId="19">
    <w:abstractNumId w:val="5"/>
  </w:num>
  <w:num w:numId="20">
    <w:abstractNumId w:val="10"/>
  </w:num>
  <w:num w:numId="21">
    <w:abstractNumId w:val="30"/>
  </w:num>
  <w:num w:numId="22">
    <w:abstractNumId w:val="19"/>
  </w:num>
  <w:num w:numId="23">
    <w:abstractNumId w:val="14"/>
  </w:num>
  <w:num w:numId="24">
    <w:abstractNumId w:val="29"/>
  </w:num>
  <w:num w:numId="25">
    <w:abstractNumId w:val="26"/>
  </w:num>
  <w:num w:numId="26">
    <w:abstractNumId w:val="31"/>
  </w:num>
  <w:num w:numId="27">
    <w:abstractNumId w:val="21"/>
  </w:num>
  <w:num w:numId="28">
    <w:abstractNumId w:val="28"/>
  </w:num>
  <w:num w:numId="29">
    <w:abstractNumId w:val="4"/>
  </w:num>
  <w:num w:numId="30">
    <w:abstractNumId w:val="16"/>
  </w:num>
  <w:num w:numId="31">
    <w:abstractNumId w:val="32"/>
  </w:num>
  <w:num w:numId="32">
    <w:abstractNumId w:val="25"/>
  </w:num>
  <w:num w:numId="3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TW"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GB"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annotation text" w:semiHidden="1"/>
    <w:lsdException w:name="header" w:semiHidden="1"/>
    <w:lsdException w:name="footer" w:semiHidden="1"/>
    <w:lsdException w:name="index heading" w:semiHidden="1"/>
    <w:lsdException w:name="caption"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19" w:qFormat="1"/>
    <w:lsdException w:name="List Number" w:uiPriority="29" w:qFormat="1"/>
    <w:lsdException w:name="List 2" w:semiHidden="1"/>
    <w:lsdException w:name="List 3" w:semiHidden="1"/>
    <w:lsdException w:name="List 4" w:semiHidden="1"/>
    <w:lsdException w:name="List 5" w:semiHidden="1"/>
    <w:lsdException w:name="List Bullet 2" w:uiPriority="19" w:qFormat="1"/>
    <w:lsdException w:name="List Bullet 3" w:uiPriority="19" w:qFormat="1"/>
    <w:lsdException w:name="List Bullet 4" w:semiHidden="1"/>
    <w:lsdException w:name="List Bullet 5" w:semiHidden="1"/>
    <w:lsdException w:name="List Number 2" w:uiPriority="29" w:qFormat="1"/>
    <w:lsdException w:name="List Number 3" w:uiPriority="29" w:qFormat="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uiPriority="0"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uiPriority="39" w:qFormat="1"/>
  </w:latentStyles>
  <w:style w:type="paragraph" w:default="1" w:styleId="Normal">
    <w:name w:val="Normal"/>
    <w:uiPriority w:val="34"/>
    <w:qFormat/>
    <w:rsid w:val="00B219D1"/>
    <w:pPr>
      <w:spacing w:line="280" w:lineRule="atLeast"/>
    </w:pPr>
    <w:rPr>
      <w:sz w:val="22"/>
    </w:rPr>
  </w:style>
  <w:style w:type="paragraph" w:styleId="Heading1">
    <w:name w:val="heading 1"/>
    <w:basedOn w:val="Normal"/>
    <w:next w:val="BodyText"/>
    <w:link w:val="Heading1Char"/>
    <w:uiPriority w:val="9"/>
    <w:qFormat/>
    <w:rsid w:val="00E85322"/>
    <w:pPr>
      <w:keepNext/>
      <w:keepLines/>
      <w:spacing w:after="280" w:line="480" w:lineRule="atLeast"/>
      <w:outlineLvl w:val="0"/>
    </w:pPr>
    <w:rPr>
      <w:rFonts w:asciiTheme="majorHAnsi" w:eastAsiaTheme="majorEastAsia" w:hAnsiTheme="majorHAnsi" w:cstheme="majorBidi"/>
      <w:b/>
      <w:color w:val="532A63" w:themeColor="accent1"/>
      <w:sz w:val="40"/>
      <w:szCs w:val="32"/>
    </w:rPr>
  </w:style>
  <w:style w:type="paragraph" w:styleId="Heading2">
    <w:name w:val="heading 2"/>
    <w:basedOn w:val="Normal"/>
    <w:next w:val="BodyText"/>
    <w:link w:val="Heading2Char"/>
    <w:uiPriority w:val="9"/>
    <w:qFormat/>
    <w:rsid w:val="00E85322"/>
    <w:pPr>
      <w:keepNext/>
      <w:keepLines/>
      <w:spacing w:after="280" w:line="216" w:lineRule="auto"/>
      <w:outlineLvl w:val="1"/>
    </w:pPr>
    <w:rPr>
      <w:rFonts w:asciiTheme="majorHAnsi" w:eastAsiaTheme="majorEastAsia" w:hAnsiTheme="majorHAnsi" w:cstheme="majorBidi"/>
      <w:b/>
      <w:color w:val="532A63" w:themeColor="accent1"/>
      <w:sz w:val="30"/>
      <w:szCs w:val="26"/>
    </w:rPr>
  </w:style>
  <w:style w:type="paragraph" w:styleId="Heading3">
    <w:name w:val="heading 3"/>
    <w:basedOn w:val="Normal"/>
    <w:next w:val="BodyText"/>
    <w:link w:val="Heading3Char"/>
    <w:uiPriority w:val="9"/>
    <w:qFormat/>
    <w:rsid w:val="00F360F3"/>
    <w:pPr>
      <w:keepNext/>
      <w:keepLines/>
      <w:spacing w:after="280"/>
      <w:outlineLvl w:val="2"/>
    </w:pPr>
    <w:rPr>
      <w:rFonts w:asciiTheme="majorHAnsi" w:eastAsiaTheme="majorEastAsia" w:hAnsiTheme="majorHAnsi" w:cstheme="majorBidi"/>
      <w:b/>
      <w:color w:val="532A63" w:themeColor="accent1"/>
      <w:sz w:val="24"/>
      <w:szCs w:val="24"/>
    </w:rPr>
  </w:style>
  <w:style w:type="paragraph" w:styleId="Heading4">
    <w:name w:val="heading 4"/>
    <w:basedOn w:val="Normal"/>
    <w:next w:val="Normal"/>
    <w:link w:val="Heading4Char"/>
    <w:uiPriority w:val="9"/>
    <w:semiHidden/>
    <w:qFormat/>
    <w:rsid w:val="00F360F3"/>
    <w:pPr>
      <w:keepNext/>
      <w:keepLines/>
      <w:outlineLvl w:val="3"/>
    </w:pPr>
    <w:rPr>
      <w:rFonts w:asciiTheme="majorHAnsi" w:eastAsiaTheme="majorEastAsia" w:hAnsiTheme="majorHAnsi" w:cstheme="majorBidi"/>
      <w:b/>
      <w:iCs/>
      <w:color w:val="532A63" w:themeColor="accent1"/>
    </w:rPr>
  </w:style>
  <w:style w:type="paragraph" w:styleId="Heading5">
    <w:name w:val="heading 5"/>
    <w:basedOn w:val="Normal"/>
    <w:next w:val="Normal"/>
    <w:link w:val="Heading5Char"/>
    <w:uiPriority w:val="9"/>
    <w:semiHidden/>
    <w:qFormat/>
    <w:rsid w:val="00404510"/>
    <w:pPr>
      <w:keepNext/>
      <w:keepLines/>
      <w:spacing w:before="4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qFormat/>
    <w:rsid w:val="00404510"/>
    <w:pPr>
      <w:keepNext/>
      <w:keepLines/>
      <w:spacing w:before="4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qFormat/>
    <w:rsid w:val="00404510"/>
    <w:pPr>
      <w:keepNext/>
      <w:keepLines/>
      <w:spacing w:before="4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qFormat/>
    <w:rsid w:val="00404510"/>
    <w:pPr>
      <w:keepNext/>
      <w:keepLines/>
      <w:spacing w:before="40"/>
      <w:outlineLvl w:val="7"/>
    </w:pPr>
    <w:rPr>
      <w:rFonts w:asciiTheme="majorHAnsi" w:eastAsiaTheme="majorEastAsia" w:hAnsiTheme="majorHAnsi" w:cstheme="majorBidi"/>
      <w:sz w:val="21"/>
      <w:szCs w:val="21"/>
    </w:rPr>
  </w:style>
  <w:style w:type="paragraph" w:styleId="Heading9">
    <w:name w:val="heading 9"/>
    <w:basedOn w:val="Normal"/>
    <w:next w:val="Normal"/>
    <w:link w:val="Heading9Char"/>
    <w:uiPriority w:val="9"/>
    <w:semiHidden/>
    <w:qFormat/>
    <w:rsid w:val="00404510"/>
    <w:pPr>
      <w:keepNext/>
      <w:keepLines/>
      <w:spacing w:before="40"/>
      <w:outlineLvl w:val="8"/>
    </w:pPr>
    <w:rPr>
      <w:rFonts w:asciiTheme="majorHAnsi" w:eastAsiaTheme="majorEastAsia" w:hAnsiTheme="majorHAnsi" w:cstheme="majorBidi"/>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rsid w:val="008E6C91"/>
    <w:pPr>
      <w:spacing w:after="40"/>
    </w:pPr>
    <w:rPr>
      <w:sz w:val="16"/>
    </w:rPr>
  </w:style>
  <w:style w:type="character" w:customStyle="1" w:styleId="FootnoteTextChar">
    <w:name w:val="Footnote Text Char"/>
    <w:basedOn w:val="DefaultParagraphFont"/>
    <w:link w:val="FootnoteText"/>
    <w:uiPriority w:val="99"/>
    <w:rsid w:val="008E6C91"/>
    <w:rPr>
      <w:sz w:val="16"/>
    </w:rPr>
  </w:style>
  <w:style w:type="character" w:customStyle="1" w:styleId="Heading1Char">
    <w:name w:val="Heading 1 Char"/>
    <w:basedOn w:val="DefaultParagraphFont"/>
    <w:link w:val="Heading1"/>
    <w:uiPriority w:val="9"/>
    <w:rsid w:val="00E85322"/>
    <w:rPr>
      <w:rFonts w:asciiTheme="majorHAnsi" w:eastAsiaTheme="majorEastAsia" w:hAnsiTheme="majorHAnsi" w:cstheme="majorBidi"/>
      <w:b/>
      <w:color w:val="532A63" w:themeColor="accent1"/>
      <w:sz w:val="40"/>
      <w:szCs w:val="32"/>
    </w:rPr>
  </w:style>
  <w:style w:type="character" w:customStyle="1" w:styleId="Heading2Char">
    <w:name w:val="Heading 2 Char"/>
    <w:basedOn w:val="DefaultParagraphFont"/>
    <w:link w:val="Heading2"/>
    <w:uiPriority w:val="9"/>
    <w:rsid w:val="00E85322"/>
    <w:rPr>
      <w:rFonts w:asciiTheme="majorHAnsi" w:eastAsiaTheme="majorEastAsia" w:hAnsiTheme="majorHAnsi" w:cstheme="majorBidi"/>
      <w:b/>
      <w:color w:val="532A63" w:themeColor="accent1"/>
      <w:sz w:val="30"/>
      <w:szCs w:val="26"/>
    </w:rPr>
  </w:style>
  <w:style w:type="paragraph" w:styleId="Caption">
    <w:name w:val="caption"/>
    <w:basedOn w:val="Normal"/>
    <w:next w:val="BodyText"/>
    <w:uiPriority w:val="49"/>
    <w:qFormat/>
    <w:rsid w:val="00EB5AD7"/>
    <w:pPr>
      <w:spacing w:after="200"/>
    </w:pPr>
    <w:rPr>
      <w:iCs/>
      <w:color w:val="532A63" w:themeColor="accent1"/>
      <w:sz w:val="18"/>
      <w:szCs w:val="18"/>
    </w:rPr>
  </w:style>
  <w:style w:type="paragraph" w:styleId="TOCHeading">
    <w:name w:val="TOC Heading"/>
    <w:basedOn w:val="Normal"/>
    <w:next w:val="Normal"/>
    <w:uiPriority w:val="39"/>
    <w:semiHidden/>
    <w:qFormat/>
    <w:rsid w:val="004B0F7D"/>
    <w:rPr>
      <w:b/>
      <w:sz w:val="32"/>
    </w:rPr>
  </w:style>
  <w:style w:type="numbering" w:customStyle="1" w:styleId="NumList">
    <w:name w:val="NumList"/>
    <w:uiPriority w:val="99"/>
    <w:rsid w:val="008E6C91"/>
    <w:pPr>
      <w:numPr>
        <w:numId w:val="1"/>
      </w:numPr>
    </w:pPr>
  </w:style>
  <w:style w:type="paragraph" w:styleId="ListNumber">
    <w:name w:val="List Number"/>
    <w:basedOn w:val="Normal"/>
    <w:uiPriority w:val="29"/>
    <w:qFormat/>
    <w:rsid w:val="00E2485C"/>
    <w:pPr>
      <w:numPr>
        <w:numId w:val="3"/>
      </w:numPr>
      <w:spacing w:after="280"/>
    </w:pPr>
  </w:style>
  <w:style w:type="paragraph" w:styleId="ListNumber2">
    <w:name w:val="List Number 2"/>
    <w:basedOn w:val="Normal"/>
    <w:uiPriority w:val="29"/>
    <w:qFormat/>
    <w:rsid w:val="00E2485C"/>
    <w:pPr>
      <w:numPr>
        <w:ilvl w:val="1"/>
        <w:numId w:val="3"/>
      </w:numPr>
      <w:spacing w:after="280"/>
    </w:pPr>
  </w:style>
  <w:style w:type="paragraph" w:styleId="ListNumber3">
    <w:name w:val="List Number 3"/>
    <w:basedOn w:val="Normal"/>
    <w:uiPriority w:val="29"/>
    <w:qFormat/>
    <w:rsid w:val="00E2485C"/>
    <w:pPr>
      <w:numPr>
        <w:ilvl w:val="2"/>
        <w:numId w:val="3"/>
      </w:numPr>
      <w:spacing w:after="280"/>
    </w:pPr>
  </w:style>
  <w:style w:type="character" w:customStyle="1" w:styleId="Heading3Char">
    <w:name w:val="Heading 3 Char"/>
    <w:basedOn w:val="DefaultParagraphFont"/>
    <w:link w:val="Heading3"/>
    <w:uiPriority w:val="9"/>
    <w:rsid w:val="00F360F3"/>
    <w:rPr>
      <w:rFonts w:asciiTheme="majorHAnsi" w:eastAsiaTheme="majorEastAsia" w:hAnsiTheme="majorHAnsi" w:cstheme="majorBidi"/>
      <w:b/>
      <w:color w:val="532A63" w:themeColor="accent1"/>
      <w:sz w:val="24"/>
      <w:szCs w:val="24"/>
    </w:rPr>
  </w:style>
  <w:style w:type="numbering" w:customStyle="1" w:styleId="HeadingNumList">
    <w:name w:val="HeadingNumList"/>
    <w:uiPriority w:val="99"/>
    <w:rsid w:val="008E6C91"/>
    <w:pPr>
      <w:numPr>
        <w:numId w:val="2"/>
      </w:numPr>
    </w:pPr>
  </w:style>
  <w:style w:type="paragraph" w:styleId="ListBullet">
    <w:name w:val="List Bullet"/>
    <w:basedOn w:val="Normal"/>
    <w:uiPriority w:val="19"/>
    <w:qFormat/>
    <w:rsid w:val="00E2485C"/>
    <w:pPr>
      <w:numPr>
        <w:numId w:val="8"/>
      </w:numPr>
      <w:spacing w:after="280"/>
    </w:pPr>
  </w:style>
  <w:style w:type="paragraph" w:styleId="ListBullet2">
    <w:name w:val="List Bullet 2"/>
    <w:basedOn w:val="Normal"/>
    <w:uiPriority w:val="19"/>
    <w:qFormat/>
    <w:rsid w:val="00E2485C"/>
    <w:pPr>
      <w:numPr>
        <w:ilvl w:val="1"/>
        <w:numId w:val="8"/>
      </w:numPr>
      <w:spacing w:after="280"/>
    </w:pPr>
  </w:style>
  <w:style w:type="paragraph" w:styleId="ListBullet3">
    <w:name w:val="List Bullet 3"/>
    <w:basedOn w:val="Normal"/>
    <w:uiPriority w:val="19"/>
    <w:qFormat/>
    <w:rsid w:val="00E2485C"/>
    <w:pPr>
      <w:numPr>
        <w:ilvl w:val="2"/>
        <w:numId w:val="8"/>
      </w:numPr>
      <w:spacing w:after="280"/>
      <w:ind w:left="1020" w:hanging="340"/>
    </w:pPr>
  </w:style>
  <w:style w:type="paragraph" w:styleId="TOC1">
    <w:name w:val="toc 1"/>
    <w:basedOn w:val="Normal"/>
    <w:next w:val="Normal"/>
    <w:uiPriority w:val="39"/>
    <w:semiHidden/>
    <w:rsid w:val="004B0F7D"/>
    <w:pPr>
      <w:spacing w:after="100"/>
    </w:pPr>
  </w:style>
  <w:style w:type="paragraph" w:styleId="TOC2">
    <w:name w:val="toc 2"/>
    <w:basedOn w:val="Normal"/>
    <w:next w:val="Normal"/>
    <w:uiPriority w:val="39"/>
    <w:semiHidden/>
    <w:rsid w:val="00FD65F2"/>
    <w:pPr>
      <w:spacing w:after="100"/>
      <w:ind w:left="220"/>
    </w:pPr>
  </w:style>
  <w:style w:type="paragraph" w:styleId="TOC3">
    <w:name w:val="toc 3"/>
    <w:basedOn w:val="Normal"/>
    <w:next w:val="Normal"/>
    <w:uiPriority w:val="39"/>
    <w:semiHidden/>
    <w:rsid w:val="00FD65F2"/>
    <w:pPr>
      <w:spacing w:after="100"/>
      <w:ind w:left="440"/>
    </w:pPr>
  </w:style>
  <w:style w:type="paragraph" w:styleId="TOC4">
    <w:name w:val="toc 4"/>
    <w:basedOn w:val="Normal"/>
    <w:next w:val="Normal"/>
    <w:uiPriority w:val="39"/>
    <w:semiHidden/>
    <w:rsid w:val="00FD65F2"/>
    <w:pPr>
      <w:spacing w:after="100"/>
      <w:ind w:left="660"/>
    </w:pPr>
  </w:style>
  <w:style w:type="paragraph" w:styleId="TOC5">
    <w:name w:val="toc 5"/>
    <w:basedOn w:val="Normal"/>
    <w:next w:val="Normal"/>
    <w:uiPriority w:val="39"/>
    <w:semiHidden/>
    <w:rsid w:val="00FD65F2"/>
    <w:pPr>
      <w:spacing w:after="100"/>
      <w:ind w:left="880"/>
    </w:pPr>
  </w:style>
  <w:style w:type="paragraph" w:styleId="TOC6">
    <w:name w:val="toc 6"/>
    <w:basedOn w:val="Normal"/>
    <w:next w:val="Normal"/>
    <w:uiPriority w:val="39"/>
    <w:semiHidden/>
    <w:rsid w:val="00FD65F2"/>
    <w:pPr>
      <w:spacing w:after="100"/>
      <w:ind w:left="1100"/>
    </w:pPr>
  </w:style>
  <w:style w:type="paragraph" w:styleId="TOC7">
    <w:name w:val="toc 7"/>
    <w:basedOn w:val="Normal"/>
    <w:next w:val="Normal"/>
    <w:uiPriority w:val="39"/>
    <w:semiHidden/>
    <w:rsid w:val="00FD65F2"/>
    <w:pPr>
      <w:spacing w:after="100"/>
      <w:ind w:left="1320"/>
    </w:pPr>
  </w:style>
  <w:style w:type="paragraph" w:styleId="TOC8">
    <w:name w:val="toc 8"/>
    <w:basedOn w:val="Normal"/>
    <w:next w:val="Normal"/>
    <w:uiPriority w:val="39"/>
    <w:semiHidden/>
    <w:rsid w:val="00FD65F2"/>
    <w:pPr>
      <w:spacing w:after="100"/>
      <w:ind w:left="1540"/>
    </w:pPr>
  </w:style>
  <w:style w:type="paragraph" w:styleId="TOC9">
    <w:name w:val="toc 9"/>
    <w:basedOn w:val="Normal"/>
    <w:next w:val="Normal"/>
    <w:uiPriority w:val="39"/>
    <w:semiHidden/>
    <w:rsid w:val="00FD65F2"/>
    <w:pPr>
      <w:spacing w:after="100"/>
      <w:ind w:left="1760"/>
    </w:pPr>
  </w:style>
  <w:style w:type="numbering" w:customStyle="1" w:styleId="BulletList">
    <w:name w:val="BulletList"/>
    <w:uiPriority w:val="99"/>
    <w:rsid w:val="00E2485C"/>
    <w:pPr>
      <w:numPr>
        <w:numId w:val="4"/>
      </w:numPr>
    </w:pPr>
  </w:style>
  <w:style w:type="paragraph" w:styleId="BodyText">
    <w:name w:val="Body Text"/>
    <w:basedOn w:val="Normal"/>
    <w:link w:val="BodyTextChar"/>
    <w:qFormat/>
    <w:rsid w:val="00E85322"/>
    <w:pPr>
      <w:spacing w:after="280"/>
    </w:pPr>
  </w:style>
  <w:style w:type="character" w:customStyle="1" w:styleId="BodyTextChar">
    <w:name w:val="Body Text Char"/>
    <w:basedOn w:val="DefaultParagraphFont"/>
    <w:link w:val="BodyText"/>
    <w:rsid w:val="00E85322"/>
    <w:rPr>
      <w:sz w:val="22"/>
    </w:rPr>
  </w:style>
  <w:style w:type="character" w:customStyle="1" w:styleId="Heading4Char">
    <w:name w:val="Heading 4 Char"/>
    <w:basedOn w:val="DefaultParagraphFont"/>
    <w:link w:val="Heading4"/>
    <w:uiPriority w:val="9"/>
    <w:semiHidden/>
    <w:rsid w:val="00B219D1"/>
    <w:rPr>
      <w:rFonts w:asciiTheme="majorHAnsi" w:eastAsiaTheme="majorEastAsia" w:hAnsiTheme="majorHAnsi" w:cstheme="majorBidi"/>
      <w:b/>
      <w:iCs/>
      <w:color w:val="532A63" w:themeColor="accent1"/>
      <w:sz w:val="22"/>
    </w:rPr>
  </w:style>
  <w:style w:type="character" w:customStyle="1" w:styleId="Heading5Char">
    <w:name w:val="Heading 5 Char"/>
    <w:basedOn w:val="DefaultParagraphFont"/>
    <w:link w:val="Heading5"/>
    <w:uiPriority w:val="9"/>
    <w:semiHidden/>
    <w:rsid w:val="004B0F7D"/>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sid w:val="004B0F7D"/>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sid w:val="004B0F7D"/>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4B0F7D"/>
    <w:rPr>
      <w:rFonts w:asciiTheme="majorHAnsi" w:eastAsiaTheme="majorEastAsia" w:hAnsiTheme="majorHAnsi" w:cstheme="majorBidi"/>
      <w:sz w:val="21"/>
      <w:szCs w:val="21"/>
    </w:rPr>
  </w:style>
  <w:style w:type="character" w:customStyle="1" w:styleId="Heading9Char">
    <w:name w:val="Heading 9 Char"/>
    <w:basedOn w:val="DefaultParagraphFont"/>
    <w:link w:val="Heading9"/>
    <w:uiPriority w:val="9"/>
    <w:semiHidden/>
    <w:rsid w:val="004B0F7D"/>
    <w:rPr>
      <w:rFonts w:asciiTheme="majorHAnsi" w:eastAsiaTheme="majorEastAsia" w:hAnsiTheme="majorHAnsi" w:cstheme="majorBidi"/>
      <w:i/>
      <w:iCs/>
      <w:sz w:val="21"/>
      <w:szCs w:val="21"/>
    </w:rPr>
  </w:style>
  <w:style w:type="paragraph" w:styleId="Title">
    <w:name w:val="Title"/>
    <w:basedOn w:val="Normal"/>
    <w:next w:val="Normal"/>
    <w:link w:val="TitleChar"/>
    <w:uiPriority w:val="10"/>
    <w:semiHidden/>
    <w:qFormat/>
    <w:rsid w:val="004B0F7D"/>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4B0F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semiHidden/>
    <w:qFormat/>
    <w:rsid w:val="004B0F7D"/>
    <w:pPr>
      <w:numPr>
        <w:ilvl w:val="1"/>
      </w:numPr>
      <w:spacing w:after="160"/>
    </w:pPr>
    <w:rPr>
      <w:spacing w:val="15"/>
      <w:szCs w:val="22"/>
    </w:rPr>
  </w:style>
  <w:style w:type="character" w:customStyle="1" w:styleId="SubtitleChar">
    <w:name w:val="Subtitle Char"/>
    <w:basedOn w:val="DefaultParagraphFont"/>
    <w:link w:val="Subtitle"/>
    <w:uiPriority w:val="11"/>
    <w:semiHidden/>
    <w:rsid w:val="004B0F7D"/>
    <w:rPr>
      <w:spacing w:val="15"/>
      <w:sz w:val="22"/>
      <w:szCs w:val="22"/>
    </w:rPr>
  </w:style>
  <w:style w:type="character" w:styleId="SubtleEmphasis">
    <w:name w:val="Subtle Emphasis"/>
    <w:basedOn w:val="DefaultParagraphFont"/>
    <w:uiPriority w:val="19"/>
    <w:semiHidden/>
    <w:qFormat/>
    <w:rsid w:val="004B0F7D"/>
    <w:rPr>
      <w:i/>
      <w:iCs/>
      <w:color w:val="auto"/>
    </w:rPr>
  </w:style>
  <w:style w:type="character" w:styleId="Emphasis">
    <w:name w:val="Emphasis"/>
    <w:basedOn w:val="DefaultParagraphFont"/>
    <w:uiPriority w:val="20"/>
    <w:semiHidden/>
    <w:qFormat/>
    <w:rsid w:val="004B0F7D"/>
    <w:rPr>
      <w:i/>
      <w:iCs/>
    </w:rPr>
  </w:style>
  <w:style w:type="character" w:styleId="IntenseEmphasis">
    <w:name w:val="Intense Emphasis"/>
    <w:basedOn w:val="DefaultParagraphFont"/>
    <w:uiPriority w:val="21"/>
    <w:semiHidden/>
    <w:qFormat/>
    <w:rsid w:val="004B0F7D"/>
    <w:rPr>
      <w:i/>
      <w:iCs/>
      <w:color w:val="auto"/>
    </w:rPr>
  </w:style>
  <w:style w:type="character" w:styleId="Strong">
    <w:name w:val="Strong"/>
    <w:basedOn w:val="DefaultParagraphFont"/>
    <w:uiPriority w:val="22"/>
    <w:semiHidden/>
    <w:qFormat/>
    <w:rsid w:val="004B0F7D"/>
    <w:rPr>
      <w:b/>
      <w:bCs/>
    </w:rPr>
  </w:style>
  <w:style w:type="paragraph" w:styleId="Quote">
    <w:name w:val="Quote"/>
    <w:basedOn w:val="Normal"/>
    <w:next w:val="Normal"/>
    <w:link w:val="QuoteChar"/>
    <w:uiPriority w:val="29"/>
    <w:semiHidden/>
    <w:qFormat/>
    <w:rsid w:val="004B0F7D"/>
    <w:pPr>
      <w:spacing w:before="200" w:after="160"/>
      <w:ind w:left="864" w:right="864"/>
      <w:jc w:val="center"/>
    </w:pPr>
    <w:rPr>
      <w:i/>
      <w:iCs/>
    </w:rPr>
  </w:style>
  <w:style w:type="character" w:customStyle="1" w:styleId="QuoteChar">
    <w:name w:val="Quote Char"/>
    <w:basedOn w:val="DefaultParagraphFont"/>
    <w:link w:val="Quote"/>
    <w:uiPriority w:val="29"/>
    <w:semiHidden/>
    <w:rsid w:val="004B0F7D"/>
    <w:rPr>
      <w:i/>
      <w:iCs/>
    </w:rPr>
  </w:style>
  <w:style w:type="paragraph" w:styleId="IntenseQuote">
    <w:name w:val="Intense Quote"/>
    <w:basedOn w:val="Normal"/>
    <w:next w:val="Normal"/>
    <w:link w:val="IntenseQuoteChar"/>
    <w:uiPriority w:val="30"/>
    <w:semiHidden/>
    <w:qFormat/>
    <w:rsid w:val="004B0F7D"/>
    <w:pPr>
      <w:pBdr>
        <w:top w:val="single" w:sz="4" w:space="10" w:color="532A63" w:themeColor="accent1"/>
        <w:bottom w:val="single" w:sz="4" w:space="10" w:color="532A63" w:themeColor="accent1"/>
      </w:pBdr>
      <w:spacing w:before="360" w:after="360"/>
      <w:ind w:left="864" w:right="864"/>
      <w:jc w:val="center"/>
    </w:pPr>
    <w:rPr>
      <w:i/>
      <w:iCs/>
    </w:rPr>
  </w:style>
  <w:style w:type="character" w:customStyle="1" w:styleId="IntenseQuoteChar">
    <w:name w:val="Intense Quote Char"/>
    <w:basedOn w:val="DefaultParagraphFont"/>
    <w:link w:val="IntenseQuote"/>
    <w:uiPriority w:val="30"/>
    <w:semiHidden/>
    <w:rsid w:val="004B0F7D"/>
    <w:rPr>
      <w:i/>
      <w:iCs/>
    </w:rPr>
  </w:style>
  <w:style w:type="character" w:styleId="SubtleReference">
    <w:name w:val="Subtle Reference"/>
    <w:basedOn w:val="DefaultParagraphFont"/>
    <w:uiPriority w:val="31"/>
    <w:semiHidden/>
    <w:qFormat/>
    <w:rsid w:val="004B0F7D"/>
    <w:rPr>
      <w:smallCaps/>
      <w:color w:val="auto"/>
    </w:rPr>
  </w:style>
  <w:style w:type="character" w:styleId="IntenseReference">
    <w:name w:val="Intense Reference"/>
    <w:basedOn w:val="DefaultParagraphFont"/>
    <w:uiPriority w:val="32"/>
    <w:semiHidden/>
    <w:qFormat/>
    <w:rsid w:val="004B0F7D"/>
    <w:rPr>
      <w:b/>
      <w:bCs/>
      <w:smallCaps/>
      <w:color w:val="auto"/>
      <w:spacing w:val="5"/>
    </w:rPr>
  </w:style>
  <w:style w:type="character" w:styleId="BookTitle">
    <w:name w:val="Book Title"/>
    <w:basedOn w:val="DefaultParagraphFont"/>
    <w:uiPriority w:val="33"/>
    <w:semiHidden/>
    <w:qFormat/>
    <w:rsid w:val="004B0F7D"/>
    <w:rPr>
      <w:b/>
      <w:bCs/>
      <w:i/>
      <w:iCs/>
      <w:spacing w:val="5"/>
    </w:rPr>
  </w:style>
  <w:style w:type="paragraph" w:styleId="ListParagraph">
    <w:name w:val="List Paragraph"/>
    <w:aliases w:val="Bullet 1,Bullet Points,Bullet Style,Colorful List - Accent 11,Dot pt,F5 List Paragraph,Indicator Text,List Paragraph Char Char Char,List Paragraph1,List Paragraph12,List Paragraph2,MAIN CONTENT,No Spacing1,Normal numbered,Numbered Para 1"/>
    <w:basedOn w:val="Normal"/>
    <w:link w:val="ListParagraphChar"/>
    <w:uiPriority w:val="34"/>
    <w:qFormat/>
    <w:rsid w:val="004B0F7D"/>
    <w:pPr>
      <w:ind w:left="720"/>
      <w:contextualSpacing/>
    </w:pPr>
  </w:style>
  <w:style w:type="paragraph" w:styleId="Bibliography">
    <w:name w:val="Bibliography"/>
    <w:basedOn w:val="Normal"/>
    <w:next w:val="Normal"/>
    <w:uiPriority w:val="37"/>
    <w:semiHidden/>
    <w:rsid w:val="004B0F7D"/>
  </w:style>
  <w:style w:type="numbering" w:styleId="ArticleSection">
    <w:name w:val="Outline List 3"/>
    <w:basedOn w:val="NoList"/>
    <w:uiPriority w:val="99"/>
    <w:semiHidden/>
    <w:unhideWhenUsed/>
    <w:rsid w:val="00404510"/>
    <w:pPr>
      <w:numPr>
        <w:numId w:val="5"/>
      </w:numPr>
    </w:pPr>
  </w:style>
  <w:style w:type="paragraph" w:styleId="BalloonText">
    <w:name w:val="Balloon Text"/>
    <w:basedOn w:val="Normal"/>
    <w:link w:val="BalloonTextChar"/>
    <w:uiPriority w:val="99"/>
    <w:semiHidden/>
    <w:rsid w:val="004B0F7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0F7D"/>
    <w:rPr>
      <w:rFonts w:ascii="Segoe UI" w:hAnsi="Segoe UI" w:cs="Segoe UI"/>
      <w:sz w:val="18"/>
      <w:szCs w:val="18"/>
    </w:rPr>
  </w:style>
  <w:style w:type="paragraph" w:styleId="BlockText">
    <w:name w:val="Block Text"/>
    <w:basedOn w:val="Normal"/>
    <w:uiPriority w:val="99"/>
    <w:semiHidden/>
    <w:rsid w:val="004B0F7D"/>
    <w:pPr>
      <w:pBdr>
        <w:top w:val="single" w:sz="2" w:space="10" w:color="532A63" w:themeColor="accent1"/>
        <w:left w:val="single" w:sz="2" w:space="10" w:color="532A63" w:themeColor="accent1"/>
        <w:bottom w:val="single" w:sz="2" w:space="10" w:color="532A63" w:themeColor="accent1"/>
        <w:right w:val="single" w:sz="2" w:space="10" w:color="532A63" w:themeColor="accent1"/>
      </w:pBdr>
      <w:ind w:left="1152" w:right="1152"/>
    </w:pPr>
    <w:rPr>
      <w:i/>
      <w:iCs/>
    </w:rPr>
  </w:style>
  <w:style w:type="paragraph" w:styleId="BodyText2">
    <w:name w:val="Body Text 2"/>
    <w:basedOn w:val="Normal"/>
    <w:link w:val="BodyText2Char"/>
    <w:uiPriority w:val="99"/>
    <w:semiHidden/>
    <w:rsid w:val="004B0F7D"/>
    <w:pPr>
      <w:spacing w:after="120" w:line="480" w:lineRule="auto"/>
    </w:pPr>
  </w:style>
  <w:style w:type="character" w:customStyle="1" w:styleId="BodyText2Char">
    <w:name w:val="Body Text 2 Char"/>
    <w:basedOn w:val="DefaultParagraphFont"/>
    <w:link w:val="BodyText2"/>
    <w:uiPriority w:val="99"/>
    <w:semiHidden/>
    <w:rsid w:val="004B0F7D"/>
  </w:style>
  <w:style w:type="paragraph" w:styleId="BodyText3">
    <w:name w:val="Body Text 3"/>
    <w:basedOn w:val="Normal"/>
    <w:link w:val="BodyText3Char"/>
    <w:uiPriority w:val="99"/>
    <w:semiHidden/>
    <w:rsid w:val="004B0F7D"/>
    <w:pPr>
      <w:spacing w:after="120"/>
    </w:pPr>
    <w:rPr>
      <w:sz w:val="16"/>
      <w:szCs w:val="16"/>
    </w:rPr>
  </w:style>
  <w:style w:type="character" w:customStyle="1" w:styleId="BodyText3Char">
    <w:name w:val="Body Text 3 Char"/>
    <w:basedOn w:val="DefaultParagraphFont"/>
    <w:link w:val="BodyText3"/>
    <w:uiPriority w:val="99"/>
    <w:semiHidden/>
    <w:rsid w:val="004B0F7D"/>
    <w:rPr>
      <w:sz w:val="16"/>
      <w:szCs w:val="16"/>
    </w:rPr>
  </w:style>
  <w:style w:type="paragraph" w:styleId="BodyTextFirstIndent">
    <w:name w:val="Body Text First Indent"/>
    <w:basedOn w:val="BodyText"/>
    <w:link w:val="BodyTextFirstIndentChar"/>
    <w:uiPriority w:val="99"/>
    <w:semiHidden/>
    <w:rsid w:val="004B0F7D"/>
    <w:pPr>
      <w:spacing w:after="0"/>
      <w:ind w:firstLine="360"/>
    </w:pPr>
  </w:style>
  <w:style w:type="character" w:customStyle="1" w:styleId="BodyTextFirstIndentChar">
    <w:name w:val="Body Text First Indent Char"/>
    <w:basedOn w:val="BodyTextChar"/>
    <w:link w:val="BodyTextFirstIndent"/>
    <w:uiPriority w:val="99"/>
    <w:semiHidden/>
    <w:rsid w:val="004B0F7D"/>
    <w:rPr>
      <w:sz w:val="22"/>
    </w:rPr>
  </w:style>
  <w:style w:type="paragraph" w:styleId="BodyTextIndent">
    <w:name w:val="Body Text Indent"/>
    <w:basedOn w:val="Normal"/>
    <w:link w:val="BodyTextIndentChar"/>
    <w:uiPriority w:val="99"/>
    <w:semiHidden/>
    <w:rsid w:val="004B0F7D"/>
    <w:pPr>
      <w:spacing w:after="120"/>
      <w:ind w:left="283"/>
    </w:pPr>
  </w:style>
  <w:style w:type="character" w:customStyle="1" w:styleId="BodyTextIndentChar">
    <w:name w:val="Body Text Indent Char"/>
    <w:basedOn w:val="DefaultParagraphFont"/>
    <w:link w:val="BodyTextIndent"/>
    <w:uiPriority w:val="99"/>
    <w:semiHidden/>
    <w:rsid w:val="004B0F7D"/>
  </w:style>
  <w:style w:type="paragraph" w:styleId="BodyTextFirstIndent2">
    <w:name w:val="Body Text First Indent 2"/>
    <w:basedOn w:val="BodyTextIndent"/>
    <w:link w:val="BodyTextFirstIndent2Char"/>
    <w:uiPriority w:val="99"/>
    <w:semiHidden/>
    <w:rsid w:val="004B0F7D"/>
    <w:pPr>
      <w:spacing w:after="0"/>
      <w:ind w:left="360" w:firstLine="360"/>
    </w:pPr>
  </w:style>
  <w:style w:type="character" w:customStyle="1" w:styleId="BodyTextFirstIndent2Char">
    <w:name w:val="Body Text First Indent 2 Char"/>
    <w:basedOn w:val="BodyTextIndentChar"/>
    <w:link w:val="BodyTextFirstIndent2"/>
    <w:uiPriority w:val="99"/>
    <w:semiHidden/>
    <w:rsid w:val="004B0F7D"/>
  </w:style>
  <w:style w:type="paragraph" w:styleId="BodyTextIndent2">
    <w:name w:val="Body Text Indent 2"/>
    <w:basedOn w:val="Normal"/>
    <w:link w:val="BodyTextIndent2Char"/>
    <w:uiPriority w:val="99"/>
    <w:semiHidden/>
    <w:rsid w:val="004B0F7D"/>
    <w:pPr>
      <w:spacing w:after="120" w:line="480" w:lineRule="auto"/>
      <w:ind w:left="283"/>
    </w:pPr>
  </w:style>
  <w:style w:type="character" w:customStyle="1" w:styleId="BodyTextIndent2Char">
    <w:name w:val="Body Text Indent 2 Char"/>
    <w:basedOn w:val="DefaultParagraphFont"/>
    <w:link w:val="BodyTextIndent2"/>
    <w:uiPriority w:val="99"/>
    <w:semiHidden/>
    <w:rsid w:val="004B0F7D"/>
  </w:style>
  <w:style w:type="paragraph" w:styleId="BodyTextIndent3">
    <w:name w:val="Body Text Indent 3"/>
    <w:basedOn w:val="Normal"/>
    <w:link w:val="BodyTextIndent3Char"/>
    <w:uiPriority w:val="99"/>
    <w:semiHidden/>
    <w:rsid w:val="004B0F7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B0F7D"/>
    <w:rPr>
      <w:sz w:val="16"/>
      <w:szCs w:val="16"/>
    </w:rPr>
  </w:style>
  <w:style w:type="paragraph" w:styleId="Closing">
    <w:name w:val="Closing"/>
    <w:basedOn w:val="Normal"/>
    <w:link w:val="ClosingChar"/>
    <w:uiPriority w:val="99"/>
    <w:semiHidden/>
    <w:rsid w:val="004B0F7D"/>
    <w:pPr>
      <w:ind w:left="4252"/>
    </w:pPr>
  </w:style>
  <w:style w:type="character" w:customStyle="1" w:styleId="ClosingChar">
    <w:name w:val="Closing Char"/>
    <w:basedOn w:val="DefaultParagraphFont"/>
    <w:link w:val="Closing"/>
    <w:uiPriority w:val="99"/>
    <w:semiHidden/>
    <w:rsid w:val="004B0F7D"/>
  </w:style>
  <w:style w:type="character" w:styleId="CommentReference">
    <w:name w:val="annotation reference"/>
    <w:basedOn w:val="DefaultParagraphFont"/>
    <w:uiPriority w:val="99"/>
    <w:semiHidden/>
    <w:rsid w:val="004B0F7D"/>
    <w:rPr>
      <w:sz w:val="16"/>
      <w:szCs w:val="16"/>
    </w:rPr>
  </w:style>
  <w:style w:type="paragraph" w:styleId="CommentText">
    <w:name w:val="annotation text"/>
    <w:basedOn w:val="Normal"/>
    <w:link w:val="CommentTextChar"/>
    <w:uiPriority w:val="99"/>
    <w:semiHidden/>
    <w:rsid w:val="004B0F7D"/>
  </w:style>
  <w:style w:type="character" w:customStyle="1" w:styleId="CommentTextChar">
    <w:name w:val="Comment Text Char"/>
    <w:basedOn w:val="DefaultParagraphFont"/>
    <w:link w:val="CommentText"/>
    <w:uiPriority w:val="99"/>
    <w:semiHidden/>
    <w:rsid w:val="004B0F7D"/>
  </w:style>
  <w:style w:type="paragraph" w:styleId="CommentSubject">
    <w:name w:val="annotation subject"/>
    <w:basedOn w:val="CommentText"/>
    <w:next w:val="CommentText"/>
    <w:link w:val="CommentSubjectChar"/>
    <w:uiPriority w:val="99"/>
    <w:semiHidden/>
    <w:rsid w:val="004B0F7D"/>
    <w:rPr>
      <w:b/>
      <w:bCs/>
    </w:rPr>
  </w:style>
  <w:style w:type="character" w:customStyle="1" w:styleId="CommentSubjectChar">
    <w:name w:val="Comment Subject Char"/>
    <w:basedOn w:val="CommentTextChar"/>
    <w:link w:val="CommentSubject"/>
    <w:uiPriority w:val="99"/>
    <w:semiHidden/>
    <w:rsid w:val="004B0F7D"/>
    <w:rPr>
      <w:b/>
      <w:bCs/>
    </w:rPr>
  </w:style>
  <w:style w:type="paragraph" w:styleId="Date">
    <w:name w:val="Date"/>
    <w:basedOn w:val="Normal"/>
    <w:next w:val="Normal"/>
    <w:link w:val="DateChar"/>
    <w:uiPriority w:val="99"/>
    <w:semiHidden/>
    <w:rsid w:val="004B0F7D"/>
  </w:style>
  <w:style w:type="character" w:customStyle="1" w:styleId="DateChar">
    <w:name w:val="Date Char"/>
    <w:basedOn w:val="DefaultParagraphFont"/>
    <w:link w:val="Date"/>
    <w:uiPriority w:val="99"/>
    <w:semiHidden/>
    <w:rsid w:val="004B0F7D"/>
  </w:style>
  <w:style w:type="paragraph" w:styleId="DocumentMap">
    <w:name w:val="Document Map"/>
    <w:basedOn w:val="Normal"/>
    <w:link w:val="DocumentMapChar"/>
    <w:uiPriority w:val="99"/>
    <w:semiHidden/>
    <w:rsid w:val="004B0F7D"/>
    <w:rPr>
      <w:rFonts w:ascii="Segoe UI" w:hAnsi="Segoe UI" w:cs="Segoe UI"/>
      <w:sz w:val="16"/>
      <w:szCs w:val="16"/>
    </w:rPr>
  </w:style>
  <w:style w:type="character" w:customStyle="1" w:styleId="DocumentMapChar">
    <w:name w:val="Document Map Char"/>
    <w:basedOn w:val="DefaultParagraphFont"/>
    <w:link w:val="DocumentMap"/>
    <w:uiPriority w:val="99"/>
    <w:semiHidden/>
    <w:rsid w:val="004B0F7D"/>
    <w:rPr>
      <w:rFonts w:ascii="Segoe UI" w:hAnsi="Segoe UI" w:cs="Segoe UI"/>
      <w:sz w:val="16"/>
      <w:szCs w:val="16"/>
    </w:rPr>
  </w:style>
  <w:style w:type="paragraph" w:styleId="E-mailSignature">
    <w:name w:val="E-mail Signature"/>
    <w:basedOn w:val="Normal"/>
    <w:link w:val="E-mailSignatureChar"/>
    <w:uiPriority w:val="99"/>
    <w:semiHidden/>
    <w:rsid w:val="004B0F7D"/>
  </w:style>
  <w:style w:type="character" w:customStyle="1" w:styleId="E-mailSignatureChar">
    <w:name w:val="E-mail Signature Char"/>
    <w:basedOn w:val="DefaultParagraphFont"/>
    <w:link w:val="E-mailSignature"/>
    <w:uiPriority w:val="99"/>
    <w:semiHidden/>
    <w:rsid w:val="004B0F7D"/>
  </w:style>
  <w:style w:type="paragraph" w:styleId="EndnoteText">
    <w:name w:val="endnote text"/>
    <w:basedOn w:val="Normal"/>
    <w:link w:val="EndnoteTextChar"/>
    <w:uiPriority w:val="99"/>
    <w:semiHidden/>
    <w:rsid w:val="004B0F7D"/>
  </w:style>
  <w:style w:type="character" w:customStyle="1" w:styleId="EndnoteTextChar">
    <w:name w:val="Endnote Text Char"/>
    <w:basedOn w:val="DefaultParagraphFont"/>
    <w:link w:val="EndnoteText"/>
    <w:uiPriority w:val="99"/>
    <w:semiHidden/>
    <w:rsid w:val="004B0F7D"/>
  </w:style>
  <w:style w:type="character" w:styleId="EndnoteReference">
    <w:name w:val="endnote reference"/>
    <w:basedOn w:val="DefaultParagraphFont"/>
    <w:uiPriority w:val="99"/>
    <w:semiHidden/>
    <w:rsid w:val="004B0F7D"/>
    <w:rPr>
      <w:vertAlign w:val="superscript"/>
    </w:rPr>
  </w:style>
  <w:style w:type="paragraph" w:styleId="EnvelopeAddress">
    <w:name w:val="envelope address"/>
    <w:basedOn w:val="Normal"/>
    <w:uiPriority w:val="99"/>
    <w:semiHidden/>
    <w:rsid w:val="004B0F7D"/>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rsid w:val="004B0F7D"/>
    <w:rPr>
      <w:rFonts w:asciiTheme="majorHAnsi" w:eastAsiaTheme="majorEastAsia" w:hAnsiTheme="majorHAnsi" w:cstheme="majorBidi"/>
    </w:rPr>
  </w:style>
  <w:style w:type="paragraph" w:styleId="Footer">
    <w:name w:val="footer"/>
    <w:basedOn w:val="Normal"/>
    <w:link w:val="FooterChar"/>
    <w:uiPriority w:val="99"/>
    <w:semiHidden/>
    <w:rsid w:val="000409CD"/>
    <w:pPr>
      <w:pBdr>
        <w:top w:val="single" w:sz="8" w:space="12" w:color="E3E833" w:themeColor="accent2"/>
      </w:pBdr>
      <w:tabs>
        <w:tab w:val="center" w:pos="4513"/>
        <w:tab w:val="right" w:pos="9026"/>
      </w:tabs>
    </w:pPr>
    <w:rPr>
      <w:sz w:val="20"/>
    </w:rPr>
  </w:style>
  <w:style w:type="character" w:customStyle="1" w:styleId="FooterChar">
    <w:name w:val="Footer Char"/>
    <w:basedOn w:val="DefaultParagraphFont"/>
    <w:link w:val="Footer"/>
    <w:uiPriority w:val="99"/>
    <w:semiHidden/>
    <w:rsid w:val="000409CD"/>
  </w:style>
  <w:style w:type="character" w:styleId="FootnoteReference">
    <w:name w:val="footnote reference"/>
    <w:basedOn w:val="DefaultParagraphFont"/>
    <w:uiPriority w:val="99"/>
    <w:semiHidden/>
    <w:rsid w:val="004B0F7D"/>
    <w:rPr>
      <w:vertAlign w:val="superscript"/>
    </w:rPr>
  </w:style>
  <w:style w:type="paragraph" w:styleId="Header">
    <w:name w:val="header"/>
    <w:basedOn w:val="Normal"/>
    <w:link w:val="HeaderChar"/>
    <w:uiPriority w:val="99"/>
    <w:semiHidden/>
    <w:rsid w:val="004B0F7D"/>
    <w:pPr>
      <w:tabs>
        <w:tab w:val="center" w:pos="4513"/>
        <w:tab w:val="right" w:pos="9026"/>
      </w:tabs>
    </w:pPr>
  </w:style>
  <w:style w:type="character" w:customStyle="1" w:styleId="HeaderChar">
    <w:name w:val="Header Char"/>
    <w:basedOn w:val="DefaultParagraphFont"/>
    <w:link w:val="Header"/>
    <w:uiPriority w:val="99"/>
    <w:semiHidden/>
    <w:rsid w:val="004B0F7D"/>
  </w:style>
  <w:style w:type="paragraph" w:styleId="Index1">
    <w:name w:val="index 1"/>
    <w:basedOn w:val="Normal"/>
    <w:next w:val="Normal"/>
    <w:autoRedefine/>
    <w:uiPriority w:val="99"/>
    <w:semiHidden/>
    <w:rsid w:val="004B0F7D"/>
    <w:pPr>
      <w:ind w:left="200" w:hanging="200"/>
    </w:pPr>
  </w:style>
  <w:style w:type="paragraph" w:styleId="IndexHeading">
    <w:name w:val="index heading"/>
    <w:basedOn w:val="Normal"/>
    <w:next w:val="Index1"/>
    <w:uiPriority w:val="99"/>
    <w:semiHidden/>
    <w:rsid w:val="004B0F7D"/>
    <w:rPr>
      <w:rFonts w:asciiTheme="majorHAnsi" w:eastAsiaTheme="majorEastAsia" w:hAnsiTheme="majorHAnsi" w:cstheme="majorBidi"/>
      <w:b/>
      <w:bCs/>
    </w:rPr>
  </w:style>
  <w:style w:type="character" w:styleId="LineNumber">
    <w:name w:val="line number"/>
    <w:basedOn w:val="DefaultParagraphFont"/>
    <w:uiPriority w:val="99"/>
    <w:semiHidden/>
    <w:rsid w:val="004B0F7D"/>
  </w:style>
  <w:style w:type="paragraph" w:styleId="List">
    <w:name w:val="List"/>
    <w:basedOn w:val="Normal"/>
    <w:uiPriority w:val="99"/>
    <w:semiHidden/>
    <w:rsid w:val="004B0F7D"/>
    <w:pPr>
      <w:ind w:left="283" w:hanging="283"/>
      <w:contextualSpacing/>
    </w:pPr>
  </w:style>
  <w:style w:type="paragraph" w:styleId="ListBullet4">
    <w:name w:val="List Bullet 4"/>
    <w:basedOn w:val="Normal"/>
    <w:uiPriority w:val="99"/>
    <w:semiHidden/>
    <w:rsid w:val="004B0F7D"/>
    <w:pPr>
      <w:numPr>
        <w:numId w:val="6"/>
      </w:numPr>
      <w:contextualSpacing/>
    </w:pPr>
  </w:style>
  <w:style w:type="paragraph" w:styleId="ListBullet5">
    <w:name w:val="List Bullet 5"/>
    <w:basedOn w:val="Normal"/>
    <w:uiPriority w:val="99"/>
    <w:semiHidden/>
    <w:rsid w:val="004B0F7D"/>
    <w:pPr>
      <w:numPr>
        <w:numId w:val="7"/>
      </w:numPr>
      <w:contextualSpacing/>
    </w:pPr>
  </w:style>
  <w:style w:type="paragraph" w:styleId="Macro">
    <w:name w:val="macro"/>
    <w:link w:val="MacroTextChar"/>
    <w:uiPriority w:val="99"/>
    <w:semiHidden/>
    <w:rsid w:val="004B0F7D"/>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character" w:customStyle="1" w:styleId="MacroTextChar">
    <w:name w:val="Macro Text Char"/>
    <w:basedOn w:val="DefaultParagraphFont"/>
    <w:link w:val="Macro"/>
    <w:uiPriority w:val="99"/>
    <w:semiHidden/>
    <w:rsid w:val="004B0F7D"/>
    <w:rPr>
      <w:rFonts w:ascii="Consolas" w:hAnsi="Consolas"/>
    </w:rPr>
  </w:style>
  <w:style w:type="character" w:customStyle="1" w:styleId="Mention1">
    <w:name w:val="Mention1"/>
    <w:basedOn w:val="DefaultParagraphFont"/>
    <w:uiPriority w:val="99"/>
    <w:semiHidden/>
    <w:rsid w:val="004B0F7D"/>
    <w:rPr>
      <w:color w:val="auto"/>
      <w:shd w:val="clear" w:color="auto" w:fill="E1DFDD"/>
    </w:rPr>
  </w:style>
  <w:style w:type="paragraph" w:styleId="MessageHeader">
    <w:name w:val="Message Header"/>
    <w:basedOn w:val="Normal"/>
    <w:link w:val="MessageHeaderChar"/>
    <w:uiPriority w:val="99"/>
    <w:semiHidden/>
    <w:rsid w:val="004B0F7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4B0F7D"/>
    <w:rPr>
      <w:rFonts w:asciiTheme="majorHAnsi" w:eastAsiaTheme="majorEastAsia" w:hAnsiTheme="majorHAnsi" w:cstheme="majorBidi"/>
      <w:sz w:val="24"/>
      <w:szCs w:val="24"/>
      <w:shd w:val="pct20" w:color="auto" w:fill="auto"/>
    </w:rPr>
  </w:style>
  <w:style w:type="paragraph" w:styleId="NormalIndent">
    <w:name w:val="Normal Indent"/>
    <w:basedOn w:val="Normal"/>
    <w:uiPriority w:val="99"/>
    <w:semiHidden/>
    <w:rsid w:val="004B0F7D"/>
    <w:pPr>
      <w:ind w:left="720"/>
    </w:pPr>
  </w:style>
  <w:style w:type="paragraph" w:customStyle="1" w:styleId="NoteHeading1">
    <w:name w:val="Note Heading1"/>
    <w:basedOn w:val="Normal"/>
    <w:next w:val="Normal"/>
    <w:link w:val="NoteHeadingChar"/>
    <w:uiPriority w:val="99"/>
    <w:semiHidden/>
    <w:rsid w:val="004B0F7D"/>
  </w:style>
  <w:style w:type="character" w:customStyle="1" w:styleId="NoteHeadingChar">
    <w:name w:val="Note Heading Char"/>
    <w:basedOn w:val="DefaultParagraphFont"/>
    <w:link w:val="NoteHeading1"/>
    <w:uiPriority w:val="99"/>
    <w:semiHidden/>
    <w:rsid w:val="004B0F7D"/>
  </w:style>
  <w:style w:type="character" w:styleId="PageNumber">
    <w:name w:val="page number"/>
    <w:basedOn w:val="DefaultParagraphFont"/>
    <w:uiPriority w:val="99"/>
    <w:semiHidden/>
    <w:rsid w:val="004B0F7D"/>
  </w:style>
  <w:style w:type="character" w:styleId="PlaceholderText">
    <w:name w:val="Placeholder Text"/>
    <w:basedOn w:val="DefaultParagraphFont"/>
    <w:uiPriority w:val="99"/>
    <w:semiHidden/>
    <w:rsid w:val="004B0F7D"/>
    <w:rPr>
      <w:color w:val="7F7F7F" w:themeColor="text1" w:themeTint="80"/>
    </w:rPr>
  </w:style>
  <w:style w:type="paragraph" w:styleId="PlainText">
    <w:name w:val="Plain Text"/>
    <w:basedOn w:val="Normal"/>
    <w:link w:val="PlainTextChar"/>
    <w:uiPriority w:val="99"/>
    <w:semiHidden/>
    <w:rsid w:val="004B0F7D"/>
    <w:rPr>
      <w:rFonts w:ascii="Consolas" w:hAnsi="Consolas"/>
      <w:sz w:val="21"/>
      <w:szCs w:val="21"/>
    </w:rPr>
  </w:style>
  <w:style w:type="character" w:customStyle="1" w:styleId="PlainTextChar">
    <w:name w:val="Plain Text Char"/>
    <w:basedOn w:val="DefaultParagraphFont"/>
    <w:link w:val="PlainText"/>
    <w:uiPriority w:val="99"/>
    <w:semiHidden/>
    <w:rsid w:val="004B0F7D"/>
    <w:rPr>
      <w:rFonts w:ascii="Consolas" w:hAnsi="Consolas"/>
      <w:sz w:val="21"/>
      <w:szCs w:val="21"/>
    </w:rPr>
  </w:style>
  <w:style w:type="paragraph" w:styleId="Salutation">
    <w:name w:val="Salutation"/>
    <w:basedOn w:val="Normal"/>
    <w:next w:val="Normal"/>
    <w:link w:val="SalutationChar"/>
    <w:uiPriority w:val="99"/>
    <w:semiHidden/>
    <w:rsid w:val="004B0F7D"/>
  </w:style>
  <w:style w:type="character" w:customStyle="1" w:styleId="SalutationChar">
    <w:name w:val="Salutation Char"/>
    <w:basedOn w:val="DefaultParagraphFont"/>
    <w:link w:val="Salutation"/>
    <w:uiPriority w:val="99"/>
    <w:semiHidden/>
    <w:rsid w:val="004B0F7D"/>
  </w:style>
  <w:style w:type="paragraph" w:styleId="Signature">
    <w:name w:val="Signature"/>
    <w:basedOn w:val="Normal"/>
    <w:link w:val="SignatureChar"/>
    <w:uiPriority w:val="99"/>
    <w:semiHidden/>
    <w:rsid w:val="004B0F7D"/>
    <w:pPr>
      <w:ind w:left="4252"/>
    </w:pPr>
  </w:style>
  <w:style w:type="character" w:customStyle="1" w:styleId="SignatureChar">
    <w:name w:val="Signature Char"/>
    <w:basedOn w:val="DefaultParagraphFont"/>
    <w:link w:val="Signature"/>
    <w:uiPriority w:val="99"/>
    <w:semiHidden/>
    <w:rsid w:val="004B0F7D"/>
  </w:style>
  <w:style w:type="character" w:customStyle="1" w:styleId="SmartHyperlink1">
    <w:name w:val="Smart Hyperlink1"/>
    <w:basedOn w:val="DefaultParagraphFont"/>
    <w:uiPriority w:val="99"/>
    <w:semiHidden/>
    <w:rsid w:val="004B0F7D"/>
    <w:rPr>
      <w:u w:val="dotted"/>
    </w:rPr>
  </w:style>
  <w:style w:type="paragraph" w:styleId="TOAHeading">
    <w:name w:val="toa heading"/>
    <w:basedOn w:val="Normal"/>
    <w:next w:val="Normal"/>
    <w:uiPriority w:val="99"/>
    <w:semiHidden/>
    <w:rsid w:val="004B0F7D"/>
    <w:pPr>
      <w:spacing w:before="120"/>
    </w:pPr>
    <w:rPr>
      <w:rFonts w:asciiTheme="majorHAnsi" w:eastAsiaTheme="majorEastAsia" w:hAnsiTheme="majorHAnsi" w:cstheme="majorBidi"/>
      <w:b/>
      <w:bCs/>
      <w:sz w:val="24"/>
      <w:szCs w:val="24"/>
    </w:rPr>
  </w:style>
  <w:style w:type="table" w:styleId="TableGrid">
    <w:name w:val="Table Grid"/>
    <w:basedOn w:val="TableNormal"/>
    <w:uiPriority w:val="39"/>
    <w:rsid w:val="005E7E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umenttitle">
    <w:name w:val="Document title"/>
    <w:basedOn w:val="Heading1"/>
    <w:next w:val="Heading2"/>
    <w:uiPriority w:val="34"/>
    <w:qFormat/>
    <w:rsid w:val="007268AF"/>
  </w:style>
  <w:style w:type="table" w:customStyle="1" w:styleId="TheABItablestyle">
    <w:name w:val="TheABI table style"/>
    <w:basedOn w:val="TableNormal"/>
    <w:uiPriority w:val="99"/>
    <w:rsid w:val="00957CAF"/>
    <w:tblPr>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CellMar>
        <w:top w:w="85" w:type="dxa"/>
        <w:left w:w="170" w:type="dxa"/>
        <w:bottom w:w="85" w:type="dxa"/>
        <w:right w:w="170" w:type="dxa"/>
      </w:tblCellMar>
    </w:tblPr>
    <w:tblStylePr w:type="firstRow">
      <w:rPr>
        <w:b/>
        <w:color w:val="FFFFFF" w:themeColor="background1"/>
      </w:rPr>
      <w:tblPr/>
      <w:tcPr>
        <w:shd w:val="clear" w:color="auto" w:fill="532A63" w:themeFill="accent1"/>
      </w:tcPr>
    </w:tblStylePr>
  </w:style>
  <w:style w:type="character" w:styleId="Hyperlink">
    <w:name w:val="Hyperlink"/>
    <w:basedOn w:val="DefaultParagraphFont"/>
    <w:uiPriority w:val="99"/>
    <w:rsid w:val="00A03DA3"/>
    <w:rPr>
      <w:color w:val="009CD8" w:themeColor="hyperlink"/>
      <w:u w:val="single"/>
    </w:rPr>
  </w:style>
  <w:style w:type="character" w:customStyle="1" w:styleId="UnresolvedMention1">
    <w:name w:val="Unresolved Mention1"/>
    <w:basedOn w:val="DefaultParagraphFont"/>
    <w:uiPriority w:val="99"/>
    <w:semiHidden/>
    <w:rsid w:val="00A03DA3"/>
    <w:rPr>
      <w:color w:val="605E5C"/>
      <w:shd w:val="clear" w:color="auto" w:fill="E1DFDD"/>
    </w:rPr>
  </w:style>
  <w:style w:type="character" w:styleId="FollowedHyperlink">
    <w:name w:val="FollowedHyperlink"/>
    <w:basedOn w:val="DefaultParagraphFont"/>
    <w:uiPriority w:val="99"/>
    <w:semiHidden/>
    <w:rsid w:val="009737D7"/>
    <w:rPr>
      <w:color w:val="009CD8" w:themeColor="followedHyperlink"/>
      <w:u w:val="single"/>
    </w:rPr>
  </w:style>
  <w:style w:type="character" w:customStyle="1" w:styleId="ListParagraphChar">
    <w:name w:val="List Paragraph Char"/>
    <w:aliases w:val="Bullet 1 Char,Bullet Points Char,Bullet Style Char,Colorful List - Accent 11 Char,Dot pt Char,F5 List Paragraph Char,Indicator Text Char,List Paragraph Char Char Char Char,List Paragraph1 Char,List Paragraph12 Char,MAIN CONTENT Char"/>
    <w:link w:val="ListParagraph"/>
    <w:uiPriority w:val="34"/>
    <w:qFormat/>
    <w:locked/>
    <w:rsid w:val="00CB26EA"/>
    <w:rPr>
      <w:sz w:val="22"/>
    </w:rPr>
  </w:style>
  <w:style w:type="paragraph" w:styleId="Revision">
    <w:name w:val="Revision"/>
    <w:hidden/>
    <w:uiPriority w:val="99"/>
    <w:semiHidden/>
    <w:rsid w:val="00685D6D"/>
    <w:rPr>
      <w:sz w:val="22"/>
    </w:rPr>
  </w:style>
  <w:style w:type="paragraph" w:customStyle="1" w:styleId="paragraph">
    <w:name w:val="paragraph"/>
    <w:basedOn w:val="Normal"/>
    <w:rsid w:val="00137B25"/>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00000"/>
      </a:dk2>
      <a:lt2>
        <a:srgbClr val="E5E6E5"/>
      </a:lt2>
      <a:accent1>
        <a:srgbClr val="532A63"/>
      </a:accent1>
      <a:accent2>
        <a:srgbClr val="E3E833"/>
      </a:accent2>
      <a:accent3>
        <a:srgbClr val="27B3AB"/>
      </a:accent3>
      <a:accent4>
        <a:srgbClr val="009CD8"/>
      </a:accent4>
      <a:accent5>
        <a:srgbClr val="175070"/>
      </a:accent5>
      <a:accent6>
        <a:srgbClr val="F16156"/>
      </a:accent6>
      <a:hlink>
        <a:srgbClr val="009CD8"/>
      </a:hlink>
      <a:folHlink>
        <a:srgbClr val="009CD8"/>
      </a:folHlink>
    </a:clrScheme>
    <a:fontScheme name="TheABI Word font theme">
      <a:majorFont>
        <a:latin typeface="Aptos"/>
        <a:ea typeface=""/>
        <a:cs typeface=""/>
      </a:majorFont>
      <a:minorFont>
        <a:latin typeface="Apto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style>
        <a:lnRef idx="2">
          <a:schemeClr val="accent1">
            <a:shade val="15000"/>
          </a:schemeClr>
        </a:lnRef>
        <a:fillRef idx="1">
          <a:schemeClr val="accent1"/>
        </a:fillRef>
        <a:effectRef idx="0">
          <a:schemeClr val="accent1"/>
        </a:effectRef>
        <a:fontRef idx="minor">
          <a:schemeClr val="lt1"/>
        </a:fontRef>
      </a:style>
    </a:spDef>
    <a:lnDef>
      <a:spPr>
        <a:ln w="9525"/>
      </a:spPr>
      <a:bodyPr/>
      <a:lstStyle/>
      <a:style>
        <a:lnRef idx="1">
          <a:schemeClr val="accent1"/>
        </a:lnRef>
        <a:fillRef idx="0">
          <a:schemeClr val="accent1"/>
        </a:fillRef>
        <a:effectRef idx="0">
          <a:schemeClr val="accent1"/>
        </a:effectRef>
        <a:fontRef idx="minor">
          <a:schemeClr val="tx1"/>
        </a:fontRef>
      </a:style>
    </a:lnDef>
    <a:txDef>
      <a:spPr>
        <a:solidFill>
          <a:schemeClr val="lt1"/>
        </a:solidFill>
        <a:ln w="6350">
          <a:noFill/>
        </a:ln>
      </a:spPr>
      <a:bodyPr wrap="square" lIns="0" tIns="0" rIns="0" bIns="0" rtlCol="0"/>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8B44E2D2110BA4685F8ED07EBAD70D9" ma:contentTypeVersion="68" ma:contentTypeDescription="Create a new document." ma:contentTypeScope="" ma:versionID="22edb971044480174c45435b4e572c4b">
  <xsd:schema xmlns:xsd="http://www.w3.org/2001/XMLSchema" xmlns:xs="http://www.w3.org/2001/XMLSchema" xmlns:p="http://schemas.microsoft.com/office/2006/metadata/properties" xmlns:ns2="ca160097-f9a4-47a2-9b12-b18df77a0bea" xmlns:ns3="0606af38-29d8-407d-826d-7a0cb9d9f4ed" xmlns:ns4="4600776d-0a3c-44b4-bff2-0ceaafb13046" xmlns:ns5="c86d72e2-090a-4e7d-987e-218d8a0db591" xmlns:ns6="6ab18433-7710-49bd-9bb4-0bb85747556a" targetNamespace="http://schemas.microsoft.com/office/2006/metadata/properties" ma:root="true" ma:fieldsID="21fb6eab2d8c601a077cf9b461354965" ns2:_="" ns3:_="" ns4:_="" ns5:_="" ns6:_="">
    <xsd:import namespace="ca160097-f9a4-47a2-9b12-b18df77a0bea"/>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5:ja5e4d000da44b5490ce6b4249309924" minOccurs="0"/>
                <xsd:element ref="ns4:e6f926d7f5b14a74bee86c3452d91372" minOccurs="0"/>
                <xsd:element ref="ns4:cd0fc526a5c840319a97fd94028e9904" minOccurs="0"/>
                <xsd:element ref="ns3:Specialist_x0020_Adviser_x003a_First_x0020_Name" minOccurs="0"/>
                <xsd:element ref="ns3:Specialist_x0020_Adviser_x003a_Full_x0020_Name" minOccurs="0"/>
                <xsd:element ref="ns4:g3ef09377e3444258679b6035a1ff93a" minOccurs="0"/>
                <xsd:element ref="ns4:j6c5b17cd04246da82e5604daf08bc68" minOccurs="0"/>
                <xsd:element ref="ns6:_dlc_DocId" minOccurs="0"/>
                <xsd:element ref="ns4:c4838c65c76546ae93d5703426802f7f" minOccurs="0"/>
                <xsd:element ref="ns2:n78ca1497cf6442fb3babdda785c85ae" minOccurs="0"/>
                <xsd:element ref="ns2:j3dc9349b3384741bd6025ba1321f3a9" minOccurs="0"/>
                <xsd:element ref="ns6:_dlc_DocIdUrl" minOccurs="0"/>
                <xsd:element ref="ns3:Visit_x003a_Start_x0020_Time" minOccurs="0"/>
                <xsd:element ref="ns3:Visit_x003a_End_x0020_Time" minOccurs="0"/>
                <xsd:element ref="ns6:_dlc_DocIdPersistId" minOccurs="0"/>
                <xsd:element ref="ns3:Witness_x003a_First_x0020_Name" minOccurs="0"/>
                <xsd:element ref="ns3:Witness_x003a_Full_x0020_Name" minOccurs="0"/>
                <xsd:element ref="ns3:Witness_x003a_Job_x0020_Title" minOccurs="0"/>
                <xsd:element ref="ns6:SharedWithUsers" minOccurs="0"/>
                <xsd:element ref="ns6:SharedWithDetails" minOccurs="0"/>
                <xsd:element ref="ns2:MediaServiceMetadata" minOccurs="0"/>
                <xsd:element ref="ns2:MediaServiceFastMetadata" minOccurs="0"/>
                <xsd:element ref="ns2:MediaServiceDateTaken" minOccurs="0"/>
                <xsd:element ref="ns2:MediaServiceAutoTags" minOccurs="0"/>
                <xsd:element ref="ns2:MediaServiceLocation" minOccurs="0"/>
                <xsd:element ref="ns4:k5b153ee974a4a57a7568e533217f2cb" minOccurs="0"/>
                <xsd:element ref="ns4:TaxCatchAll" minOccurs="0"/>
                <xsd:element ref="ns4:TaxCatchAllLabel" minOccurs="0"/>
                <xsd:element ref="ns2:MediaServiceEventHashCode" minOccurs="0"/>
                <xsd:element ref="ns2:MediaServiceGenerationTime" minOccurs="0"/>
                <xsd:element ref="ns2:MediaServiceAutoKeyPoints" minOccurs="0"/>
                <xsd:element ref="ns2:MediaServiceKeyPoints" minOccurs="0"/>
                <xsd:element ref="ns2:DateandTime" minOccurs="0"/>
                <xsd:element ref="ns2:MediaServiceObjectDetectorVersions" minOccurs="0"/>
                <xsd:element ref="ns2:lcf76f155ced4ddcb4097134ff3c332f" minOccurs="0"/>
                <xsd:element ref="ns2:MediaServiceOCR" minOccurs="0"/>
                <xsd:element ref="ns2:TobePublished"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160097-f9a4-47a2-9b12-b18df77a0bea"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dexed="true"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n78ca1497cf6442fb3babdda785c85ae" ma:index="44"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j3dc9349b3384741bd6025ba1321f3a9" ma:index="45"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MediaServiceMetadata" ma:index="58" nillable="true" ma:displayName="MediaServiceMetadata" ma:description="" ma:hidden="true" ma:internalName="MediaServiceMetadata" ma:readOnly="true">
      <xsd:simpleType>
        <xsd:restriction base="dms:Note"/>
      </xsd:simpleType>
    </xsd:element>
    <xsd:element name="MediaServiceFastMetadata" ma:index="59" nillable="true" ma:displayName="MediaServiceFastMetadata" ma:description="" ma:hidden="true" ma:internalName="MediaServiceFastMetadata" ma:readOnly="true">
      <xsd:simpleType>
        <xsd:restriction base="dms:Note"/>
      </xsd:simpleType>
    </xsd:element>
    <xsd:element name="MediaServiceDateTaken" ma:index="60" nillable="true" ma:displayName="MediaServiceDateTaken" ma:description="" ma:hidden="true" ma:internalName="MediaServiceDateTaken" ma:readOnly="true">
      <xsd:simpleType>
        <xsd:restriction base="dms:Text"/>
      </xsd:simpleType>
    </xsd:element>
    <xsd:element name="MediaServiceAutoTags" ma:index="61" nillable="true" ma:displayName="MediaServiceAutoTags" ma:description="" ma:internalName="MediaServiceAutoTags" ma:readOnly="true">
      <xsd:simpleType>
        <xsd:restriction base="dms:Text"/>
      </xsd:simpleType>
    </xsd:element>
    <xsd:element name="MediaServiceLocation" ma:index="62" nillable="true" ma:displayName="MediaServiceLocation" ma:description="" ma:internalName="MediaServiceLocation" ma:readOnly="true">
      <xsd:simpleType>
        <xsd:restriction base="dms:Text"/>
      </xsd:simpleType>
    </xsd:element>
    <xsd:element name="MediaServiceEventHashCode" ma:index="67" nillable="true" ma:displayName="MediaServiceEventHashCode" ma:hidden="true" ma:internalName="MediaServiceEventHashCode" ma:readOnly="true">
      <xsd:simpleType>
        <xsd:restriction base="dms:Text"/>
      </xsd:simpleType>
    </xsd:element>
    <xsd:element name="MediaServiceGenerationTime" ma:index="68" nillable="true" ma:displayName="MediaServiceGenerationTime" ma:hidden="true" ma:internalName="MediaServiceGenerationTime" ma:readOnly="true">
      <xsd:simpleType>
        <xsd:restriction base="dms:Text"/>
      </xsd:simpleType>
    </xsd:element>
    <xsd:element name="MediaServiceAutoKeyPoints" ma:index="69" nillable="true" ma:displayName="MediaServiceAutoKeyPoints" ma:hidden="true" ma:internalName="MediaServiceAutoKeyPoints" ma:readOnly="true">
      <xsd:simpleType>
        <xsd:restriction base="dms:Note"/>
      </xsd:simpleType>
    </xsd:element>
    <xsd:element name="MediaServiceKeyPoints" ma:index="70" nillable="true" ma:displayName="KeyPoints" ma:internalName="MediaServiceKeyPoints" ma:readOnly="true">
      <xsd:simpleType>
        <xsd:restriction base="dms:Note">
          <xsd:maxLength value="255"/>
        </xsd:restriction>
      </xsd:simpleType>
    </xsd:element>
    <xsd:element name="DateandTime" ma:index="71" nillable="true" ma:displayName="Date and Time" ma:format="DateOnly" ma:internalName="DateandTime">
      <xsd:simpleType>
        <xsd:restriction base="dms:DateTime"/>
      </xsd:simpleType>
    </xsd:element>
    <xsd:element name="MediaServiceObjectDetectorVersions" ma:index="72" nillable="true" ma:displayName="MediaServiceObjectDetectorVersions" ma:hidden="true" ma:indexed="true" ma:internalName="MediaServiceObjectDetectorVersions" ma:readOnly="true">
      <xsd:simpleType>
        <xsd:restriction base="dms:Text"/>
      </xsd:simpleType>
    </xsd:element>
    <xsd:element name="lcf76f155ced4ddcb4097134ff3c332f" ma:index="7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OCR" ma:index="75" nillable="true" ma:displayName="Extracted Text" ma:internalName="MediaServiceOCR" ma:readOnly="true">
      <xsd:simpleType>
        <xsd:restriction base="dms:Note">
          <xsd:maxLength value="255"/>
        </xsd:restriction>
      </xsd:simpleType>
    </xsd:element>
    <xsd:element name="TobePublished" ma:index="76" nillable="true" ma:displayName="To be Published" ma:format="Dropdown" ma:internalName="TobePublished">
      <xsd:simpleType>
        <xsd:restriction base="dms:Text">
          <xsd:maxLength value="255"/>
        </xsd:restriction>
      </xsd:simpleType>
    </xsd:element>
    <xsd:element name="MediaServiceSearchProperties" ma:index="77" nillable="true" ma:displayName="MediaServiceSearchProperties" ma:hidden="true" ma:internalName="MediaServiceSearchProperties" ma:readOnly="true">
      <xsd:simpleType>
        <xsd:restriction base="dms:Note"/>
      </xsd:simpleType>
    </xsd:element>
    <xsd:element name="MediaServiceBillingMetadata" ma:index="7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0aa076f0-b8a1-48bf-8818-83242ab5342f}" ma:internalName="Visit" ma:showField="Title" ma:web="0606af38-29d8-407d-826d-7a0cb9d9f4ed">
      <xsd:simpleType>
        <xsd:restriction base="dms:Lookup"/>
      </xsd:simpleType>
    </xsd:element>
    <xsd:element name="Specialist_x0020_Adviser" ma:index="17" nillable="true" ma:displayName="Specialist Adviser" ma:list="{f0c3f697-2dfe-47db-9feb-52a2e679508b}" ma:internalName="Specialist_x0020_Adviser" ma:showField="Title" ma:web="0606af38-29d8-407d-826d-7a0cb9d9f4ed">
      <xsd:simpleType>
        <xsd:restriction base="dms:Lookup"/>
      </xsd:simpleType>
    </xsd:element>
    <xsd:element name="Witness" ma:index="18" nillable="true" ma:displayName="Witness" ma:list="{4f79105f-fda0-4d63-9233-4f27dd71f267}" ma:internalName="Witness" ma:showField="Title" ma:web="0606af38-29d8-407d-826d-7a0cb9d9f4ed">
      <xsd:simpleType>
        <xsd:restriction base="dms:Lookup"/>
      </xsd:simpleType>
    </xsd:element>
    <xsd:element name="Specialist_x0020_Adviser_x003a_First_x0020_Name" ma:index="36" nillable="true" ma:displayName="Specialist Adviser:First Name" ma:list="{f0c3f697-2dfe-47db-9feb-52a2e679508b}" ma:internalName="Specialist_x0020_Adviser_x003a_First_x0020_Name" ma:readOnly="true" ma:showField="FirstName" ma:web="0606af38-29d8-407d-826d-7a0cb9d9f4ed">
      <xsd:simpleType>
        <xsd:restriction base="dms:Lookup"/>
      </xsd:simpleType>
    </xsd:element>
    <xsd:element name="Specialist_x0020_Adviser_x003a_Full_x0020_Name" ma:index="37" nillable="true" ma:displayName="Specialist Adviser:Full Name" ma:list="{f0c3f697-2dfe-47db-9feb-52a2e679508b}" ma:internalName="Specialist_x0020_Adviser_x003a_Full_x0020_Name" ma:readOnly="true" ma:showField="FullName" ma:web="0606af38-29d8-407d-826d-7a0cb9d9f4ed">
      <xsd:simpleType>
        <xsd:restriction base="dms:Lookup"/>
      </xsd:simpleType>
    </xsd:element>
    <xsd:element name="Visit_x003a_Start_x0020_Time" ma:index="48" nillable="true" ma:displayName="Visit:Start Time" ma:list="{0aa076f0-b8a1-48bf-8818-83242ab5342f}" ma:internalName="Visit_x003a_Start_x0020_Time" ma:readOnly="true" ma:showField="EventDate" ma:web="0606af38-29d8-407d-826d-7a0cb9d9f4ed">
      <xsd:simpleType>
        <xsd:restriction base="dms:Lookup"/>
      </xsd:simpleType>
    </xsd:element>
    <xsd:element name="Visit_x003a_End_x0020_Time" ma:index="49" nillable="true" ma:displayName="Visit:End Time" ma:list="{0aa076f0-b8a1-48bf-8818-83242ab5342f}" ma:internalName="Visit_x003a_End_x0020_Time" ma:readOnly="true" ma:showField="EndDate" ma:web="0606af38-29d8-407d-826d-7a0cb9d9f4ed">
      <xsd:simpleType>
        <xsd:restriction base="dms:Lookup"/>
      </xsd:simpleType>
    </xsd:element>
    <xsd:element name="Witness_x003a_First_x0020_Name" ma:index="51" nillable="true" ma:displayName="Witness:First Name" ma:list="{4f79105f-fda0-4d63-9233-4f27dd71f267}" ma:internalName="Witness_x003a_First_x0020_Name" ma:readOnly="true" ma:showField="First_x0020_Name" ma:web="0606af38-29d8-407d-826d-7a0cb9d9f4ed">
      <xsd:simpleType>
        <xsd:restriction base="dms:Lookup"/>
      </xsd:simpleType>
    </xsd:element>
    <xsd:element name="Witness_x003a_Full_x0020_Name" ma:index="52" nillable="true" ma:displayName="Witness:Full Name" ma:list="{4f79105f-fda0-4d63-9233-4f27dd71f267}" ma:internalName="Witness_x003a_Full_x0020_Name" ma:readOnly="true" ma:showField="Full_x0020_Name" ma:web="0606af38-29d8-407d-826d-7a0cb9d9f4ed">
      <xsd:simpleType>
        <xsd:restriction base="dms:Lookup"/>
      </xsd:simpleType>
    </xsd:element>
    <xsd:element name="Witness_x003a_Job_x0020_Title" ma:index="53" nillable="true" ma:displayName="Witness:Job Title" ma:list="{4f79105f-fda0-4d63-9233-4f27dd71f267}" ma:internalName="Witness_x003a_Job_x0020_Title" ma:readOnly="true" ma:showField="Job_x0020_Titl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1" nillable="true" ma:displayName="Record Number" ma:indexed="true" ma:internalName="RecordNumber">
      <xsd:simpleType>
        <xsd:restriction base="dms:Text">
          <xsd:maxLength value="255"/>
        </xsd:restriction>
      </xsd:simpleType>
    </xsd:element>
    <xsd:element name="e6f926d7f5b14a74bee86c3452d91372" ma:index="34" nillable="true" ma:taxonomy="true" ma:internalName="e6f926d7f5b14a74bee86c3452d91372" ma:taxonomyFieldName="Sessions" ma:displayName="Session" ma:default="136;#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d0fc526a5c840319a97fd94028e9904" ma:index="35"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g3ef09377e3444258679b6035a1ff93a" ma:index="38"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39"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4838c65c76546ae93d5703426802f7f" ma:index="41"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k5b153ee974a4a57a7568e533217f2cb" ma:index="63"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64" nillable="true" ma:displayName="Taxonomy Catch All Column" ma:description="" ma:hidden="true" ma:list="{16fe675c-0843-4115-a495-0e880fdbd303}"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65" nillable="true" ma:displayName="Taxonomy Catch All Column1" ma:description="" ma:hidden="true" ma:list="{16fe675c-0843-4115-a495-0e880fdbd303}"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2" nillable="true" ma:taxonomy="true" ma:internalName="ja5e4d000da44b5490ce6b4249309924" ma:taxonomyFieldName="Inquiry" ma:displayName="Inquiry" ma:indexed="true" ma:default="" ma:fieldId="{3a5e4d00-0da4-4b54-90ce-6b4249309924}" ma:sspId="eb37f91c-4bb8-4ab3-bc5a-cd8753815459" ma:termSetId="e92b6cb5-89aa-4b85-8d83-b805cf84055d" ma:anchorId="cb92f1e8-9f4f-49fe-a098-f606b1293349"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 ma:index="40" nillable="true" ma:displayName="Document ID Value" ma:description="The value of the document ID assigned to this item." ma:internalName="_dlc_DocId" ma:readOnly="true">
      <xsd:simpleType>
        <xsd:restriction base="dms:Text"/>
      </xsd:simpleType>
    </xsd:element>
    <xsd:element name="_dlc_DocIdUrl" ma:index="4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0" nillable="true" ma:displayName="Persist ID" ma:description="Keep ID on add." ma:hidden="true" ma:internalName="_dlc_DocIdPersistId" ma:readOnly="true">
      <xsd:simpleType>
        <xsd:restriction base="dms:Boolean"/>
      </xsd:simpleType>
    </xsd:element>
    <xsd:element name="SharedWithUsers" ma:index="5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7"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600776d-0a3c-44b4-bff2-0ceaafb13046">
      <Value>2</Value>
      <Value>191</Value>
    </TaxCatchAll>
    <lcf76f155ced4ddcb4097134ff3c332f xmlns="ca160097-f9a4-47a2-9b12-b18df77a0bea">
      <Terms xmlns="http://schemas.microsoft.com/office/infopath/2007/PartnerControls"/>
    </lcf76f155ced4ddcb4097134ff3c332f>
    <Meeting_x0020_Date xmlns="ca160097-f9a4-47a2-9b12-b18df77a0bea" xsi:nil="true"/>
    <DateSent xmlns="4600776d-0a3c-44b4-bff2-0ceaafb13046" xsi:nil="true"/>
    <Related_x0020_Document xmlns="ca160097-f9a4-47a2-9b12-b18df77a0bea">
      <Url xsi:nil="true"/>
      <Description xsi:nil="true"/>
    </Related_x0020_Document>
    <RecordNumber xmlns="4600776d-0a3c-44b4-bff2-0ceaafb13046" xsi:nil="true"/>
    <Date xmlns="ca160097-f9a4-47a2-9b12-b18df77a0bea" xsi:nil="true"/>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Document_x0020_Status xmlns="ca160097-f9a4-47a2-9b12-b18df77a0bea" xsi:nil="true"/>
    <Circulation_x0020_Date xmlns="ca160097-f9a4-47a2-9b12-b18df77a0bea" xsi:nil="true"/>
    <Brief_x0020_status xmlns="ca160097-f9a4-47a2-9b12-b18df77a0bea" xsi:nil="true"/>
    <Publication_x0020_Date xmlns="ca160097-f9a4-47a2-9b12-b18df77a0bea" xsi:nil="true"/>
    <Notes0 xmlns="ca160097-f9a4-47a2-9b12-b18df77a0bea" xsi:nil="true"/>
    <Department xmlns="ca160097-f9a4-47a2-9b12-b18df77a0bea" xsi:nil="true"/>
    <j6c5b17cd04246da82e5604daf08bc68 xmlns="4600776d-0a3c-44b4-bff2-0ceaafb13046">
      <Terms xmlns="http://schemas.microsoft.com/office/infopath/2007/PartnerControls"/>
    </j6c5b17cd04246da82e5604daf08bc68>
    <Additional_x0020_category xmlns="ca160097-f9a4-47a2-9b12-b18df77a0bea"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EndofSessionDate xmlns="4600776d-0a3c-44b4-bff2-0ceaafb13046" xsi:nil="true"/>
    <n78ca1497cf6442fb3babdda785c85ae xmlns="ca160097-f9a4-47a2-9b12-b18df77a0bea">
      <Terms xmlns="http://schemas.microsoft.com/office/infopath/2007/PartnerControls"/>
    </n78ca1497cf6442fb3babdda785c85ae>
    <DateReceived xmlns="4600776d-0a3c-44b4-bff2-0ceaafb13046" xsi:nil="true"/>
    <TransfertoArchives xmlns="4600776d-0a3c-44b4-bff2-0ceaafb13046">false</TransfertoArchives>
    <j3dc9349b3384741bd6025ba1321f3a9 xmlns="ca160097-f9a4-47a2-9b12-b18df77a0bea">
      <Terms xmlns="http://schemas.microsoft.com/office/infopath/2007/PartnerControls"/>
    </j3dc9349b3384741bd6025ba1321f3a9>
    <Visit xmlns="0606af38-29d8-407d-826d-7a0cb9d9f4ed" xsi:nil="true"/>
    <Useful_x0020_Docs xmlns="ca160097-f9a4-47a2-9b12-b18df77a0bea" xsi:nil="true"/>
    <Deadline xmlns="ca160097-f9a4-47a2-9b12-b18df77a0bea" xsi:nil="true"/>
    <Allocated_x0020_to xmlns="ca160097-f9a4-47a2-9b12-b18df77a0bea">
      <UserInfo>
        <DisplayName/>
        <AccountId xsi:nil="true"/>
        <AccountType/>
      </UserInfo>
    </Allocated_x0020_to>
    <ja5e4d000da44b5490ce6b4249309924 xmlns="c86d72e2-090a-4e7d-987e-218d8a0db591">
      <Terms xmlns="http://schemas.microsoft.com/office/infopath/2007/PartnerControls"/>
    </ja5e4d000da44b5490ce6b4249309924>
    <cd0fc526a5c840319a97fd94028e9904 xmlns="4600776d-0a3c-44b4-bff2-0ceaafb13046">
      <Terms xmlns="http://schemas.microsoft.com/office/infopath/2007/PartnerControls"/>
    </cd0fc526a5c840319a97fd94028e9904>
    <Status_x0020_of_x0020_correspondence xmlns="ca160097-f9a4-47a2-9b12-b18df77a0bea" xsi:nil="true"/>
    <Witness xmlns="0606af38-29d8-407d-826d-7a0cb9d9f4ed" xsi:nil="tru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ateandTime xmlns="ca160097-f9a4-47a2-9b12-b18df77a0bea" xsi:nil="true"/>
    <TobePublished xmlns="ca160097-f9a4-47a2-9b12-b18df77a0bea" xsi:nil="true"/>
  </documentManagement>
</p:properties>
</file>

<file path=customXml/item3.xml><?xml version="1.0" encoding="utf-8"?>
<?mso-contentType ?>
<spe:Receivers xmlns:spe="http://schemas.microsoft.com/sharepoint/event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1207AA-F0BB-4932-AE43-79E466129436}">
  <ds:schemaRefs/>
</ds:datastoreItem>
</file>

<file path=customXml/itemProps2.xml><?xml version="1.0" encoding="utf-8"?>
<ds:datastoreItem xmlns:ds="http://schemas.openxmlformats.org/officeDocument/2006/customXml" ds:itemID="{0ACF3CF7-8C81-4277-9D1C-2C20A5783D1F}">
  <ds:schemaRefs>
    <ds:schemaRef ds:uri="http://schemas.microsoft.com/office/2006/metadata/properties"/>
    <ds:schemaRef ds:uri="http://schemas.microsoft.com/office/infopath/2007/PartnerControls"/>
    <ds:schemaRef ds:uri="7765a450-b075-421e-8b80-fbfe8fea7176"/>
    <ds:schemaRef ds:uri="http://schemas.microsoft.com/sharepoint/v3"/>
    <ds:schemaRef ds:uri="da152be6-bf2b-459b-8c68-11b370dc0910"/>
  </ds:schemaRefs>
</ds:datastoreItem>
</file>

<file path=customXml/itemProps3.xml><?xml version="1.0" encoding="utf-8"?>
<ds:datastoreItem xmlns:ds="http://schemas.openxmlformats.org/officeDocument/2006/customXml" ds:itemID="{FE3AAF69-8205-4409-922A-E19A1F4A7473}">
  <ds:schemaRefs/>
</ds:datastoreItem>
</file>

<file path=customXml/itemProps4.xml><?xml version="1.0" encoding="utf-8"?>
<ds:datastoreItem xmlns:ds="http://schemas.openxmlformats.org/officeDocument/2006/customXml" ds:itemID="{93CD81FF-A9E3-49EF-983A-0134E21202B3}">
  <ds:schemaRefs>
    <ds:schemaRef ds:uri="http://schemas.microsoft.com/sharepoint/v3/contenttype/forms"/>
  </ds:schemaRefs>
</ds:datastoreItem>
</file>

<file path=customXml/itemProps5.xml><?xml version="1.0" encoding="utf-8"?>
<ds:datastoreItem xmlns:ds="http://schemas.openxmlformats.org/officeDocument/2006/customXml" ds:itemID="{740FBC28-9E29-4FE8-A45B-9F3C90128D64}">
  <ds:schemaRefs>
    <ds:schemaRef ds:uri="http://schemas.openxmlformats.org/officeDocument/2006/bibliography"/>
  </ds:schemaRefs>
</ds:datastoreItem>
</file>

<file path=docMetadata/LabelInfo.xml><?xml version="1.0" encoding="utf-8"?>
<clbl:labelList xmlns:clbl="http://schemas.microsoft.com/office/2020/mipLabelMetadata">
  <clbl:label id="{698453b5-5ff5-45ea-8b80-71e82b0a2887}"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CLR0195</dc:title>
  <cp:revision>0</cp:revision>
</cp:coreProperties>
</file>