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1575" w:rsidRPr="00BC1575" w:rsidP="008B1B3B">
      <w:pPr>
        <w:jc w:val="center"/>
        <w:rPr>
          <w:rFonts w:ascii="Arial" w:hAnsi="Arial" w:cs="Arial"/>
          <w:b/>
          <w:bCs/>
        </w:rPr>
      </w:pPr>
      <w:r w:rsidRPr="00BC1575">
        <w:rPr>
          <w:rFonts w:ascii="Arial" w:hAnsi="Arial" w:cs="Arial"/>
          <w:b/>
          <w:bCs/>
        </w:rPr>
        <w:t>W</w:t>
      </w:r>
      <w:r w:rsidRPr="00BC1575">
        <w:rPr>
          <w:rFonts w:ascii="Arial" w:hAnsi="Arial" w:cs="Arial"/>
          <w:b/>
          <w:bCs/>
        </w:rPr>
        <w:t>ritten evidence submitted by</w:t>
      </w:r>
      <w:r w:rsidRPr="00BC1575">
        <w:rPr>
          <w:rFonts w:ascii="Arial" w:hAnsi="Arial" w:cs="Arial"/>
          <w:b/>
          <w:bCs/>
        </w:rPr>
        <w:t xml:space="preserve"> the Residential Freehold Association (RFA)</w:t>
      </w:r>
      <w:r>
        <w:rPr>
          <w:rFonts w:ascii="Arial" w:hAnsi="Arial" w:cs="Arial"/>
          <w:b/>
          <w:bCs/>
        </w:rPr>
        <w:t xml:space="preserve"> [CLR 178]</w:t>
      </w:r>
    </w:p>
    <w:p w:rsidR="00BC1575" w:rsidRPr="008236CC" w:rsidP="0094449D">
      <w:pPr>
        <w:jc w:val="both"/>
        <w:rPr>
          <w:rFonts w:ascii="Arial" w:hAnsi="Arial" w:cs="Arial"/>
          <w:b/>
          <w:bCs/>
          <w:sz w:val="20"/>
          <w:szCs w:val="20"/>
          <w:u w:val="single"/>
        </w:rPr>
      </w:pPr>
    </w:p>
    <w:p w:rsidR="00BC1575" w:rsidRPr="008236CC" w:rsidP="0094449D">
      <w:pPr>
        <w:jc w:val="both"/>
        <w:rPr>
          <w:rFonts w:ascii="Arial" w:hAnsi="Arial" w:cs="Arial"/>
          <w:b/>
          <w:bCs/>
          <w:sz w:val="20"/>
          <w:szCs w:val="20"/>
        </w:rPr>
      </w:pPr>
      <w:r w:rsidRPr="008236CC">
        <w:rPr>
          <w:rFonts w:ascii="Arial" w:hAnsi="Arial" w:cs="Arial"/>
          <w:b/>
          <w:bCs/>
          <w:sz w:val="20"/>
          <w:szCs w:val="20"/>
        </w:rPr>
        <w:t>About the RFA</w:t>
      </w:r>
    </w:p>
    <w:p w:rsidR="00BC1575" w:rsidP="00C77235">
      <w:pPr>
        <w:jc w:val="both"/>
        <w:rPr>
          <w:rFonts w:ascii="Arial" w:hAnsi="Arial" w:cs="Arial"/>
          <w:sz w:val="20"/>
          <w:szCs w:val="20"/>
        </w:rPr>
      </w:pPr>
      <w:r w:rsidRPr="008236CC">
        <w:rPr>
          <w:rFonts w:ascii="Arial" w:hAnsi="Arial" w:cs="Arial"/>
          <w:sz w:val="20"/>
          <w:szCs w:val="20"/>
        </w:rPr>
        <w:t>The RFA is the representative organisation for the UK’s largest professional freeholders</w:t>
      </w:r>
      <w:r>
        <w:rPr>
          <w:rFonts w:ascii="Arial" w:hAnsi="Arial" w:cs="Arial"/>
          <w:sz w:val="20"/>
          <w:szCs w:val="20"/>
        </w:rPr>
        <w:t>, responsible for circa one million leasehold properties.</w:t>
      </w:r>
      <w:r>
        <w:rPr>
          <w:rFonts w:ascii="Arial" w:hAnsi="Arial" w:cs="Arial"/>
          <w:sz w:val="20"/>
          <w:szCs w:val="20"/>
        </w:rPr>
        <w:t xml:space="preserve"> </w:t>
      </w:r>
      <w:r>
        <w:rPr>
          <w:rFonts w:ascii="Arial" w:hAnsi="Arial" w:cs="Arial"/>
          <w:sz w:val="20"/>
          <w:szCs w:val="20"/>
        </w:rPr>
        <w:t xml:space="preserve">Its members </w:t>
      </w:r>
      <w:r>
        <w:rPr>
          <w:rFonts w:ascii="Arial" w:hAnsi="Arial" w:cs="Arial"/>
          <w:sz w:val="20"/>
          <w:szCs w:val="20"/>
        </w:rPr>
        <w:t xml:space="preserve">have called for statutory regulation of the sector since 2018 and </w:t>
      </w:r>
      <w:r>
        <w:rPr>
          <w:rFonts w:ascii="Arial" w:hAnsi="Arial" w:cs="Arial"/>
          <w:sz w:val="20"/>
          <w:szCs w:val="20"/>
        </w:rPr>
        <w:t>adhere to a</w:t>
      </w:r>
      <w:r>
        <w:rPr>
          <w:rFonts w:ascii="Arial" w:hAnsi="Arial" w:cs="Arial"/>
          <w:sz w:val="20"/>
          <w:szCs w:val="20"/>
        </w:rPr>
        <w:t xml:space="preserve"> strict</w:t>
      </w:r>
      <w:r>
        <w:rPr>
          <w:rFonts w:ascii="Arial" w:hAnsi="Arial" w:cs="Arial"/>
          <w:sz w:val="20"/>
          <w:szCs w:val="20"/>
        </w:rPr>
        <w:t xml:space="preserve"> </w:t>
      </w:r>
      <w:r>
        <w:fldChar w:fldCharType="begin"/>
      </w:r>
      <w:r>
        <w:instrText xml:space="preserve"> HYPERLINK "https://residentialfreeholdassociation.co.uk/wp-content/uploads/2025/04/RFA-Code-of-Practice-3.pdf" </w:instrText>
      </w:r>
      <w:r>
        <w:fldChar w:fldCharType="separate"/>
      </w:r>
      <w:r w:rsidRPr="00863B6F">
        <w:rPr>
          <w:rStyle w:val="Hyperlink"/>
          <w:rFonts w:ascii="Arial" w:hAnsi="Arial" w:cs="Arial"/>
          <w:sz w:val="20"/>
          <w:szCs w:val="20"/>
        </w:rPr>
        <w:t>Code of Practice</w:t>
      </w:r>
      <w:r>
        <w:fldChar w:fldCharType="end"/>
      </w:r>
      <w:r>
        <w:rPr>
          <w:rFonts w:ascii="Arial" w:hAnsi="Arial" w:cs="Arial"/>
          <w:sz w:val="20"/>
          <w:szCs w:val="20"/>
        </w:rPr>
        <w:t xml:space="preserve">. </w:t>
      </w:r>
    </w:p>
    <w:p w:rsidR="00BC1575" w:rsidP="00C77235">
      <w:pPr>
        <w:jc w:val="both"/>
        <w:rPr>
          <w:rFonts w:ascii="Arial" w:hAnsi="Arial" w:cs="Arial"/>
          <w:sz w:val="20"/>
          <w:szCs w:val="20"/>
        </w:rPr>
      </w:pPr>
    </w:p>
    <w:p w:rsidR="00BC1575" w:rsidRPr="00D0685E" w:rsidP="00C77235">
      <w:pPr>
        <w:jc w:val="both"/>
        <w:rPr>
          <w:rFonts w:ascii="Arial" w:hAnsi="Arial" w:cs="Arial"/>
          <w:b/>
          <w:bCs/>
          <w:sz w:val="20"/>
          <w:szCs w:val="20"/>
        </w:rPr>
      </w:pPr>
      <w:r w:rsidRPr="00D0685E">
        <w:rPr>
          <w:rFonts w:ascii="Arial" w:hAnsi="Arial" w:cs="Arial"/>
          <w:b/>
          <w:bCs/>
          <w:sz w:val="20"/>
          <w:szCs w:val="20"/>
        </w:rPr>
        <w:t>Foreword</w:t>
      </w:r>
    </w:p>
    <w:p w:rsidR="00BC1575" w:rsidRPr="00651944" w:rsidP="00651944">
      <w:pPr>
        <w:jc w:val="both"/>
        <w:rPr>
          <w:rFonts w:ascii="Arial" w:hAnsi="Arial" w:cs="Arial"/>
          <w:sz w:val="20"/>
          <w:szCs w:val="20"/>
        </w:rPr>
      </w:pPr>
      <w:r w:rsidRPr="00651944">
        <w:rPr>
          <w:rFonts w:ascii="Arial" w:hAnsi="Arial" w:cs="Arial"/>
          <w:sz w:val="20"/>
          <w:szCs w:val="20"/>
        </w:rPr>
        <w:t xml:space="preserve">The RFA welcomes the Committee’s call for evidence. However, we are concerned that pre-legislative scrutiny of the draft Bill is being rushed, and that the sequencing risks undermining good </w:t>
      </w:r>
      <w:r w:rsidRPr="00651944">
        <w:rPr>
          <w:rFonts w:ascii="Arial" w:hAnsi="Arial" w:cs="Arial"/>
          <w:sz w:val="20"/>
          <w:szCs w:val="20"/>
        </w:rPr>
        <w:t>policy-making</w:t>
      </w:r>
      <w:r w:rsidRPr="00651944">
        <w:rPr>
          <w:rFonts w:ascii="Arial" w:hAnsi="Arial" w:cs="Arial"/>
          <w:sz w:val="20"/>
          <w:szCs w:val="20"/>
        </w:rPr>
        <w:t>. The Government has not yet published an Impact Assessment. Without this analysis, stakeholders are being asked to respond without sight of the underlying assumptions on market impacts. The RFA therefore requests that, once the Impact Assessment is available, the Committee allows stakeholders an opportunity to submit supplementary evidence.</w:t>
      </w:r>
    </w:p>
    <w:p w:rsidR="00BC1575" w:rsidRPr="00634D7D" w:rsidP="0094449D">
      <w:pPr>
        <w:jc w:val="both"/>
        <w:rPr>
          <w:rFonts w:ascii="Arial" w:hAnsi="Arial" w:cs="Arial"/>
          <w:sz w:val="20"/>
          <w:szCs w:val="20"/>
        </w:rPr>
      </w:pPr>
    </w:p>
    <w:p w:rsidR="00BC1575" w:rsidRPr="00485551" w:rsidP="0094449D">
      <w:pPr>
        <w:numPr>
          <w:ilvl w:val="0"/>
          <w:numId w:val="1"/>
        </w:numPr>
        <w:spacing w:line="259" w:lineRule="auto"/>
        <w:contextualSpacing/>
        <w:jc w:val="both"/>
        <w:rPr>
          <w:rFonts w:ascii="Arial" w:eastAsia="Calibri" w:hAnsi="Arial" w:cs="Arial"/>
          <w:sz w:val="20"/>
          <w:szCs w:val="20"/>
        </w:rPr>
      </w:pPr>
      <w:r>
        <w:rPr>
          <w:rFonts w:ascii="Arial" w:eastAsia="Calibri" w:hAnsi="Arial" w:cs="Arial"/>
          <w:b/>
          <w:bCs/>
          <w:sz w:val="20"/>
          <w:szCs w:val="20"/>
        </w:rPr>
        <w:t>How effectively does the draft Bill meet the Government’s own policy intentions, including i</w:t>
      </w:r>
      <w:r>
        <w:rPr>
          <w:rFonts w:ascii="Arial" w:eastAsia="Calibri" w:hAnsi="Arial" w:cs="Arial"/>
          <w:b/>
          <w:bCs/>
          <w:sz w:val="20"/>
          <w:szCs w:val="20"/>
        </w:rPr>
        <w:t>ts commitment to “bring the feudal leasehold system to an end”?</w:t>
      </w:r>
    </w:p>
    <w:p w:rsidR="00BC1575" w:rsidRPr="008236CC" w:rsidP="0094449D">
      <w:pPr>
        <w:spacing w:line="259" w:lineRule="auto"/>
        <w:ind w:left="360"/>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Pr>
          <w:rFonts w:ascii="Arial" w:eastAsia="Calibri" w:hAnsi="Arial" w:cs="Arial"/>
          <w:sz w:val="20"/>
          <w:szCs w:val="20"/>
        </w:rPr>
        <w:t xml:space="preserve">The draft Bill </w:t>
      </w:r>
      <w:r w:rsidRPr="5C8614C7">
        <w:rPr>
          <w:rFonts w:ascii="Arial" w:eastAsia="Calibri" w:hAnsi="Arial" w:cs="Arial"/>
          <w:sz w:val="20"/>
          <w:szCs w:val="20"/>
        </w:rPr>
        <w:t xml:space="preserve">is the </w:t>
      </w:r>
      <w:r w:rsidRPr="142154F5">
        <w:rPr>
          <w:rFonts w:ascii="Arial" w:eastAsia="Calibri" w:hAnsi="Arial" w:cs="Arial"/>
          <w:sz w:val="20"/>
          <w:szCs w:val="20"/>
        </w:rPr>
        <w:t xml:space="preserve">product of a policymaking </w:t>
      </w:r>
      <w:r w:rsidRPr="0A2B4EC8">
        <w:rPr>
          <w:rFonts w:ascii="Arial" w:eastAsia="Calibri" w:hAnsi="Arial" w:cs="Arial"/>
          <w:sz w:val="20"/>
          <w:szCs w:val="20"/>
        </w:rPr>
        <w:t xml:space="preserve">process that </w:t>
      </w:r>
      <w:r w:rsidRPr="1CB69A06">
        <w:rPr>
          <w:rFonts w:ascii="Arial" w:eastAsia="Calibri" w:hAnsi="Arial" w:cs="Arial"/>
          <w:sz w:val="20"/>
          <w:szCs w:val="20"/>
        </w:rPr>
        <w:t xml:space="preserve">has </w:t>
      </w:r>
      <w:r>
        <w:rPr>
          <w:rFonts w:ascii="Arial" w:eastAsia="Calibri" w:hAnsi="Arial" w:cs="Arial"/>
          <w:sz w:val="20"/>
          <w:szCs w:val="20"/>
        </w:rPr>
        <w:t>failed to engage with</w:t>
      </w:r>
      <w:r w:rsidRPr="7ABD27E7">
        <w:rPr>
          <w:rFonts w:ascii="Arial" w:eastAsia="Calibri" w:hAnsi="Arial" w:cs="Arial"/>
          <w:sz w:val="20"/>
          <w:szCs w:val="20"/>
        </w:rPr>
        <w:t xml:space="preserve"> </w:t>
      </w:r>
      <w:r w:rsidRPr="7ABD27E7">
        <w:rPr>
          <w:rFonts w:ascii="Arial" w:eastAsia="Calibri" w:hAnsi="Arial" w:cs="Arial"/>
          <w:sz w:val="20"/>
          <w:szCs w:val="20"/>
        </w:rPr>
        <w:t>evidence</w:t>
      </w:r>
      <w:r w:rsidRPr="5D27F15B">
        <w:rPr>
          <w:rFonts w:ascii="Arial" w:eastAsia="Calibri" w:hAnsi="Arial" w:cs="Arial"/>
          <w:sz w:val="20"/>
          <w:szCs w:val="20"/>
        </w:rPr>
        <w:t xml:space="preserve"> from the </w:t>
      </w:r>
      <w:r w:rsidRPr="6C14E67A">
        <w:rPr>
          <w:rFonts w:ascii="Arial" w:eastAsia="Calibri" w:hAnsi="Arial" w:cs="Arial"/>
          <w:sz w:val="20"/>
          <w:szCs w:val="20"/>
        </w:rPr>
        <w:t>market as a whole</w:t>
      </w:r>
      <w:r w:rsidRPr="6C14E67A">
        <w:rPr>
          <w:rFonts w:ascii="Arial" w:eastAsia="Calibri" w:hAnsi="Arial" w:cs="Arial"/>
          <w:sz w:val="20"/>
          <w:szCs w:val="20"/>
        </w:rPr>
        <w:t>.</w:t>
      </w:r>
      <w:r w:rsidRPr="5D27F15B">
        <w:rPr>
          <w:rFonts w:ascii="Arial" w:eastAsia="Calibri" w:hAnsi="Arial" w:cs="Arial"/>
          <w:sz w:val="20"/>
          <w:szCs w:val="20"/>
        </w:rPr>
        <w:t xml:space="preserve"> </w:t>
      </w:r>
      <w:r>
        <w:rPr>
          <w:rFonts w:ascii="Arial" w:eastAsia="Calibri" w:hAnsi="Arial" w:cs="Arial"/>
          <w:sz w:val="20"/>
          <w:szCs w:val="20"/>
        </w:rPr>
        <w:t>T</w:t>
      </w:r>
      <w:r w:rsidRPr="1DB03456">
        <w:rPr>
          <w:rFonts w:ascii="Arial" w:eastAsia="Calibri" w:hAnsi="Arial" w:cs="Arial"/>
          <w:sz w:val="20"/>
          <w:szCs w:val="20"/>
        </w:rPr>
        <w:t xml:space="preserve">he measures </w:t>
      </w:r>
      <w:r w:rsidRPr="4ED15F33">
        <w:rPr>
          <w:rFonts w:ascii="Arial" w:eastAsia="Calibri" w:hAnsi="Arial" w:cs="Arial"/>
          <w:sz w:val="20"/>
          <w:szCs w:val="20"/>
        </w:rPr>
        <w:t xml:space="preserve">included within </w:t>
      </w:r>
      <w:r w:rsidRPr="4A64F7E7">
        <w:rPr>
          <w:rFonts w:ascii="Arial" w:eastAsia="Calibri" w:hAnsi="Arial" w:cs="Arial"/>
          <w:sz w:val="20"/>
          <w:szCs w:val="20"/>
        </w:rPr>
        <w:t>this draft will</w:t>
      </w:r>
      <w:r>
        <w:rPr>
          <w:rFonts w:ascii="Arial" w:eastAsia="Calibri" w:hAnsi="Arial" w:cs="Arial"/>
          <w:sz w:val="20"/>
          <w:szCs w:val="20"/>
        </w:rPr>
        <w:t xml:space="preserve"> do nothing to address the </w:t>
      </w:r>
      <w:r>
        <w:rPr>
          <w:rFonts w:ascii="Arial" w:eastAsia="Calibri" w:hAnsi="Arial" w:cs="Arial"/>
          <w:sz w:val="20"/>
          <w:szCs w:val="20"/>
        </w:rPr>
        <w:t>real-world</w:t>
      </w:r>
      <w:r>
        <w:rPr>
          <w:rFonts w:ascii="Arial" w:eastAsia="Calibri" w:hAnsi="Arial" w:cs="Arial"/>
          <w:sz w:val="20"/>
          <w:szCs w:val="20"/>
        </w:rPr>
        <w:t xml:space="preserve"> issues regarding unregulated property managers and</w:t>
      </w:r>
      <w:r>
        <w:rPr>
          <w:rFonts w:ascii="Arial" w:eastAsia="Calibri" w:hAnsi="Arial" w:cs="Arial"/>
          <w:sz w:val="20"/>
          <w:szCs w:val="20"/>
        </w:rPr>
        <w:t xml:space="preserve"> the broader rising cost of homeownership.</w:t>
      </w:r>
      <w:r>
        <w:rPr>
          <w:rFonts w:ascii="Arial" w:eastAsia="Calibri" w:hAnsi="Arial" w:cs="Arial"/>
          <w:sz w:val="20"/>
          <w:szCs w:val="20"/>
        </w:rPr>
        <w:t xml:space="preserve"> </w:t>
      </w:r>
      <w:r>
        <w:rPr>
          <w:rFonts w:ascii="Arial" w:eastAsia="Calibri" w:hAnsi="Arial" w:cs="Arial"/>
          <w:sz w:val="20"/>
          <w:szCs w:val="20"/>
        </w:rPr>
        <w:t>This would be better addressed through the</w:t>
      </w:r>
      <w:r w:rsidRPr="3CA1B513">
        <w:rPr>
          <w:rFonts w:ascii="Arial" w:eastAsia="Calibri" w:hAnsi="Arial" w:cs="Arial"/>
          <w:sz w:val="20"/>
          <w:szCs w:val="20"/>
        </w:rPr>
        <w:t xml:space="preserve"> </w:t>
      </w:r>
      <w:r w:rsidRPr="5E865E0C">
        <w:rPr>
          <w:rFonts w:ascii="Arial" w:eastAsia="Calibri" w:hAnsi="Arial" w:cs="Arial"/>
          <w:sz w:val="20"/>
          <w:szCs w:val="20"/>
        </w:rPr>
        <w:t>implement</w:t>
      </w:r>
      <w:r>
        <w:rPr>
          <w:rFonts w:ascii="Arial" w:eastAsia="Calibri" w:hAnsi="Arial" w:cs="Arial"/>
          <w:sz w:val="20"/>
          <w:szCs w:val="20"/>
        </w:rPr>
        <w:t xml:space="preserve">ation of </w:t>
      </w:r>
      <w:r w:rsidRPr="5E865E0C">
        <w:rPr>
          <w:rFonts w:ascii="Arial" w:eastAsia="Calibri" w:hAnsi="Arial" w:cs="Arial"/>
          <w:sz w:val="20"/>
          <w:szCs w:val="20"/>
        </w:rPr>
        <w:t>the</w:t>
      </w:r>
      <w:r w:rsidRPr="5E865E0C">
        <w:rPr>
          <w:rFonts w:ascii="Arial" w:eastAsia="Calibri" w:hAnsi="Arial" w:cs="Arial"/>
          <w:sz w:val="20"/>
          <w:szCs w:val="20"/>
        </w:rPr>
        <w:t xml:space="preserve"> </w:t>
      </w:r>
      <w:r w:rsidRPr="5F8A489F">
        <w:rPr>
          <w:rFonts w:ascii="Arial" w:eastAsia="Calibri" w:hAnsi="Arial" w:cs="Arial"/>
          <w:sz w:val="20"/>
          <w:szCs w:val="20"/>
        </w:rPr>
        <w:t xml:space="preserve">solutions put forward </w:t>
      </w:r>
      <w:r>
        <w:rPr>
          <w:rFonts w:ascii="Arial" w:eastAsia="Calibri" w:hAnsi="Arial" w:cs="Arial"/>
          <w:sz w:val="20"/>
          <w:szCs w:val="20"/>
        </w:rPr>
        <w:t xml:space="preserve">in </w:t>
      </w:r>
      <w:r>
        <w:rPr>
          <w:rFonts w:ascii="Arial" w:eastAsia="Calibri" w:hAnsi="Arial" w:cs="Arial"/>
          <w:sz w:val="20"/>
          <w:szCs w:val="20"/>
        </w:rPr>
        <w:t xml:space="preserve">Lord Best’s </w:t>
      </w:r>
      <w:r>
        <w:rPr>
          <w:rFonts w:ascii="Arial" w:eastAsia="Calibri" w:hAnsi="Arial" w:cs="Arial"/>
          <w:sz w:val="20"/>
          <w:szCs w:val="20"/>
        </w:rPr>
        <w:t xml:space="preserve">report on the </w:t>
      </w:r>
      <w:r>
        <w:rPr>
          <w:rFonts w:ascii="Arial" w:eastAsia="Calibri" w:hAnsi="Arial" w:cs="Arial"/>
          <w:sz w:val="20"/>
          <w:szCs w:val="20"/>
        </w:rPr>
        <w:t>Regulation of Property Agents</w:t>
      </w:r>
      <w:r>
        <w:rPr>
          <w:rFonts w:ascii="Arial" w:eastAsia="Calibri" w:hAnsi="Arial" w:cs="Arial"/>
          <w:sz w:val="20"/>
          <w:szCs w:val="20"/>
        </w:rPr>
        <w:t xml:space="preserve">. </w:t>
      </w:r>
    </w:p>
    <w:p w:rsidR="00BC1575" w:rsidP="0094449D">
      <w:pPr>
        <w:spacing w:line="259" w:lineRule="auto"/>
        <w:ind w:left="792"/>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48686E">
        <w:rPr>
          <w:rFonts w:ascii="Arial" w:eastAsia="Calibri" w:hAnsi="Arial" w:cs="Arial"/>
          <w:sz w:val="20"/>
          <w:szCs w:val="20"/>
        </w:rPr>
        <w:t>The</w:t>
      </w:r>
      <w:r w:rsidRPr="0048686E">
        <w:rPr>
          <w:rFonts w:ascii="Arial" w:eastAsia="Calibri" w:hAnsi="Arial" w:cs="Arial"/>
          <w:sz w:val="20"/>
          <w:szCs w:val="20"/>
        </w:rPr>
        <w:t xml:space="preserve"> legislation</w:t>
      </w:r>
      <w:r w:rsidRPr="0048686E">
        <w:rPr>
          <w:rFonts w:ascii="Arial" w:eastAsia="Calibri" w:hAnsi="Arial" w:cs="Arial"/>
          <w:sz w:val="20"/>
          <w:szCs w:val="20"/>
        </w:rPr>
        <w:t xml:space="preserve"> </w:t>
      </w:r>
      <w:r w:rsidRPr="0048686E">
        <w:rPr>
          <w:rFonts w:ascii="Arial" w:eastAsia="Calibri" w:hAnsi="Arial" w:cs="Arial"/>
          <w:sz w:val="20"/>
          <w:szCs w:val="20"/>
        </w:rPr>
        <w:t>fail</w:t>
      </w:r>
      <w:r w:rsidRPr="0048686E">
        <w:rPr>
          <w:rFonts w:ascii="Arial" w:eastAsia="Calibri" w:hAnsi="Arial" w:cs="Arial"/>
          <w:sz w:val="20"/>
          <w:szCs w:val="20"/>
        </w:rPr>
        <w:t>s</w:t>
      </w:r>
      <w:r w:rsidRPr="0048686E">
        <w:rPr>
          <w:rFonts w:ascii="Arial" w:eastAsia="Calibri" w:hAnsi="Arial" w:cs="Arial"/>
          <w:sz w:val="20"/>
          <w:szCs w:val="20"/>
        </w:rPr>
        <w:t xml:space="preserve"> to </w:t>
      </w:r>
      <w:r w:rsidRPr="0048686E">
        <w:rPr>
          <w:rFonts w:ascii="Arial" w:eastAsia="Calibri" w:hAnsi="Arial" w:cs="Arial"/>
          <w:sz w:val="20"/>
          <w:szCs w:val="20"/>
        </w:rPr>
        <w:t xml:space="preserve">address issues that leaseholders have consistently </w:t>
      </w:r>
      <w:r w:rsidRPr="0048686E">
        <w:rPr>
          <w:rFonts w:ascii="Arial" w:eastAsia="Calibri" w:hAnsi="Arial" w:cs="Arial"/>
          <w:sz w:val="20"/>
          <w:szCs w:val="20"/>
        </w:rPr>
        <w:t>raised</w:t>
      </w:r>
      <w:r w:rsidRPr="0048686E">
        <w:rPr>
          <w:rFonts w:ascii="Arial" w:eastAsia="Calibri" w:hAnsi="Arial" w:cs="Arial"/>
          <w:sz w:val="20"/>
          <w:szCs w:val="20"/>
        </w:rPr>
        <w:t xml:space="preserve"> – </w:t>
      </w:r>
      <w:r w:rsidRPr="0048686E">
        <w:rPr>
          <w:rFonts w:ascii="Arial" w:eastAsia="Calibri" w:hAnsi="Arial" w:cs="Arial"/>
          <w:sz w:val="20"/>
          <w:szCs w:val="20"/>
        </w:rPr>
        <w:t>including</w:t>
      </w:r>
      <w:r w:rsidRPr="0048686E">
        <w:rPr>
          <w:rFonts w:ascii="Arial" w:eastAsia="Calibri" w:hAnsi="Arial" w:cs="Arial"/>
          <w:sz w:val="20"/>
          <w:szCs w:val="20"/>
        </w:rPr>
        <w:t xml:space="preserve"> </w:t>
      </w:r>
      <w:r w:rsidRPr="0048686E">
        <w:rPr>
          <w:rFonts w:ascii="Arial" w:eastAsia="Calibri" w:hAnsi="Arial" w:cs="Arial"/>
          <w:sz w:val="20"/>
          <w:szCs w:val="20"/>
        </w:rPr>
        <w:t xml:space="preserve">rising service charges, regulating best practice and fixing </w:t>
      </w:r>
      <w:r w:rsidRPr="0048686E">
        <w:rPr>
          <w:rFonts w:ascii="Arial" w:eastAsia="Calibri" w:hAnsi="Arial" w:cs="Arial"/>
          <w:sz w:val="20"/>
          <w:szCs w:val="20"/>
        </w:rPr>
        <w:t>u</w:t>
      </w:r>
      <w:r w:rsidRPr="0048686E">
        <w:rPr>
          <w:rFonts w:ascii="Arial" w:eastAsia="Calibri" w:hAnsi="Arial" w:cs="Arial"/>
          <w:sz w:val="20"/>
          <w:szCs w:val="20"/>
        </w:rPr>
        <w:t>nsafe buildings</w:t>
      </w:r>
      <w:r w:rsidRPr="0048686E">
        <w:rPr>
          <w:rFonts w:ascii="Arial" w:eastAsia="Calibri" w:hAnsi="Arial" w:cs="Arial"/>
          <w:sz w:val="20"/>
          <w:szCs w:val="20"/>
        </w:rPr>
        <w:t xml:space="preserve">. Instead, </w:t>
      </w:r>
      <w:r w:rsidRPr="0048686E">
        <w:rPr>
          <w:rFonts w:ascii="Arial" w:eastAsia="Calibri" w:hAnsi="Arial" w:cs="Arial"/>
          <w:sz w:val="20"/>
          <w:szCs w:val="20"/>
        </w:rPr>
        <w:t>the legislation</w:t>
      </w:r>
      <w:r w:rsidRPr="0048686E">
        <w:rPr>
          <w:rFonts w:ascii="Arial" w:eastAsia="Calibri" w:hAnsi="Arial" w:cs="Arial"/>
          <w:sz w:val="20"/>
          <w:szCs w:val="20"/>
        </w:rPr>
        <w:t xml:space="preserve"> will </w:t>
      </w:r>
      <w:r w:rsidRPr="0048686E">
        <w:rPr>
          <w:rFonts w:ascii="Arial" w:eastAsia="Calibri" w:hAnsi="Arial" w:cs="Arial"/>
          <w:sz w:val="20"/>
          <w:szCs w:val="20"/>
        </w:rPr>
        <w:t>increase</w:t>
      </w:r>
      <w:r w:rsidRPr="0048686E">
        <w:rPr>
          <w:rFonts w:ascii="Arial" w:eastAsia="Calibri" w:hAnsi="Arial" w:cs="Arial"/>
          <w:sz w:val="20"/>
          <w:szCs w:val="20"/>
        </w:rPr>
        <w:t xml:space="preserve"> costs for</w:t>
      </w:r>
      <w:r w:rsidRPr="0048686E">
        <w:rPr>
          <w:rFonts w:ascii="Arial" w:eastAsia="Calibri" w:hAnsi="Arial" w:cs="Arial"/>
          <w:sz w:val="20"/>
          <w:szCs w:val="20"/>
        </w:rPr>
        <w:t xml:space="preserve"> homeowners</w:t>
      </w:r>
      <w:r w:rsidRPr="0048686E">
        <w:rPr>
          <w:rFonts w:ascii="Arial" w:eastAsia="Calibri" w:hAnsi="Arial" w:cs="Arial"/>
          <w:sz w:val="20"/>
          <w:szCs w:val="20"/>
        </w:rPr>
        <w:t xml:space="preserve">, remove </w:t>
      </w:r>
      <w:r w:rsidRPr="0048686E">
        <w:rPr>
          <w:rFonts w:ascii="Arial" w:eastAsia="Calibri" w:hAnsi="Arial" w:cs="Arial"/>
          <w:sz w:val="20"/>
          <w:szCs w:val="20"/>
        </w:rPr>
        <w:t xml:space="preserve">the oversight of </w:t>
      </w:r>
      <w:r w:rsidRPr="0048686E">
        <w:rPr>
          <w:rFonts w:ascii="Arial" w:eastAsia="Calibri" w:hAnsi="Arial" w:cs="Arial"/>
          <w:sz w:val="20"/>
          <w:szCs w:val="20"/>
        </w:rPr>
        <w:t xml:space="preserve">professional </w:t>
      </w:r>
      <w:r w:rsidRPr="0048686E">
        <w:rPr>
          <w:rFonts w:ascii="Arial" w:eastAsia="Calibri" w:hAnsi="Arial" w:cs="Arial"/>
          <w:sz w:val="20"/>
          <w:szCs w:val="20"/>
        </w:rPr>
        <w:t xml:space="preserve">freeholders </w:t>
      </w:r>
      <w:r w:rsidRPr="0048686E">
        <w:rPr>
          <w:rFonts w:ascii="Arial" w:eastAsia="Calibri" w:hAnsi="Arial" w:cs="Arial"/>
          <w:sz w:val="20"/>
          <w:szCs w:val="20"/>
        </w:rPr>
        <w:t xml:space="preserve">who have been </w:t>
      </w:r>
      <w:r w:rsidRPr="0048686E">
        <w:rPr>
          <w:rFonts w:ascii="Arial" w:eastAsia="Calibri" w:hAnsi="Arial" w:cs="Arial"/>
          <w:sz w:val="20"/>
          <w:szCs w:val="20"/>
        </w:rPr>
        <w:t>driving the remediation process</w:t>
      </w:r>
      <w:r w:rsidRPr="0048686E">
        <w:rPr>
          <w:rFonts w:ascii="Arial" w:eastAsia="Calibri" w:hAnsi="Arial" w:cs="Arial"/>
          <w:sz w:val="20"/>
          <w:szCs w:val="20"/>
        </w:rPr>
        <w:t>, and</w:t>
      </w:r>
      <w:r w:rsidRPr="0048686E">
        <w:rPr>
          <w:rFonts w:ascii="Arial" w:eastAsia="Calibri" w:hAnsi="Arial" w:cs="Arial"/>
          <w:sz w:val="20"/>
          <w:szCs w:val="20"/>
        </w:rPr>
        <w:t xml:space="preserve"> leave homeowners</w:t>
      </w:r>
      <w:r w:rsidRPr="0048686E">
        <w:rPr>
          <w:rFonts w:ascii="Arial" w:eastAsia="Calibri" w:hAnsi="Arial" w:cs="Arial"/>
          <w:sz w:val="20"/>
          <w:szCs w:val="20"/>
        </w:rPr>
        <w:t xml:space="preserve"> who</w:t>
      </w:r>
      <w:r w:rsidRPr="0048686E">
        <w:rPr>
          <w:rFonts w:ascii="Arial" w:eastAsia="Calibri" w:hAnsi="Arial" w:cs="Arial"/>
          <w:sz w:val="20"/>
          <w:szCs w:val="20"/>
        </w:rPr>
        <w:t xml:space="preserve"> opt to convert </w:t>
      </w:r>
      <w:r w:rsidRPr="0048686E">
        <w:rPr>
          <w:rFonts w:ascii="Arial" w:eastAsia="Calibri" w:hAnsi="Arial" w:cs="Arial"/>
          <w:sz w:val="20"/>
          <w:szCs w:val="20"/>
        </w:rPr>
        <w:t xml:space="preserve">to commonhold </w:t>
      </w:r>
      <w:r w:rsidRPr="0048686E">
        <w:rPr>
          <w:rFonts w:ascii="Arial" w:eastAsia="Calibri" w:hAnsi="Arial" w:cs="Arial"/>
          <w:sz w:val="20"/>
          <w:szCs w:val="20"/>
        </w:rPr>
        <w:t>exposed to liabilities and responsibilities</w:t>
      </w:r>
      <w:r>
        <w:rPr>
          <w:rFonts w:ascii="Arial" w:eastAsia="Calibri" w:hAnsi="Arial" w:cs="Arial"/>
          <w:sz w:val="20"/>
          <w:szCs w:val="20"/>
        </w:rPr>
        <w:t>.</w:t>
      </w:r>
    </w:p>
    <w:p w:rsidR="00BC1575" w:rsidRPr="0048686E" w:rsidP="0048686E">
      <w:pPr>
        <w:spacing w:line="259" w:lineRule="auto"/>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5600D9">
        <w:rPr>
          <w:rFonts w:ascii="Arial" w:eastAsia="Calibri" w:hAnsi="Arial" w:cs="Arial"/>
          <w:sz w:val="20"/>
          <w:szCs w:val="20"/>
        </w:rPr>
        <w:t>While leasehold has historic origins, it has evolved into a well-established and legally robust system for managing multi-occupancy developments and resolving competing interests between stakeholders. Framing the system as “feudal” oversimplifies its current function and risks directing policy attention toward structural overhaul rather than targeted reform of identifiable problems.</w:t>
      </w:r>
      <w:r>
        <w:rPr>
          <w:rFonts w:ascii="Arial" w:eastAsia="Calibri" w:hAnsi="Arial" w:cs="Arial"/>
          <w:sz w:val="20"/>
          <w:szCs w:val="20"/>
        </w:rPr>
        <w:t xml:space="preserve"> The Government has not addressed the fundamental contradiction that it is trying to legislate </w:t>
      </w:r>
      <w:r>
        <w:rPr>
          <w:rFonts w:ascii="Arial" w:eastAsia="Calibri" w:hAnsi="Arial" w:cs="Arial"/>
          <w:sz w:val="20"/>
          <w:szCs w:val="20"/>
        </w:rPr>
        <w:t>freeholders</w:t>
      </w:r>
      <w:r>
        <w:rPr>
          <w:rFonts w:ascii="Arial" w:eastAsia="Calibri" w:hAnsi="Arial" w:cs="Arial"/>
          <w:sz w:val="20"/>
          <w:szCs w:val="20"/>
        </w:rPr>
        <w:t xml:space="preserve"> out of existence by expropriating their assets – handing them over in most instances to other </w:t>
      </w:r>
      <w:r>
        <w:rPr>
          <w:rFonts w:ascii="Arial" w:eastAsia="Calibri" w:hAnsi="Arial" w:cs="Arial"/>
          <w:sz w:val="20"/>
          <w:szCs w:val="20"/>
        </w:rPr>
        <w:t xml:space="preserve">categories of </w:t>
      </w:r>
      <w:r>
        <w:rPr>
          <w:rFonts w:ascii="Arial" w:eastAsia="Calibri" w:hAnsi="Arial" w:cs="Arial"/>
          <w:sz w:val="20"/>
          <w:szCs w:val="20"/>
        </w:rPr>
        <w:t>investor</w:t>
      </w:r>
      <w:r w:rsidRPr="7DFBDBAD">
        <w:rPr>
          <w:rFonts w:ascii="Arial" w:eastAsia="Calibri" w:hAnsi="Arial" w:cs="Arial"/>
          <w:sz w:val="20"/>
          <w:szCs w:val="20"/>
        </w:rPr>
        <w:t xml:space="preserve"> </w:t>
      </w:r>
      <w:r w:rsidRPr="64898206">
        <w:rPr>
          <w:rFonts w:ascii="Arial" w:eastAsia="Calibri" w:hAnsi="Arial" w:cs="Arial"/>
          <w:sz w:val="20"/>
          <w:szCs w:val="20"/>
        </w:rPr>
        <w:t>or landlord</w:t>
      </w:r>
      <w:r>
        <w:rPr>
          <w:rFonts w:ascii="Arial" w:eastAsia="Calibri" w:hAnsi="Arial" w:cs="Arial"/>
          <w:sz w:val="20"/>
          <w:szCs w:val="20"/>
        </w:rPr>
        <w:t>, whilst still relying on</w:t>
      </w:r>
      <w:r>
        <w:rPr>
          <w:rFonts w:ascii="Arial" w:eastAsia="Calibri" w:hAnsi="Arial" w:cs="Arial"/>
          <w:sz w:val="20"/>
          <w:szCs w:val="20"/>
        </w:rPr>
        <w:t xml:space="preserve"> freeholders</w:t>
      </w:r>
      <w:r>
        <w:rPr>
          <w:rFonts w:ascii="Arial" w:eastAsia="Calibri" w:hAnsi="Arial" w:cs="Arial"/>
          <w:sz w:val="20"/>
          <w:szCs w:val="20"/>
        </w:rPr>
        <w:t xml:space="preserve"> to ensure the remediation of buildings. </w:t>
      </w:r>
    </w:p>
    <w:p w:rsidR="00BC1575" w:rsidRPr="006E477C" w:rsidP="0094449D">
      <w:pPr>
        <w:spacing w:line="259" w:lineRule="auto"/>
        <w:contextualSpacing/>
        <w:jc w:val="both"/>
        <w:rPr>
          <w:rFonts w:ascii="Arial" w:eastAsia="Calibri" w:hAnsi="Arial" w:cs="Arial"/>
          <w:sz w:val="20"/>
          <w:szCs w:val="20"/>
        </w:rPr>
      </w:pPr>
    </w:p>
    <w:p w:rsidR="00BC1575" w:rsidP="009E09D4">
      <w:pPr>
        <w:numPr>
          <w:ilvl w:val="1"/>
          <w:numId w:val="1"/>
        </w:numPr>
        <w:spacing w:line="259" w:lineRule="auto"/>
        <w:contextualSpacing/>
        <w:jc w:val="both"/>
        <w:rPr>
          <w:rFonts w:ascii="Arial" w:eastAsia="Calibri" w:hAnsi="Arial" w:cs="Arial"/>
          <w:sz w:val="20"/>
          <w:szCs w:val="20"/>
        </w:rPr>
      </w:pPr>
      <w:r w:rsidRPr="00D0685E">
        <w:rPr>
          <w:rFonts w:ascii="Arial" w:eastAsia="Calibri" w:hAnsi="Arial" w:cs="Arial"/>
          <w:sz w:val="20"/>
          <w:szCs w:val="20"/>
        </w:rPr>
        <w:t>This unprecedented interference with property rights risks</w:t>
      </w:r>
      <w:r>
        <w:rPr>
          <w:rFonts w:ascii="Arial" w:eastAsia="Calibri" w:hAnsi="Arial" w:cs="Arial"/>
          <w:sz w:val="20"/>
          <w:szCs w:val="20"/>
        </w:rPr>
        <w:t xml:space="preserve"> </w:t>
      </w:r>
      <w:r>
        <w:rPr>
          <w:rFonts w:ascii="Arial" w:eastAsia="Calibri" w:hAnsi="Arial" w:cs="Arial"/>
          <w:sz w:val="20"/>
          <w:szCs w:val="20"/>
        </w:rPr>
        <w:t>creating years, if not decades,</w:t>
      </w:r>
      <w:r>
        <w:rPr>
          <w:rFonts w:ascii="Arial" w:eastAsia="Calibri" w:hAnsi="Arial" w:cs="Arial"/>
          <w:sz w:val="20"/>
          <w:szCs w:val="20"/>
        </w:rPr>
        <w:t xml:space="preserve"> </w:t>
      </w:r>
      <w:r>
        <w:rPr>
          <w:rFonts w:ascii="Arial" w:eastAsia="Calibri" w:hAnsi="Arial" w:cs="Arial"/>
          <w:sz w:val="20"/>
          <w:szCs w:val="20"/>
        </w:rPr>
        <w:t xml:space="preserve">of uncertainty </w:t>
      </w:r>
      <w:r>
        <w:rPr>
          <w:rFonts w:ascii="Arial" w:eastAsia="Calibri" w:hAnsi="Arial" w:cs="Arial"/>
          <w:sz w:val="20"/>
          <w:szCs w:val="20"/>
        </w:rPr>
        <w:t>for</w:t>
      </w:r>
      <w:r>
        <w:rPr>
          <w:rFonts w:ascii="Arial" w:eastAsia="Calibri" w:hAnsi="Arial" w:cs="Arial"/>
          <w:sz w:val="20"/>
          <w:szCs w:val="20"/>
        </w:rPr>
        <w:t xml:space="preserve"> </w:t>
      </w:r>
      <w:r>
        <w:rPr>
          <w:rFonts w:ascii="Arial" w:eastAsia="Calibri" w:hAnsi="Arial" w:cs="Arial"/>
          <w:sz w:val="20"/>
          <w:szCs w:val="20"/>
        </w:rPr>
        <w:t>consumers</w:t>
      </w:r>
      <w:r>
        <w:rPr>
          <w:rFonts w:ascii="Arial" w:eastAsia="Calibri" w:hAnsi="Arial" w:cs="Arial"/>
          <w:sz w:val="20"/>
          <w:szCs w:val="20"/>
        </w:rPr>
        <w:t xml:space="preserve"> </w:t>
      </w:r>
      <w:r>
        <w:rPr>
          <w:rFonts w:ascii="Arial" w:eastAsia="Calibri" w:hAnsi="Arial" w:cs="Arial"/>
          <w:sz w:val="20"/>
          <w:szCs w:val="20"/>
        </w:rPr>
        <w:t xml:space="preserve">while </w:t>
      </w:r>
      <w:r>
        <w:rPr>
          <w:rFonts w:ascii="Arial" w:eastAsia="Calibri" w:hAnsi="Arial" w:cs="Arial"/>
          <w:sz w:val="20"/>
          <w:szCs w:val="20"/>
        </w:rPr>
        <w:t>it</w:t>
      </w:r>
      <w:r>
        <w:rPr>
          <w:rFonts w:ascii="Arial" w:eastAsia="Calibri" w:hAnsi="Arial" w:cs="Arial"/>
          <w:sz w:val="20"/>
          <w:szCs w:val="20"/>
        </w:rPr>
        <w:t xml:space="preserve"> deals with the vacuum resulting from the forced exit of professional freeholders. </w:t>
      </w:r>
    </w:p>
    <w:p w:rsidR="00BC1575" w:rsidRPr="009E09D4" w:rsidP="009E09D4">
      <w:pPr>
        <w:spacing w:line="259" w:lineRule="auto"/>
        <w:contextualSpacing/>
        <w:jc w:val="both"/>
        <w:rPr>
          <w:rFonts w:ascii="Arial" w:eastAsia="Calibri" w:hAnsi="Arial" w:cs="Arial"/>
          <w:sz w:val="20"/>
          <w:szCs w:val="20"/>
        </w:rPr>
      </w:pPr>
    </w:p>
    <w:p w:rsidR="00BC1575" w:rsidP="009E09D4">
      <w:pPr>
        <w:numPr>
          <w:ilvl w:val="1"/>
          <w:numId w:val="1"/>
        </w:numPr>
        <w:spacing w:line="259" w:lineRule="auto"/>
        <w:contextualSpacing/>
        <w:jc w:val="both"/>
        <w:rPr>
          <w:rFonts w:ascii="Arial" w:eastAsia="Calibri" w:hAnsi="Arial" w:cs="Arial"/>
          <w:sz w:val="20"/>
          <w:szCs w:val="20"/>
        </w:rPr>
      </w:pPr>
      <w:r w:rsidRPr="009E09D4">
        <w:rPr>
          <w:rFonts w:ascii="Arial" w:eastAsia="Calibri" w:hAnsi="Arial" w:cs="Arial"/>
          <w:sz w:val="20"/>
          <w:szCs w:val="20"/>
        </w:rPr>
        <w:t>The Bill does not address minority leaseholders who do not wish to convert but may find themselves within commonhold structures with reduced protections.</w:t>
      </w:r>
    </w:p>
    <w:p w:rsidR="00BC1575" w:rsidRPr="009E09D4" w:rsidP="009E09D4">
      <w:pPr>
        <w:spacing w:line="259" w:lineRule="auto"/>
        <w:contextualSpacing/>
        <w:jc w:val="both"/>
        <w:rPr>
          <w:rFonts w:ascii="Arial" w:eastAsia="Calibri" w:hAnsi="Arial" w:cs="Arial"/>
          <w:sz w:val="20"/>
          <w:szCs w:val="20"/>
        </w:rPr>
      </w:pPr>
    </w:p>
    <w:p w:rsidR="00BC1575" w:rsidP="0048686E">
      <w:pPr>
        <w:numPr>
          <w:ilvl w:val="1"/>
          <w:numId w:val="1"/>
        </w:numPr>
        <w:spacing w:line="259" w:lineRule="auto"/>
        <w:contextualSpacing/>
        <w:jc w:val="both"/>
        <w:rPr>
          <w:rFonts w:ascii="Arial" w:eastAsia="Calibri" w:hAnsi="Arial" w:cs="Arial"/>
          <w:sz w:val="20"/>
          <w:szCs w:val="20"/>
        </w:rPr>
      </w:pPr>
      <w:r w:rsidRPr="0048686E">
        <w:rPr>
          <w:rFonts w:ascii="Arial" w:eastAsia="Calibri" w:hAnsi="Arial" w:cs="Arial"/>
          <w:sz w:val="20"/>
          <w:szCs w:val="20"/>
        </w:rPr>
        <w:t xml:space="preserve">The policy objectives are unlikely to be achieved, as the incremental benefits that commonhold is said to offer over existing, well-established and widely understood mechanisms and </w:t>
      </w:r>
      <w:r w:rsidRPr="0048686E">
        <w:rPr>
          <w:rFonts w:ascii="Arial" w:eastAsia="Calibri" w:hAnsi="Arial" w:cs="Arial"/>
          <w:sz w:val="20"/>
          <w:szCs w:val="20"/>
        </w:rPr>
        <w:t>protections have neither been clearly identified nor evidenced. As a result, uptake is likely to remain low.</w:t>
      </w:r>
    </w:p>
    <w:p w:rsidR="00BC1575" w:rsidRPr="0048686E" w:rsidP="0048686E">
      <w:pPr>
        <w:spacing w:line="259" w:lineRule="auto"/>
        <w:contextualSpacing/>
        <w:jc w:val="both"/>
        <w:rPr>
          <w:rFonts w:ascii="Arial" w:eastAsia="Calibri" w:hAnsi="Arial" w:cs="Arial"/>
          <w:sz w:val="20"/>
          <w:szCs w:val="20"/>
        </w:rPr>
      </w:pPr>
    </w:p>
    <w:p w:rsidR="00BC1575" w:rsidRPr="00B40C4D" w:rsidP="0094449D">
      <w:pPr>
        <w:numPr>
          <w:ilvl w:val="1"/>
          <w:numId w:val="1"/>
        </w:numPr>
        <w:spacing w:line="259" w:lineRule="auto"/>
        <w:contextualSpacing/>
        <w:jc w:val="both"/>
        <w:rPr>
          <w:rFonts w:ascii="Arial" w:hAnsi="Arial" w:cs="Arial"/>
          <w:sz w:val="20"/>
          <w:szCs w:val="20"/>
        </w:rPr>
      </w:pPr>
      <w:r w:rsidRPr="00B40C4D">
        <w:rPr>
          <w:rFonts w:ascii="Arial" w:eastAsia="Calibri" w:hAnsi="Arial" w:cs="Arial"/>
          <w:sz w:val="20"/>
          <w:szCs w:val="20"/>
        </w:rPr>
        <w:t xml:space="preserve">The proposed cap on existing contractual ground rent will result in </w:t>
      </w:r>
      <w:r w:rsidRPr="00B40C4D">
        <w:rPr>
          <w:rFonts w:ascii="Arial" w:eastAsia="Calibri" w:hAnsi="Arial" w:cs="Arial"/>
          <w:sz w:val="20"/>
          <w:szCs w:val="20"/>
        </w:rPr>
        <w:t>an</w:t>
      </w:r>
      <w:r w:rsidRPr="00B40C4D">
        <w:rPr>
          <w:rFonts w:ascii="Arial" w:eastAsia="Calibri" w:hAnsi="Arial" w:cs="Arial"/>
          <w:sz w:val="20"/>
          <w:szCs w:val="20"/>
        </w:rPr>
        <w:t xml:space="preserve"> immediate loss in value of freehold investments, </w:t>
      </w:r>
      <w:r w:rsidRPr="00B40C4D">
        <w:rPr>
          <w:rFonts w:ascii="Arial" w:eastAsia="Calibri" w:hAnsi="Arial" w:cs="Arial"/>
          <w:sz w:val="20"/>
          <w:szCs w:val="20"/>
        </w:rPr>
        <w:t xml:space="preserve">including significant pension fund assets, </w:t>
      </w:r>
      <w:r w:rsidRPr="00B40C4D">
        <w:rPr>
          <w:rFonts w:ascii="Arial" w:eastAsia="Calibri" w:hAnsi="Arial" w:cs="Arial"/>
          <w:sz w:val="20"/>
          <w:szCs w:val="20"/>
        </w:rPr>
        <w:t>which, given typical leverage levels and interest cover covenants, may create a material risk of insolvency for some freeholders.</w:t>
      </w:r>
    </w:p>
    <w:p w:rsidR="00BC1575" w:rsidRPr="00634D7D" w:rsidP="0094449D">
      <w:pPr>
        <w:jc w:val="both"/>
        <w:rPr>
          <w:rFonts w:ascii="Arial" w:hAnsi="Arial" w:cs="Arial"/>
          <w:sz w:val="20"/>
          <w:szCs w:val="20"/>
        </w:rPr>
      </w:pPr>
    </w:p>
    <w:p w:rsidR="00BC1575" w:rsidRPr="00485551" w:rsidP="0094449D">
      <w:pPr>
        <w:numPr>
          <w:ilvl w:val="0"/>
          <w:numId w:val="1"/>
        </w:numPr>
        <w:spacing w:line="259" w:lineRule="auto"/>
        <w:contextualSpacing/>
        <w:jc w:val="both"/>
        <w:rPr>
          <w:rFonts w:ascii="Arial" w:eastAsia="Calibri" w:hAnsi="Arial" w:cs="Arial"/>
          <w:sz w:val="20"/>
          <w:szCs w:val="20"/>
        </w:rPr>
      </w:pPr>
      <w:r>
        <w:rPr>
          <w:rFonts w:ascii="Arial" w:eastAsia="Calibri" w:hAnsi="Arial" w:cs="Arial"/>
          <w:b/>
          <w:bCs/>
          <w:sz w:val="20"/>
          <w:szCs w:val="20"/>
        </w:rPr>
        <w:t>Will the Government’s proposal for a cap on ground rents of £250 a year, changing to a peppercorn after 40 years, tackle unregulated and unaffordable existing ground rent charges?</w:t>
      </w:r>
    </w:p>
    <w:p w:rsidR="00BC1575" w:rsidP="0094449D">
      <w:pPr>
        <w:spacing w:line="259" w:lineRule="auto"/>
        <w:ind w:left="360"/>
        <w:contextualSpacing/>
        <w:jc w:val="both"/>
        <w:rPr>
          <w:rFonts w:ascii="Arial" w:eastAsia="Calibri" w:hAnsi="Arial" w:cs="Arial"/>
          <w:sz w:val="20"/>
          <w:szCs w:val="20"/>
        </w:rPr>
      </w:pPr>
    </w:p>
    <w:p w:rsidR="00BC1575" w:rsidRPr="00C77235" w:rsidP="0094449D">
      <w:pPr>
        <w:numPr>
          <w:ilvl w:val="1"/>
          <w:numId w:val="1"/>
        </w:numPr>
        <w:spacing w:line="259" w:lineRule="auto"/>
        <w:contextualSpacing/>
        <w:jc w:val="both"/>
        <w:rPr>
          <w:rFonts w:ascii="Arial" w:eastAsia="Calibri" w:hAnsi="Arial" w:cs="Arial"/>
          <w:sz w:val="20"/>
          <w:szCs w:val="20"/>
        </w:rPr>
      </w:pPr>
      <w:r w:rsidRPr="009657C6">
        <w:rPr>
          <w:rFonts w:ascii="Arial" w:eastAsia="Calibri" w:hAnsi="Arial" w:cs="Arial"/>
          <w:sz w:val="20"/>
          <w:szCs w:val="20"/>
        </w:rPr>
        <w:t xml:space="preserve">The </w:t>
      </w:r>
      <w:r w:rsidRPr="009657C6">
        <w:rPr>
          <w:rFonts w:ascii="Arial" w:eastAsia="Calibri" w:hAnsi="Arial" w:cs="Arial"/>
          <w:sz w:val="20"/>
          <w:szCs w:val="20"/>
        </w:rPr>
        <w:t>Governme</w:t>
      </w:r>
      <w:r w:rsidRPr="009657C6">
        <w:rPr>
          <w:rFonts w:ascii="Arial" w:eastAsia="Calibri" w:hAnsi="Arial" w:cs="Arial"/>
          <w:sz w:val="20"/>
          <w:szCs w:val="20"/>
        </w:rPr>
        <w:t xml:space="preserve">nt has never </w:t>
      </w:r>
      <w:r>
        <w:rPr>
          <w:rFonts w:ascii="Arial" w:eastAsia="Calibri" w:hAnsi="Arial" w:cs="Arial"/>
          <w:sz w:val="20"/>
          <w:szCs w:val="20"/>
        </w:rPr>
        <w:t xml:space="preserve">evidenced or </w:t>
      </w:r>
      <w:r w:rsidRPr="009657C6">
        <w:rPr>
          <w:rFonts w:ascii="Arial" w:eastAsia="Calibri" w:hAnsi="Arial" w:cs="Arial"/>
          <w:sz w:val="20"/>
          <w:szCs w:val="20"/>
        </w:rPr>
        <w:t xml:space="preserve">defined </w:t>
      </w:r>
      <w:r w:rsidRPr="009657C6">
        <w:rPr>
          <w:rFonts w:ascii="Arial" w:eastAsia="Calibri" w:hAnsi="Arial" w:cs="Arial"/>
          <w:sz w:val="20"/>
          <w:szCs w:val="20"/>
        </w:rPr>
        <w:t xml:space="preserve">the conditions under which </w:t>
      </w:r>
      <w:r w:rsidRPr="009657C6">
        <w:rPr>
          <w:rFonts w:ascii="Arial" w:eastAsia="Calibri" w:hAnsi="Arial" w:cs="Arial"/>
          <w:sz w:val="20"/>
          <w:szCs w:val="20"/>
        </w:rPr>
        <w:t>it considers a</w:t>
      </w:r>
      <w:r w:rsidRPr="009657C6">
        <w:rPr>
          <w:rFonts w:ascii="Arial" w:eastAsia="Calibri" w:hAnsi="Arial" w:cs="Arial"/>
          <w:sz w:val="20"/>
          <w:szCs w:val="20"/>
        </w:rPr>
        <w:t xml:space="preserve"> </w:t>
      </w:r>
      <w:r w:rsidRPr="00C77235">
        <w:rPr>
          <w:rFonts w:ascii="Arial" w:eastAsia="Calibri" w:hAnsi="Arial" w:cs="Arial"/>
          <w:sz w:val="20"/>
          <w:szCs w:val="20"/>
        </w:rPr>
        <w:t xml:space="preserve">ground rent </w:t>
      </w:r>
      <w:r w:rsidRPr="00C77235">
        <w:rPr>
          <w:rFonts w:ascii="Arial" w:eastAsia="Calibri" w:hAnsi="Arial" w:cs="Arial"/>
          <w:sz w:val="20"/>
          <w:szCs w:val="20"/>
        </w:rPr>
        <w:t>to be</w:t>
      </w:r>
      <w:r w:rsidRPr="00C77235">
        <w:rPr>
          <w:rFonts w:ascii="Arial" w:eastAsia="Calibri" w:hAnsi="Arial" w:cs="Arial"/>
          <w:sz w:val="20"/>
          <w:szCs w:val="20"/>
        </w:rPr>
        <w:t xml:space="preserve"> ‘unaffordable’ or ‘unregulat</w:t>
      </w:r>
      <w:r w:rsidRPr="00C77235">
        <w:rPr>
          <w:rFonts w:ascii="Arial" w:eastAsia="Calibri" w:hAnsi="Arial" w:cs="Arial"/>
          <w:sz w:val="20"/>
          <w:szCs w:val="20"/>
        </w:rPr>
        <w:t>ed’</w:t>
      </w:r>
      <w:r w:rsidRPr="00C77235">
        <w:rPr>
          <w:rFonts w:ascii="Arial" w:eastAsia="Calibri" w:hAnsi="Arial" w:cs="Arial"/>
          <w:sz w:val="20"/>
          <w:szCs w:val="20"/>
        </w:rPr>
        <w:t xml:space="preserve">. </w:t>
      </w:r>
      <w:r w:rsidRPr="00C77235">
        <w:rPr>
          <w:rFonts w:ascii="Arial" w:eastAsia="Calibri" w:hAnsi="Arial" w:cs="Arial"/>
          <w:sz w:val="20"/>
          <w:szCs w:val="20"/>
        </w:rPr>
        <w:t xml:space="preserve">This </w:t>
      </w:r>
      <w:r w:rsidRPr="00C77235">
        <w:rPr>
          <w:rFonts w:ascii="Arial" w:eastAsia="Calibri" w:hAnsi="Arial" w:cs="Arial"/>
          <w:sz w:val="20"/>
          <w:szCs w:val="20"/>
        </w:rPr>
        <w:t>rhetoric</w:t>
      </w:r>
      <w:r w:rsidRPr="00C77235">
        <w:rPr>
          <w:rFonts w:ascii="Arial" w:eastAsia="Calibri" w:hAnsi="Arial" w:cs="Arial"/>
          <w:sz w:val="20"/>
          <w:szCs w:val="20"/>
        </w:rPr>
        <w:t xml:space="preserve"> has </w:t>
      </w:r>
      <w:r w:rsidRPr="00C77235">
        <w:rPr>
          <w:rFonts w:ascii="Arial" w:eastAsia="Calibri" w:hAnsi="Arial" w:cs="Arial"/>
          <w:sz w:val="20"/>
          <w:szCs w:val="20"/>
        </w:rPr>
        <w:t xml:space="preserve">created the foundations for </w:t>
      </w:r>
      <w:r w:rsidRPr="00C77235">
        <w:rPr>
          <w:rFonts w:ascii="Arial" w:eastAsia="Calibri" w:hAnsi="Arial" w:cs="Arial"/>
          <w:sz w:val="20"/>
          <w:szCs w:val="20"/>
        </w:rPr>
        <w:t>a flawed policy</w:t>
      </w:r>
      <w:r w:rsidRPr="00C77235">
        <w:rPr>
          <w:rFonts w:ascii="Arial" w:eastAsia="Calibri" w:hAnsi="Arial" w:cs="Arial"/>
          <w:sz w:val="20"/>
          <w:szCs w:val="20"/>
        </w:rPr>
        <w:t>.</w:t>
      </w:r>
      <w:r w:rsidRPr="00C77235">
        <w:rPr>
          <w:rFonts w:ascii="Arial" w:eastAsia="Calibri" w:hAnsi="Arial" w:cs="Arial"/>
          <w:sz w:val="20"/>
          <w:szCs w:val="20"/>
        </w:rPr>
        <w:t xml:space="preserve"> We expect the cap</w:t>
      </w:r>
      <w:r w:rsidRPr="00C77235">
        <w:rPr>
          <w:rFonts w:ascii="Arial" w:eastAsia="Calibri" w:hAnsi="Arial" w:cs="Arial"/>
          <w:sz w:val="20"/>
          <w:szCs w:val="20"/>
        </w:rPr>
        <w:t xml:space="preserve"> and the resulting insolvency of freeholders</w:t>
      </w:r>
      <w:r w:rsidRPr="00C77235">
        <w:rPr>
          <w:rFonts w:ascii="Arial" w:eastAsia="Calibri" w:hAnsi="Arial" w:cs="Arial"/>
          <w:sz w:val="20"/>
          <w:szCs w:val="20"/>
        </w:rPr>
        <w:t xml:space="preserve"> to</w:t>
      </w:r>
      <w:r w:rsidRPr="00C77235">
        <w:rPr>
          <w:rFonts w:ascii="Arial" w:eastAsia="Calibri" w:hAnsi="Arial" w:cs="Arial"/>
          <w:sz w:val="20"/>
          <w:szCs w:val="20"/>
        </w:rPr>
        <w:t xml:space="preserve"> </w:t>
      </w:r>
      <w:r w:rsidRPr="00C77235">
        <w:rPr>
          <w:rFonts w:ascii="Arial" w:eastAsia="Calibri" w:hAnsi="Arial" w:cs="Arial"/>
          <w:sz w:val="20"/>
          <w:szCs w:val="20"/>
        </w:rPr>
        <w:t xml:space="preserve">lead to higher day-to-day costs for </w:t>
      </w:r>
      <w:r w:rsidRPr="00C77235">
        <w:rPr>
          <w:rFonts w:ascii="Arial" w:eastAsia="Calibri" w:hAnsi="Arial" w:cs="Arial"/>
          <w:sz w:val="20"/>
          <w:szCs w:val="20"/>
        </w:rPr>
        <w:t>homeowners.</w:t>
      </w:r>
    </w:p>
    <w:p w:rsidR="00BC1575" w:rsidRPr="00C77235" w:rsidP="009657C6">
      <w:pPr>
        <w:spacing w:line="259" w:lineRule="auto"/>
        <w:ind w:left="792"/>
        <w:contextualSpacing/>
        <w:jc w:val="both"/>
        <w:rPr>
          <w:rFonts w:ascii="Arial" w:eastAsia="Calibri" w:hAnsi="Arial" w:cs="Arial"/>
          <w:sz w:val="20"/>
          <w:szCs w:val="20"/>
        </w:rPr>
      </w:pPr>
    </w:p>
    <w:p w:rsidR="00BC1575" w:rsidP="00C77235">
      <w:pPr>
        <w:numPr>
          <w:ilvl w:val="1"/>
          <w:numId w:val="1"/>
        </w:numPr>
        <w:spacing w:line="259" w:lineRule="auto"/>
        <w:contextualSpacing/>
        <w:jc w:val="both"/>
        <w:rPr>
          <w:rFonts w:ascii="Arial" w:eastAsia="Calibri" w:hAnsi="Arial" w:cs="Arial"/>
          <w:sz w:val="20"/>
          <w:szCs w:val="20"/>
        </w:rPr>
      </w:pPr>
      <w:r w:rsidRPr="009E09D4">
        <w:rPr>
          <w:rFonts w:ascii="Arial" w:eastAsia="Calibri" w:hAnsi="Arial" w:cs="Arial"/>
          <w:sz w:val="20"/>
          <w:szCs w:val="20"/>
        </w:rPr>
        <w:t xml:space="preserve">This stems from </w:t>
      </w:r>
      <w:r w:rsidRPr="009E09D4">
        <w:rPr>
          <w:rFonts w:ascii="Arial" w:eastAsia="Calibri" w:hAnsi="Arial" w:cs="Arial"/>
          <w:sz w:val="20"/>
          <w:szCs w:val="20"/>
        </w:rPr>
        <w:t>a failure to</w:t>
      </w:r>
      <w:r w:rsidRPr="009E09D4">
        <w:rPr>
          <w:rFonts w:ascii="Arial" w:eastAsia="Calibri" w:hAnsi="Arial" w:cs="Arial"/>
          <w:sz w:val="20"/>
          <w:szCs w:val="20"/>
        </w:rPr>
        <w:t xml:space="preserve"> </w:t>
      </w:r>
      <w:r w:rsidRPr="009E09D4">
        <w:rPr>
          <w:rFonts w:ascii="Arial" w:eastAsia="Calibri" w:hAnsi="Arial" w:cs="Arial"/>
          <w:sz w:val="20"/>
          <w:szCs w:val="20"/>
        </w:rPr>
        <w:t>recognise th</w:t>
      </w:r>
      <w:r w:rsidRPr="009E09D4">
        <w:rPr>
          <w:rFonts w:ascii="Arial" w:eastAsia="Calibri" w:hAnsi="Arial" w:cs="Arial"/>
          <w:sz w:val="20"/>
          <w:szCs w:val="20"/>
        </w:rPr>
        <w:t>at</w:t>
      </w:r>
      <w:r w:rsidRPr="009E09D4">
        <w:rPr>
          <w:rFonts w:ascii="Arial" w:eastAsia="Calibri" w:hAnsi="Arial" w:cs="Arial"/>
          <w:sz w:val="20"/>
          <w:szCs w:val="20"/>
        </w:rPr>
        <w:t xml:space="preserve"> </w:t>
      </w:r>
      <w:r>
        <w:rPr>
          <w:rFonts w:ascii="Arial" w:eastAsia="Calibri" w:hAnsi="Arial" w:cs="Arial"/>
          <w:sz w:val="20"/>
          <w:szCs w:val="20"/>
        </w:rPr>
        <w:t>g</w:t>
      </w:r>
      <w:r w:rsidRPr="009E09D4">
        <w:rPr>
          <w:rFonts w:ascii="Arial" w:eastAsia="Calibri" w:hAnsi="Arial" w:cs="Arial"/>
          <w:sz w:val="20"/>
          <w:szCs w:val="20"/>
        </w:rPr>
        <w:t>round rent is a contractually agreed payment forming part of the property’s consideration. Its level and review mechanism are fixed by the lease and cannot be varied unilaterally.</w:t>
      </w:r>
    </w:p>
    <w:p w:rsidR="00BC1575" w:rsidRPr="009E09D4" w:rsidP="009E09D4">
      <w:pPr>
        <w:spacing w:line="259" w:lineRule="auto"/>
        <w:contextualSpacing/>
        <w:jc w:val="both"/>
        <w:rPr>
          <w:rFonts w:ascii="Arial" w:eastAsia="Calibri" w:hAnsi="Arial" w:cs="Arial"/>
          <w:sz w:val="20"/>
          <w:szCs w:val="20"/>
        </w:rPr>
      </w:pPr>
    </w:p>
    <w:p w:rsidR="00BC1575" w:rsidRPr="00C77235" w:rsidP="005600D9">
      <w:pPr>
        <w:numPr>
          <w:ilvl w:val="1"/>
          <w:numId w:val="1"/>
        </w:numPr>
        <w:spacing w:line="259" w:lineRule="auto"/>
        <w:contextualSpacing/>
        <w:jc w:val="both"/>
        <w:rPr>
          <w:rFonts w:ascii="Arial" w:eastAsia="Calibri" w:hAnsi="Arial" w:cs="Arial"/>
          <w:sz w:val="20"/>
          <w:szCs w:val="20"/>
        </w:rPr>
      </w:pPr>
      <w:r w:rsidRPr="00C77235">
        <w:rPr>
          <w:rFonts w:ascii="Arial" w:eastAsia="Calibri" w:hAnsi="Arial" w:cs="Arial"/>
          <w:sz w:val="20"/>
          <w:szCs w:val="20"/>
        </w:rPr>
        <w:t xml:space="preserve">No evidence has been produced to show that </w:t>
      </w:r>
      <w:r w:rsidRPr="00C77235">
        <w:rPr>
          <w:rFonts w:ascii="Arial" w:eastAsia="Calibri" w:hAnsi="Arial" w:cs="Arial"/>
          <w:sz w:val="20"/>
          <w:szCs w:val="20"/>
        </w:rPr>
        <w:t>current</w:t>
      </w:r>
      <w:r w:rsidRPr="00C77235">
        <w:rPr>
          <w:rFonts w:ascii="Arial" w:eastAsia="Calibri" w:hAnsi="Arial" w:cs="Arial"/>
          <w:sz w:val="20"/>
          <w:szCs w:val="20"/>
        </w:rPr>
        <w:t xml:space="preserve"> ground rent</w:t>
      </w:r>
      <w:r w:rsidRPr="00C77235">
        <w:rPr>
          <w:rFonts w:ascii="Arial" w:eastAsia="Calibri" w:hAnsi="Arial" w:cs="Arial"/>
          <w:sz w:val="20"/>
          <w:szCs w:val="20"/>
        </w:rPr>
        <w:t>s</w:t>
      </w:r>
      <w:r w:rsidRPr="00C77235">
        <w:rPr>
          <w:rFonts w:ascii="Arial" w:eastAsia="Calibri" w:hAnsi="Arial" w:cs="Arial"/>
          <w:sz w:val="20"/>
          <w:szCs w:val="20"/>
        </w:rPr>
        <w:t xml:space="preserve"> </w:t>
      </w:r>
      <w:r w:rsidRPr="00C77235">
        <w:rPr>
          <w:rFonts w:ascii="Arial" w:eastAsia="Calibri" w:hAnsi="Arial" w:cs="Arial"/>
          <w:sz w:val="20"/>
          <w:szCs w:val="20"/>
        </w:rPr>
        <w:t>are</w:t>
      </w:r>
      <w:r w:rsidRPr="00C77235">
        <w:rPr>
          <w:rFonts w:ascii="Arial" w:eastAsia="Calibri" w:hAnsi="Arial" w:cs="Arial"/>
          <w:sz w:val="20"/>
          <w:szCs w:val="20"/>
        </w:rPr>
        <w:t xml:space="preserve"> “unaffordable”. </w:t>
      </w:r>
      <w:r w:rsidRPr="00C77235">
        <w:rPr>
          <w:rFonts w:ascii="Arial" w:eastAsia="Calibri" w:hAnsi="Arial" w:cs="Arial"/>
          <w:sz w:val="20"/>
          <w:szCs w:val="20"/>
        </w:rPr>
        <w:t xml:space="preserve">Yet in </w:t>
      </w:r>
      <w:r w:rsidRPr="00C77235">
        <w:rPr>
          <w:rFonts w:ascii="Arial" w:eastAsia="Calibri" w:hAnsi="Arial" w:cs="Arial"/>
          <w:sz w:val="20"/>
          <w:szCs w:val="20"/>
        </w:rPr>
        <w:t>exchange for this</w:t>
      </w:r>
      <w:r w:rsidRPr="00C77235">
        <w:rPr>
          <w:rFonts w:ascii="Arial" w:eastAsia="Calibri" w:hAnsi="Arial" w:cs="Arial"/>
          <w:sz w:val="20"/>
          <w:szCs w:val="20"/>
        </w:rPr>
        <w:t xml:space="preserve"> cap</w:t>
      </w:r>
      <w:r w:rsidRPr="00C77235">
        <w:rPr>
          <w:rFonts w:ascii="Arial" w:eastAsia="Calibri" w:hAnsi="Arial" w:cs="Arial"/>
          <w:sz w:val="20"/>
          <w:szCs w:val="20"/>
        </w:rPr>
        <w:t>,</w:t>
      </w:r>
      <w:r w:rsidRPr="00C77235">
        <w:rPr>
          <w:rFonts w:ascii="Arial" w:eastAsia="Calibri" w:hAnsi="Arial" w:cs="Arial"/>
          <w:sz w:val="20"/>
          <w:szCs w:val="20"/>
        </w:rPr>
        <w:t xml:space="preserve"> leaseholder</w:t>
      </w:r>
      <w:r w:rsidRPr="00C77235">
        <w:rPr>
          <w:rFonts w:ascii="Arial" w:eastAsia="Calibri" w:hAnsi="Arial" w:cs="Arial"/>
          <w:sz w:val="20"/>
          <w:szCs w:val="20"/>
        </w:rPr>
        <w:t>s</w:t>
      </w:r>
      <w:r w:rsidRPr="00C77235">
        <w:rPr>
          <w:rFonts w:ascii="Arial" w:eastAsia="Calibri" w:hAnsi="Arial" w:cs="Arial"/>
          <w:sz w:val="20"/>
          <w:szCs w:val="20"/>
        </w:rPr>
        <w:t xml:space="preserve"> </w:t>
      </w:r>
      <w:r w:rsidRPr="00C77235">
        <w:rPr>
          <w:rFonts w:ascii="Arial" w:eastAsia="Calibri" w:hAnsi="Arial" w:cs="Arial"/>
          <w:sz w:val="20"/>
          <w:szCs w:val="20"/>
        </w:rPr>
        <w:t>will</w:t>
      </w:r>
      <w:r w:rsidRPr="00C77235">
        <w:rPr>
          <w:rFonts w:ascii="Arial" w:eastAsia="Calibri" w:hAnsi="Arial" w:cs="Arial"/>
          <w:sz w:val="20"/>
          <w:szCs w:val="20"/>
        </w:rPr>
        <w:t xml:space="preserve"> </w:t>
      </w:r>
      <w:r w:rsidRPr="00C77235">
        <w:rPr>
          <w:rFonts w:ascii="Arial" w:eastAsia="Calibri" w:hAnsi="Arial" w:cs="Arial"/>
          <w:sz w:val="20"/>
          <w:szCs w:val="20"/>
        </w:rPr>
        <w:t>be faced with</w:t>
      </w:r>
      <w:r w:rsidRPr="00C77235">
        <w:rPr>
          <w:rFonts w:ascii="Arial" w:eastAsia="Calibri" w:hAnsi="Arial" w:cs="Arial"/>
          <w:sz w:val="20"/>
          <w:szCs w:val="20"/>
        </w:rPr>
        <w:t xml:space="preserve"> landlord insolvency</w:t>
      </w:r>
      <w:r w:rsidRPr="00C77235">
        <w:rPr>
          <w:rFonts w:ascii="Arial" w:eastAsia="Calibri" w:hAnsi="Arial" w:cs="Arial"/>
          <w:sz w:val="20"/>
          <w:szCs w:val="20"/>
        </w:rPr>
        <w:t>.</w:t>
      </w:r>
      <w:r w:rsidRPr="00C77235">
        <w:rPr>
          <w:rFonts w:ascii="Arial" w:eastAsia="Calibri" w:hAnsi="Arial" w:cs="Arial"/>
          <w:sz w:val="20"/>
          <w:szCs w:val="20"/>
        </w:rPr>
        <w:t xml:space="preserve"> </w:t>
      </w:r>
    </w:p>
    <w:p w:rsidR="00BC1575" w:rsidRPr="00C77235" w:rsidP="005600D9">
      <w:pPr>
        <w:spacing w:line="259" w:lineRule="auto"/>
        <w:ind w:left="792"/>
        <w:contextualSpacing/>
        <w:jc w:val="both"/>
        <w:rPr>
          <w:rFonts w:ascii="Arial" w:eastAsia="Calibri" w:hAnsi="Arial" w:cs="Arial"/>
          <w:sz w:val="20"/>
          <w:szCs w:val="20"/>
        </w:rPr>
      </w:pPr>
    </w:p>
    <w:p w:rsidR="00BC1575" w:rsidRPr="00394641" w:rsidP="0094449D">
      <w:pPr>
        <w:numPr>
          <w:ilvl w:val="1"/>
          <w:numId w:val="1"/>
        </w:numPr>
        <w:spacing w:line="259" w:lineRule="auto"/>
        <w:contextualSpacing/>
        <w:jc w:val="both"/>
        <w:rPr>
          <w:rFonts w:ascii="Arial" w:eastAsia="Calibri" w:hAnsi="Arial" w:cs="Arial"/>
          <w:sz w:val="20"/>
          <w:szCs w:val="20"/>
        </w:rPr>
      </w:pPr>
      <w:r w:rsidRPr="00C77235">
        <w:rPr>
          <w:rFonts w:ascii="Arial" w:eastAsia="Calibri" w:hAnsi="Arial" w:cs="Arial"/>
          <w:sz w:val="20"/>
          <w:szCs w:val="20"/>
        </w:rPr>
        <w:t xml:space="preserve">The </w:t>
      </w:r>
      <w:r w:rsidRPr="00C77235">
        <w:rPr>
          <w:rFonts w:ascii="Arial" w:eastAsia="Calibri" w:hAnsi="Arial" w:cs="Arial"/>
          <w:sz w:val="20"/>
          <w:szCs w:val="20"/>
        </w:rPr>
        <w:t>CMA’s</w:t>
      </w:r>
      <w:r w:rsidRPr="00C77235">
        <w:rPr>
          <w:rFonts w:ascii="Arial" w:eastAsia="Calibri" w:hAnsi="Arial" w:cs="Arial"/>
          <w:sz w:val="20"/>
          <w:szCs w:val="20"/>
        </w:rPr>
        <w:t xml:space="preserve"> investigation into ground rent</w:t>
      </w:r>
      <w:r w:rsidRPr="00C77235">
        <w:rPr>
          <w:rFonts w:ascii="Arial" w:eastAsia="Calibri" w:hAnsi="Arial" w:cs="Arial"/>
          <w:sz w:val="20"/>
          <w:szCs w:val="20"/>
        </w:rPr>
        <w:t xml:space="preserve"> </w:t>
      </w:r>
      <w:r w:rsidRPr="00C77235">
        <w:rPr>
          <w:rFonts w:ascii="Arial" w:eastAsia="Calibri" w:hAnsi="Arial" w:cs="Arial"/>
          <w:sz w:val="20"/>
          <w:szCs w:val="20"/>
        </w:rPr>
        <w:t xml:space="preserve">estimated </w:t>
      </w:r>
      <w:r w:rsidRPr="00C77235">
        <w:rPr>
          <w:rFonts w:ascii="Arial" w:eastAsia="Calibri" w:hAnsi="Arial" w:cs="Arial"/>
          <w:sz w:val="20"/>
          <w:szCs w:val="20"/>
        </w:rPr>
        <w:t xml:space="preserve">that </w:t>
      </w:r>
      <w:r w:rsidRPr="00C77235">
        <w:rPr>
          <w:rFonts w:ascii="Arial" w:eastAsia="Calibri" w:hAnsi="Arial" w:cs="Arial"/>
          <w:sz w:val="20"/>
          <w:szCs w:val="20"/>
        </w:rPr>
        <w:t xml:space="preserve">13,000 leases </w:t>
      </w:r>
      <w:r w:rsidRPr="00C77235">
        <w:rPr>
          <w:rFonts w:ascii="Arial" w:eastAsia="Calibri" w:hAnsi="Arial" w:cs="Arial"/>
          <w:sz w:val="20"/>
          <w:szCs w:val="20"/>
        </w:rPr>
        <w:t xml:space="preserve">were </w:t>
      </w:r>
      <w:r w:rsidRPr="00C77235">
        <w:rPr>
          <w:rFonts w:ascii="Arial" w:eastAsia="Calibri" w:hAnsi="Arial" w:cs="Arial"/>
          <w:sz w:val="20"/>
          <w:szCs w:val="20"/>
        </w:rPr>
        <w:t xml:space="preserve">sold by developers where the ground rents </w:t>
      </w:r>
      <w:r w:rsidRPr="00C77235">
        <w:rPr>
          <w:rFonts w:ascii="Arial" w:eastAsia="Calibri" w:hAnsi="Arial" w:cs="Arial"/>
          <w:sz w:val="20"/>
          <w:szCs w:val="20"/>
        </w:rPr>
        <w:t>had</w:t>
      </w:r>
      <w:r w:rsidRPr="00C77235">
        <w:rPr>
          <w:rFonts w:ascii="Arial" w:eastAsia="Calibri" w:hAnsi="Arial" w:cs="Arial"/>
          <w:sz w:val="20"/>
          <w:szCs w:val="20"/>
        </w:rPr>
        <w:t xml:space="preserve"> </w:t>
      </w:r>
      <w:r w:rsidRPr="00C77235">
        <w:rPr>
          <w:rFonts w:ascii="Arial" w:eastAsia="Calibri" w:hAnsi="Arial" w:cs="Arial"/>
          <w:sz w:val="20"/>
          <w:szCs w:val="20"/>
        </w:rPr>
        <w:t>doubled more frequently than every twenty years.</w:t>
      </w:r>
      <w:r w:rsidRPr="00C77235">
        <w:rPr>
          <w:rFonts w:ascii="Arial" w:eastAsia="Calibri" w:hAnsi="Arial" w:cs="Arial"/>
          <w:sz w:val="20"/>
          <w:szCs w:val="20"/>
        </w:rPr>
        <w:t xml:space="preserve"> Following</w:t>
      </w:r>
      <w:r w:rsidRPr="00C77235">
        <w:rPr>
          <w:rFonts w:ascii="Arial" w:eastAsia="Calibri" w:hAnsi="Arial" w:cs="Arial"/>
          <w:sz w:val="20"/>
          <w:szCs w:val="20"/>
        </w:rPr>
        <w:t xml:space="preserve"> collaboration</w:t>
      </w:r>
      <w:r w:rsidRPr="00C77235">
        <w:rPr>
          <w:rFonts w:ascii="Arial" w:eastAsia="Calibri" w:hAnsi="Arial" w:cs="Arial"/>
          <w:sz w:val="20"/>
          <w:szCs w:val="20"/>
        </w:rPr>
        <w:t xml:space="preserve"> between industry and government, the Public Pledge for Leaseholders led to </w:t>
      </w:r>
      <w:r w:rsidRPr="00C77235">
        <w:rPr>
          <w:rFonts w:ascii="Arial" w:eastAsia="Calibri" w:hAnsi="Arial" w:cs="Arial"/>
          <w:sz w:val="20"/>
          <w:szCs w:val="20"/>
        </w:rPr>
        <w:t>the vast majority of</w:t>
      </w:r>
      <w:r w:rsidRPr="00C77235">
        <w:rPr>
          <w:rFonts w:ascii="Arial" w:eastAsia="Calibri" w:hAnsi="Arial" w:cs="Arial"/>
          <w:sz w:val="20"/>
          <w:szCs w:val="20"/>
        </w:rPr>
        <w:t xml:space="preserve"> these </w:t>
      </w:r>
      <w:r w:rsidRPr="00C77235">
        <w:rPr>
          <w:rFonts w:ascii="Arial" w:eastAsia="Calibri" w:hAnsi="Arial" w:cs="Arial"/>
          <w:sz w:val="20"/>
          <w:szCs w:val="20"/>
        </w:rPr>
        <w:t>leases</w:t>
      </w:r>
      <w:r w:rsidRPr="00C77235">
        <w:rPr>
          <w:rFonts w:ascii="Arial" w:eastAsia="Calibri" w:hAnsi="Arial" w:cs="Arial"/>
          <w:sz w:val="20"/>
          <w:szCs w:val="20"/>
        </w:rPr>
        <w:t xml:space="preserve"> being </w:t>
      </w:r>
      <w:r w:rsidRPr="00C77235">
        <w:rPr>
          <w:rFonts w:ascii="Arial" w:eastAsia="Calibri" w:hAnsi="Arial" w:cs="Arial"/>
          <w:sz w:val="20"/>
          <w:szCs w:val="20"/>
        </w:rPr>
        <w:t>successfully varied to remove</w:t>
      </w:r>
      <w:r w:rsidRPr="00C77235">
        <w:rPr>
          <w:rFonts w:ascii="Arial" w:eastAsia="Calibri" w:hAnsi="Arial" w:cs="Arial"/>
          <w:sz w:val="20"/>
          <w:szCs w:val="20"/>
        </w:rPr>
        <w:t xml:space="preserve"> th</w:t>
      </w:r>
      <w:r w:rsidRPr="00C77235">
        <w:rPr>
          <w:rFonts w:ascii="Arial" w:eastAsia="Calibri" w:hAnsi="Arial" w:cs="Arial"/>
          <w:sz w:val="20"/>
          <w:szCs w:val="20"/>
        </w:rPr>
        <w:t>ose</w:t>
      </w:r>
      <w:r w:rsidRPr="00C77235">
        <w:rPr>
          <w:rFonts w:ascii="Arial" w:eastAsia="Calibri" w:hAnsi="Arial" w:cs="Arial"/>
          <w:sz w:val="20"/>
          <w:szCs w:val="20"/>
        </w:rPr>
        <w:t xml:space="preserve"> doubling</w:t>
      </w:r>
      <w:r w:rsidRPr="00C77235">
        <w:rPr>
          <w:rFonts w:ascii="Arial" w:eastAsia="Calibri" w:hAnsi="Arial" w:cs="Arial"/>
          <w:sz w:val="20"/>
          <w:szCs w:val="20"/>
        </w:rPr>
        <w:t xml:space="preserve"> clauses</w:t>
      </w:r>
      <w:r w:rsidRPr="00C77235">
        <w:rPr>
          <w:rFonts w:ascii="Arial" w:eastAsia="Calibri" w:hAnsi="Arial" w:cs="Arial"/>
          <w:sz w:val="20"/>
          <w:szCs w:val="20"/>
        </w:rPr>
        <w:t>.</w:t>
      </w:r>
      <w:r w:rsidRPr="00C77235">
        <w:rPr>
          <w:rFonts w:ascii="Arial" w:eastAsia="Calibri" w:hAnsi="Arial" w:cs="Arial"/>
          <w:sz w:val="20"/>
          <w:szCs w:val="20"/>
        </w:rPr>
        <w:t xml:space="preserve"> </w:t>
      </w:r>
      <w:r w:rsidRPr="00C77235">
        <w:rPr>
          <w:rFonts w:ascii="Arial" w:eastAsia="Calibri" w:hAnsi="Arial" w:cs="Arial"/>
          <w:sz w:val="20"/>
          <w:szCs w:val="20"/>
        </w:rPr>
        <w:t>The number remaining (4,430 as of 2023) continues to fall and represents less than 0.1% of all leases.</w:t>
      </w:r>
      <w:r w:rsidRPr="00C77235">
        <w:rPr>
          <w:rFonts w:ascii="Arial" w:eastAsia="Calibri" w:hAnsi="Arial" w:cs="Arial"/>
          <w:sz w:val="20"/>
          <w:szCs w:val="20"/>
        </w:rPr>
        <w:t xml:space="preserve"> </w:t>
      </w:r>
      <w:r w:rsidRPr="00C77235">
        <w:rPr>
          <w:rFonts w:ascii="Arial" w:eastAsia="Calibri" w:hAnsi="Arial" w:cs="Arial"/>
          <w:sz w:val="20"/>
          <w:szCs w:val="20"/>
        </w:rPr>
        <w:t>Within RFA</w:t>
      </w:r>
      <w:r w:rsidRPr="005600D9">
        <w:rPr>
          <w:rFonts w:ascii="Arial" w:eastAsia="Calibri" w:hAnsi="Arial" w:cs="Arial"/>
          <w:sz w:val="20"/>
          <w:szCs w:val="20"/>
        </w:rPr>
        <w:t xml:space="preserve"> member portfolios, all leaseholders covered by the Public Pledge have been contacted and offered the opportunity to remove t</w:t>
      </w:r>
      <w:r>
        <w:rPr>
          <w:rFonts w:ascii="Arial" w:eastAsia="Calibri" w:hAnsi="Arial" w:cs="Arial"/>
          <w:sz w:val="20"/>
          <w:szCs w:val="20"/>
        </w:rPr>
        <w:t xml:space="preserve">he </w:t>
      </w:r>
      <w:r w:rsidRPr="005600D9">
        <w:rPr>
          <w:rFonts w:ascii="Arial" w:eastAsia="Calibri" w:hAnsi="Arial" w:cs="Arial"/>
          <w:sz w:val="20"/>
          <w:szCs w:val="20"/>
        </w:rPr>
        <w:t>clauses identified as onerous.</w:t>
      </w:r>
    </w:p>
    <w:p w:rsidR="00BC1575" w:rsidRPr="00EF3586" w:rsidP="0094449D">
      <w:pPr>
        <w:spacing w:line="259" w:lineRule="auto"/>
        <w:contextualSpacing/>
        <w:jc w:val="both"/>
        <w:rPr>
          <w:rFonts w:ascii="Arial" w:eastAsia="Calibri" w:hAnsi="Arial" w:cs="Arial"/>
          <w:sz w:val="20"/>
          <w:szCs w:val="20"/>
        </w:rPr>
      </w:pPr>
    </w:p>
    <w:p w:rsidR="00BC1575" w:rsidP="003367C9">
      <w:pPr>
        <w:numPr>
          <w:ilvl w:val="1"/>
          <w:numId w:val="1"/>
        </w:numPr>
        <w:spacing w:line="259" w:lineRule="auto"/>
        <w:contextualSpacing/>
        <w:jc w:val="both"/>
        <w:rPr>
          <w:rFonts w:ascii="Arial" w:eastAsia="Calibri" w:hAnsi="Arial" w:cs="Arial"/>
          <w:sz w:val="20"/>
          <w:szCs w:val="20"/>
        </w:rPr>
      </w:pPr>
      <w:r w:rsidRPr="0048686E">
        <w:rPr>
          <w:rFonts w:ascii="Arial" w:eastAsia="Calibri" w:hAnsi="Arial" w:cs="Arial"/>
          <w:sz w:val="20"/>
          <w:szCs w:val="20"/>
        </w:rPr>
        <w:t xml:space="preserve">Beyond the </w:t>
      </w:r>
      <w:r w:rsidRPr="0048686E">
        <w:rPr>
          <w:rFonts w:ascii="Arial" w:eastAsia="Calibri" w:hAnsi="Arial" w:cs="Arial"/>
          <w:sz w:val="20"/>
          <w:szCs w:val="20"/>
        </w:rPr>
        <w:t>retrospective and likely unlawful appropriation of property rights, there is potential under these proposals for service charge</w:t>
      </w:r>
      <w:r w:rsidRPr="0048686E">
        <w:rPr>
          <w:rFonts w:ascii="Arial" w:eastAsia="Calibri" w:hAnsi="Arial" w:cs="Arial"/>
          <w:sz w:val="20"/>
          <w:szCs w:val="20"/>
        </w:rPr>
        <w:t>s</w:t>
      </w:r>
      <w:r w:rsidRPr="0048686E">
        <w:rPr>
          <w:rFonts w:ascii="Arial" w:eastAsia="Calibri" w:hAnsi="Arial" w:cs="Arial"/>
          <w:sz w:val="20"/>
          <w:szCs w:val="20"/>
        </w:rPr>
        <w:t xml:space="preserve"> to increase by </w:t>
      </w:r>
      <w:r w:rsidRPr="0048686E">
        <w:rPr>
          <w:rFonts w:ascii="Arial" w:eastAsia="Calibri" w:hAnsi="Arial" w:cs="Arial"/>
          <w:sz w:val="20"/>
          <w:szCs w:val="20"/>
        </w:rPr>
        <w:t xml:space="preserve">significantly </w:t>
      </w:r>
      <w:r w:rsidRPr="0048686E">
        <w:rPr>
          <w:rFonts w:ascii="Arial" w:eastAsia="Calibri" w:hAnsi="Arial" w:cs="Arial"/>
          <w:sz w:val="20"/>
          <w:szCs w:val="20"/>
        </w:rPr>
        <w:t>more than the</w:t>
      </w:r>
      <w:r w:rsidRPr="0048686E">
        <w:rPr>
          <w:rFonts w:ascii="Arial" w:eastAsia="Calibri" w:hAnsi="Arial" w:cs="Arial"/>
          <w:sz w:val="20"/>
          <w:szCs w:val="20"/>
        </w:rPr>
        <w:t xml:space="preserve"> </w:t>
      </w:r>
      <w:r w:rsidRPr="0048686E">
        <w:rPr>
          <w:rFonts w:ascii="Arial" w:eastAsia="Calibri" w:hAnsi="Arial" w:cs="Arial"/>
          <w:sz w:val="20"/>
          <w:szCs w:val="20"/>
        </w:rPr>
        <w:t>average</w:t>
      </w:r>
      <w:r w:rsidRPr="0048686E">
        <w:rPr>
          <w:rFonts w:ascii="Arial" w:eastAsia="Calibri" w:hAnsi="Arial" w:cs="Arial"/>
          <w:sz w:val="20"/>
          <w:szCs w:val="20"/>
        </w:rPr>
        <w:t xml:space="preserve"> £54 saving in ground rent</w:t>
      </w:r>
      <w:r w:rsidRPr="0048686E">
        <w:rPr>
          <w:rFonts w:ascii="Arial" w:eastAsia="Calibri" w:hAnsi="Arial" w:cs="Arial"/>
          <w:sz w:val="20"/>
          <w:szCs w:val="20"/>
        </w:rPr>
        <w:t xml:space="preserve">. This is </w:t>
      </w:r>
      <w:r w:rsidRPr="0048686E">
        <w:rPr>
          <w:rFonts w:ascii="Arial" w:eastAsia="Calibri" w:hAnsi="Arial" w:cs="Arial"/>
          <w:sz w:val="20"/>
          <w:szCs w:val="20"/>
        </w:rPr>
        <w:t>due not only to the risk of freeholders becoming insolvent and leaseholders losing the economies of scale that professional freeholders can bring to negotiations with developers, insurers and managing agents, but also to the removal of a professional, capitalised counterparty with long-term overs</w:t>
      </w:r>
      <w:r w:rsidRPr="0048686E">
        <w:rPr>
          <w:rFonts w:ascii="Arial" w:eastAsia="Calibri" w:hAnsi="Arial" w:cs="Arial"/>
          <w:sz w:val="20"/>
          <w:szCs w:val="20"/>
        </w:rPr>
        <w:t>ight of the building.</w:t>
      </w:r>
      <w:r w:rsidRPr="003367C9">
        <w:t xml:space="preserve"> </w:t>
      </w:r>
      <w:r w:rsidRPr="0048686E">
        <w:rPr>
          <w:rFonts w:ascii="Arial" w:eastAsia="Calibri" w:hAnsi="Arial" w:cs="Arial"/>
          <w:sz w:val="20"/>
          <w:szCs w:val="20"/>
        </w:rPr>
        <w:t>Without such oversight, leaseholders may become more dependent on managing agents, with reduced leverage to hold them to account, increasing governance costs and instability.</w:t>
      </w:r>
    </w:p>
    <w:p w:rsidR="00BC1575" w:rsidRPr="0048686E" w:rsidP="0048686E">
      <w:pPr>
        <w:spacing w:line="259" w:lineRule="auto"/>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Pr>
          <w:rFonts w:ascii="Arial" w:eastAsia="Calibri" w:hAnsi="Arial" w:cs="Arial"/>
          <w:sz w:val="20"/>
          <w:szCs w:val="20"/>
        </w:rPr>
        <w:t>Another fundamental</w:t>
      </w:r>
      <w:r>
        <w:rPr>
          <w:rFonts w:ascii="Arial" w:eastAsia="Calibri" w:hAnsi="Arial" w:cs="Arial"/>
          <w:sz w:val="20"/>
          <w:szCs w:val="20"/>
        </w:rPr>
        <w:t xml:space="preserve"> </w:t>
      </w:r>
      <w:r>
        <w:rPr>
          <w:rFonts w:ascii="Arial" w:eastAsia="Calibri" w:hAnsi="Arial" w:cs="Arial"/>
          <w:sz w:val="20"/>
          <w:szCs w:val="20"/>
        </w:rPr>
        <w:t>misunderstanding</w:t>
      </w:r>
      <w:r>
        <w:rPr>
          <w:rFonts w:ascii="Arial" w:eastAsia="Calibri" w:hAnsi="Arial" w:cs="Arial"/>
          <w:sz w:val="20"/>
          <w:szCs w:val="20"/>
        </w:rPr>
        <w:t xml:space="preserve"> that </w:t>
      </w:r>
      <w:r>
        <w:rPr>
          <w:rFonts w:ascii="Arial" w:eastAsia="Calibri" w:hAnsi="Arial" w:cs="Arial"/>
          <w:sz w:val="20"/>
          <w:szCs w:val="20"/>
        </w:rPr>
        <w:t xml:space="preserve">has </w:t>
      </w:r>
      <w:r>
        <w:rPr>
          <w:rFonts w:ascii="Arial" w:eastAsia="Calibri" w:hAnsi="Arial" w:cs="Arial"/>
          <w:sz w:val="20"/>
          <w:szCs w:val="20"/>
        </w:rPr>
        <w:t>underpinned</w:t>
      </w:r>
      <w:r>
        <w:rPr>
          <w:rFonts w:ascii="Arial" w:eastAsia="Calibri" w:hAnsi="Arial" w:cs="Arial"/>
          <w:sz w:val="20"/>
          <w:szCs w:val="20"/>
        </w:rPr>
        <w:t xml:space="preserve"> MHCLG’s decision to cap ground rent is that</w:t>
      </w:r>
      <w:r>
        <w:rPr>
          <w:rFonts w:ascii="Arial" w:eastAsia="Calibri" w:hAnsi="Arial" w:cs="Arial"/>
          <w:sz w:val="20"/>
          <w:szCs w:val="20"/>
        </w:rPr>
        <w:t xml:space="preserve"> ground rent over £250</w:t>
      </w:r>
      <w:r>
        <w:rPr>
          <w:rFonts w:ascii="Arial" w:eastAsia="Calibri" w:hAnsi="Arial" w:cs="Arial"/>
          <w:sz w:val="20"/>
          <w:szCs w:val="20"/>
        </w:rPr>
        <w:t xml:space="preserve"> cause</w:t>
      </w:r>
      <w:r>
        <w:rPr>
          <w:rFonts w:ascii="Arial" w:eastAsia="Calibri" w:hAnsi="Arial" w:cs="Arial"/>
          <w:sz w:val="20"/>
          <w:szCs w:val="20"/>
        </w:rPr>
        <w:t>s</w:t>
      </w:r>
      <w:r>
        <w:rPr>
          <w:rFonts w:ascii="Arial" w:eastAsia="Calibri" w:hAnsi="Arial" w:cs="Arial"/>
          <w:sz w:val="20"/>
          <w:szCs w:val="20"/>
        </w:rPr>
        <w:t xml:space="preserve"> </w:t>
      </w:r>
      <w:r>
        <w:rPr>
          <w:rFonts w:ascii="Arial" w:eastAsia="Calibri" w:hAnsi="Arial" w:cs="Arial"/>
          <w:sz w:val="20"/>
          <w:szCs w:val="20"/>
        </w:rPr>
        <w:t>mortgageability</w:t>
      </w:r>
      <w:r>
        <w:rPr>
          <w:rFonts w:ascii="Arial" w:eastAsia="Calibri" w:hAnsi="Arial" w:cs="Arial"/>
          <w:sz w:val="20"/>
          <w:szCs w:val="20"/>
        </w:rPr>
        <w:t xml:space="preserve"> issues. </w:t>
      </w:r>
      <w:r>
        <w:rPr>
          <w:rFonts w:ascii="Arial" w:eastAsia="Calibri" w:hAnsi="Arial" w:cs="Arial"/>
          <w:sz w:val="20"/>
          <w:szCs w:val="20"/>
        </w:rPr>
        <w:t>This is not only demonstrably untrue, but a cap will make mortgages harder to attain, given</w:t>
      </w:r>
      <w:r>
        <w:rPr>
          <w:rFonts w:ascii="Arial" w:eastAsia="Calibri" w:hAnsi="Arial" w:cs="Arial"/>
          <w:sz w:val="20"/>
          <w:szCs w:val="20"/>
        </w:rPr>
        <w:t xml:space="preserve"> that according to UK Finance’s </w:t>
      </w:r>
      <w:r w:rsidRPr="003151FD">
        <w:rPr>
          <w:rFonts w:ascii="Arial" w:eastAsia="Calibri" w:hAnsi="Arial" w:cs="Arial"/>
          <w:sz w:val="20"/>
          <w:szCs w:val="20"/>
        </w:rPr>
        <w:t>Mortgage Lenders’ Handbook</w:t>
      </w:r>
      <w:r>
        <w:rPr>
          <w:rFonts w:ascii="Arial" w:eastAsia="Calibri" w:hAnsi="Arial" w:cs="Arial"/>
          <w:sz w:val="20"/>
          <w:szCs w:val="20"/>
        </w:rPr>
        <w:t xml:space="preserve"> </w:t>
      </w:r>
      <w:r>
        <w:rPr>
          <w:rFonts w:ascii="Arial" w:eastAsia="Calibri" w:hAnsi="Arial" w:cs="Arial"/>
          <w:sz w:val="20"/>
          <w:szCs w:val="20"/>
        </w:rPr>
        <w:t xml:space="preserve">lenders </w:t>
      </w:r>
      <w:r>
        <w:rPr>
          <w:rFonts w:ascii="Arial" w:eastAsia="Calibri" w:hAnsi="Arial" w:cs="Arial"/>
          <w:sz w:val="20"/>
          <w:szCs w:val="20"/>
        </w:rPr>
        <w:t xml:space="preserve">look to the presence of a </w:t>
      </w:r>
      <w:r>
        <w:rPr>
          <w:rFonts w:ascii="Arial" w:eastAsia="Calibri" w:hAnsi="Arial" w:cs="Arial"/>
          <w:sz w:val="20"/>
          <w:szCs w:val="20"/>
        </w:rPr>
        <w:t xml:space="preserve">solvent </w:t>
      </w:r>
      <w:r>
        <w:rPr>
          <w:rFonts w:ascii="Arial" w:eastAsia="Calibri" w:hAnsi="Arial" w:cs="Arial"/>
          <w:sz w:val="20"/>
          <w:szCs w:val="20"/>
        </w:rPr>
        <w:t xml:space="preserve">entity </w:t>
      </w:r>
      <w:r>
        <w:rPr>
          <w:rFonts w:ascii="Arial" w:eastAsia="Calibri" w:hAnsi="Arial" w:cs="Arial"/>
          <w:sz w:val="20"/>
          <w:szCs w:val="20"/>
        </w:rPr>
        <w:t xml:space="preserve">who </w:t>
      </w:r>
      <w:r>
        <w:rPr>
          <w:rFonts w:ascii="Arial" w:eastAsia="Calibri" w:hAnsi="Arial" w:cs="Arial"/>
          <w:sz w:val="20"/>
          <w:szCs w:val="20"/>
        </w:rPr>
        <w:t>can</w:t>
      </w:r>
      <w:r>
        <w:rPr>
          <w:rFonts w:ascii="Arial" w:eastAsia="Calibri" w:hAnsi="Arial" w:cs="Arial"/>
          <w:sz w:val="20"/>
          <w:szCs w:val="20"/>
        </w:rPr>
        <w:t xml:space="preserve"> uphold the lease covenants</w:t>
      </w:r>
      <w:r>
        <w:rPr>
          <w:rFonts w:ascii="Arial" w:eastAsia="Calibri" w:hAnsi="Arial" w:cs="Arial"/>
          <w:sz w:val="20"/>
          <w:szCs w:val="20"/>
        </w:rPr>
        <w:t xml:space="preserve"> when making lending decisions.</w:t>
      </w:r>
    </w:p>
    <w:p w:rsidR="00BC1575" w:rsidRPr="002A68E7" w:rsidP="0094449D">
      <w:pPr>
        <w:jc w:val="both"/>
        <w:rPr>
          <w:sz w:val="20"/>
          <w:szCs w:val="20"/>
        </w:rPr>
      </w:pPr>
    </w:p>
    <w:p w:rsidR="00BC1575" w:rsidP="0094449D">
      <w:pPr>
        <w:numPr>
          <w:ilvl w:val="1"/>
          <w:numId w:val="1"/>
        </w:numPr>
        <w:spacing w:line="259" w:lineRule="auto"/>
        <w:contextualSpacing/>
        <w:jc w:val="both"/>
        <w:rPr>
          <w:rFonts w:ascii="Arial" w:hAnsi="Arial" w:cs="Arial"/>
          <w:sz w:val="20"/>
          <w:szCs w:val="20"/>
        </w:rPr>
      </w:pPr>
      <w:r w:rsidRPr="003367C9">
        <w:rPr>
          <w:rFonts w:ascii="Arial" w:hAnsi="Arial" w:cs="Arial"/>
          <w:sz w:val="20"/>
          <w:szCs w:val="20"/>
        </w:rPr>
        <w:t xml:space="preserve">The UK’s major lenders do not have an issue with ground rent that exceeds the figures utilised by the Government – 0.1% of a property’s value or £250. </w:t>
      </w:r>
      <w:r w:rsidRPr="003367C9">
        <w:rPr>
          <w:rFonts w:ascii="Arial" w:hAnsi="Arial" w:cs="Arial"/>
          <w:sz w:val="20"/>
          <w:szCs w:val="20"/>
        </w:rPr>
        <w:t xml:space="preserve">The UK Finance Mortgage Lenders’ Handbook makes clear that </w:t>
      </w:r>
      <w:r>
        <w:rPr>
          <w:rFonts w:ascii="Arial" w:hAnsi="Arial" w:cs="Arial"/>
          <w:sz w:val="20"/>
          <w:szCs w:val="20"/>
          <w:u w:val="single"/>
        </w:rPr>
        <w:t>most lenders have</w:t>
      </w:r>
      <w:r w:rsidRPr="003367C9">
        <w:rPr>
          <w:rFonts w:ascii="Arial" w:hAnsi="Arial" w:cs="Arial"/>
          <w:sz w:val="20"/>
          <w:szCs w:val="20"/>
        </w:rPr>
        <w:t xml:space="preserve"> a policy in place where they will lend on a property with ground rent up to 0.5% of a property’s value. </w:t>
      </w:r>
      <w:r w:rsidRPr="003367C9">
        <w:rPr>
          <w:rFonts w:ascii="Arial" w:hAnsi="Arial" w:cs="Arial"/>
          <w:sz w:val="20"/>
          <w:szCs w:val="20"/>
        </w:rPr>
        <w:t>Where ground rent is considered materially above market norms or increases on an atypical basis, lenders may undertake enhanced review or impose specific conditions rather than declining lending outright.</w:t>
      </w:r>
    </w:p>
    <w:p w:rsidR="00BC1575" w:rsidRPr="003367C9" w:rsidP="003367C9">
      <w:pPr>
        <w:spacing w:line="259" w:lineRule="auto"/>
        <w:contextualSpacing/>
        <w:jc w:val="both"/>
        <w:rPr>
          <w:rFonts w:ascii="Arial" w:hAnsi="Arial" w:cs="Arial"/>
          <w:sz w:val="20"/>
          <w:szCs w:val="20"/>
        </w:rPr>
      </w:pPr>
    </w:p>
    <w:p w:rsidR="00BC1575" w:rsidP="003367C9">
      <w:pPr>
        <w:numPr>
          <w:ilvl w:val="1"/>
          <w:numId w:val="1"/>
        </w:numPr>
        <w:spacing w:line="259" w:lineRule="auto"/>
        <w:contextualSpacing/>
        <w:jc w:val="both"/>
        <w:rPr>
          <w:rFonts w:ascii="Arial" w:hAnsi="Arial" w:cs="Arial"/>
          <w:sz w:val="20"/>
          <w:szCs w:val="20"/>
        </w:rPr>
      </w:pPr>
      <w:r>
        <w:rPr>
          <w:rFonts w:ascii="Arial" w:hAnsi="Arial" w:cs="Arial"/>
          <w:sz w:val="20"/>
          <w:szCs w:val="20"/>
        </w:rPr>
        <w:t xml:space="preserve">As </w:t>
      </w:r>
      <w:r>
        <w:rPr>
          <w:rFonts w:ascii="Arial" w:hAnsi="Arial" w:cs="Arial"/>
          <w:sz w:val="20"/>
          <w:szCs w:val="20"/>
        </w:rPr>
        <w:t>noted in the High Court</w:t>
      </w:r>
      <w:r>
        <w:rPr>
          <w:rFonts w:ascii="Arial" w:hAnsi="Arial" w:cs="Arial"/>
          <w:sz w:val="20"/>
          <w:szCs w:val="20"/>
        </w:rPr>
        <w:t>’s hearing of a judicial review of the Leasehold and Freehold Reform Act 2024</w:t>
      </w:r>
      <w:r>
        <w:rPr>
          <w:rFonts w:ascii="Arial" w:hAnsi="Arial" w:cs="Arial"/>
          <w:sz w:val="20"/>
          <w:szCs w:val="20"/>
        </w:rPr>
        <w:t xml:space="preserve"> (Day 1 </w:t>
      </w:r>
      <w:r>
        <w:rPr>
          <w:rFonts w:ascii="Arial" w:hAnsi="Arial" w:cs="Arial"/>
          <w:sz w:val="20"/>
          <w:szCs w:val="20"/>
        </w:rPr>
        <w:t>transcript, page 152, paragraph 21)</w:t>
      </w:r>
      <w:r>
        <w:rPr>
          <w:rFonts w:ascii="Arial" w:hAnsi="Arial" w:cs="Arial"/>
          <w:sz w:val="20"/>
          <w:szCs w:val="20"/>
        </w:rPr>
        <w:t>, evidence was produced showing Nationwide Building Society</w:t>
      </w:r>
      <w:r>
        <w:rPr>
          <w:rFonts w:ascii="Arial" w:hAnsi="Arial" w:cs="Arial"/>
          <w:sz w:val="20"/>
          <w:szCs w:val="20"/>
        </w:rPr>
        <w:t>’s position on ground rent</w:t>
      </w:r>
      <w:r>
        <w:rPr>
          <w:rFonts w:ascii="Arial" w:hAnsi="Arial" w:cs="Arial"/>
          <w:sz w:val="20"/>
          <w:szCs w:val="20"/>
        </w:rPr>
        <w:t>, which</w:t>
      </w:r>
      <w:r>
        <w:rPr>
          <w:rFonts w:ascii="Arial" w:hAnsi="Arial" w:cs="Arial"/>
          <w:sz w:val="20"/>
          <w:szCs w:val="20"/>
        </w:rPr>
        <w:t xml:space="preserve"> was that it </w:t>
      </w:r>
      <w:r w:rsidRPr="004B57C9">
        <w:rPr>
          <w:rFonts w:ascii="Arial" w:hAnsi="Arial" w:cs="Arial"/>
          <w:sz w:val="20"/>
          <w:szCs w:val="20"/>
          <w:u w:val="single"/>
        </w:rPr>
        <w:t>has not</w:t>
      </w:r>
      <w:r>
        <w:rPr>
          <w:rFonts w:ascii="Arial" w:hAnsi="Arial" w:cs="Arial"/>
          <w:sz w:val="20"/>
          <w:szCs w:val="20"/>
        </w:rPr>
        <w:t xml:space="preserve"> caused</w:t>
      </w:r>
      <w:r>
        <w:rPr>
          <w:rFonts w:ascii="Arial" w:hAnsi="Arial" w:cs="Arial"/>
          <w:sz w:val="20"/>
          <w:szCs w:val="20"/>
        </w:rPr>
        <w:t xml:space="preserve"> </w:t>
      </w:r>
      <w:r w:rsidRPr="002F1BCA">
        <w:rPr>
          <w:rFonts w:ascii="Arial" w:hAnsi="Arial" w:cs="Arial"/>
          <w:sz w:val="20"/>
          <w:szCs w:val="20"/>
        </w:rPr>
        <w:t>mortgageability</w:t>
      </w:r>
      <w:r w:rsidRPr="00DC1D81">
        <w:rPr>
          <w:rFonts w:ascii="Arial" w:hAnsi="Arial" w:cs="Arial"/>
          <w:sz w:val="20"/>
          <w:szCs w:val="20"/>
        </w:rPr>
        <w:t xml:space="preserve"> issues across its lending portfolio and that it does not consider ground rent</w:t>
      </w:r>
      <w:r>
        <w:rPr>
          <w:rFonts w:ascii="Arial" w:hAnsi="Arial" w:cs="Arial"/>
          <w:sz w:val="20"/>
          <w:szCs w:val="20"/>
        </w:rPr>
        <w:t xml:space="preserve"> below </w:t>
      </w:r>
      <w:r w:rsidRPr="00DC1D81">
        <w:rPr>
          <w:rFonts w:ascii="Arial" w:hAnsi="Arial" w:cs="Arial"/>
          <w:sz w:val="20"/>
          <w:szCs w:val="20"/>
        </w:rPr>
        <w:t>0.</w:t>
      </w:r>
      <w:r>
        <w:rPr>
          <w:rFonts w:ascii="Arial" w:hAnsi="Arial" w:cs="Arial"/>
          <w:sz w:val="20"/>
          <w:szCs w:val="20"/>
        </w:rPr>
        <w:t>5</w:t>
      </w:r>
      <w:r w:rsidRPr="00DC1D81">
        <w:rPr>
          <w:rFonts w:ascii="Arial" w:hAnsi="Arial" w:cs="Arial"/>
          <w:sz w:val="20"/>
          <w:szCs w:val="20"/>
        </w:rPr>
        <w:t xml:space="preserve">% of the property value to be onerous. </w:t>
      </w:r>
      <w:r>
        <w:rPr>
          <w:rFonts w:ascii="Arial" w:hAnsi="Arial" w:cs="Arial"/>
          <w:sz w:val="20"/>
          <w:szCs w:val="20"/>
        </w:rPr>
        <w:t xml:space="preserve">The average value of a flat in England is c.£220,000, which suggests a corresponding passing ground rent of £1,100 would not impact </w:t>
      </w:r>
      <w:r w:rsidRPr="002F1BCA">
        <w:rPr>
          <w:rFonts w:ascii="Arial" w:hAnsi="Arial" w:cs="Arial"/>
          <w:sz w:val="20"/>
          <w:szCs w:val="20"/>
        </w:rPr>
        <w:t>mortgageability</w:t>
      </w:r>
      <w:r>
        <w:rPr>
          <w:rFonts w:ascii="Arial" w:hAnsi="Arial" w:cs="Arial"/>
          <w:sz w:val="20"/>
          <w:szCs w:val="20"/>
        </w:rPr>
        <w:t>. F</w:t>
      </w:r>
      <w:r>
        <w:rPr>
          <w:rFonts w:ascii="Arial" w:hAnsi="Arial" w:cs="Arial"/>
          <w:sz w:val="20"/>
          <w:szCs w:val="20"/>
        </w:rPr>
        <w:t xml:space="preserve">or higher value flats this would be a higher figure.  </w:t>
      </w:r>
      <w:r>
        <w:rPr>
          <w:rFonts w:ascii="Arial" w:hAnsi="Arial" w:cs="Arial"/>
          <w:sz w:val="20"/>
          <w:szCs w:val="20"/>
        </w:rPr>
        <w:t xml:space="preserve">  </w:t>
      </w:r>
    </w:p>
    <w:p w:rsidR="00BC1575" w:rsidRPr="0048686E" w:rsidP="0048686E">
      <w:pPr>
        <w:spacing w:line="259" w:lineRule="auto"/>
        <w:contextualSpacing/>
        <w:jc w:val="both"/>
        <w:rPr>
          <w:rFonts w:ascii="Arial" w:hAnsi="Arial" w:cs="Arial"/>
          <w:sz w:val="20"/>
          <w:szCs w:val="20"/>
        </w:rPr>
      </w:pPr>
    </w:p>
    <w:p w:rsidR="00BC1575" w:rsidRPr="003367C9" w:rsidP="003367C9">
      <w:pPr>
        <w:numPr>
          <w:ilvl w:val="1"/>
          <w:numId w:val="1"/>
        </w:numPr>
        <w:spacing w:line="259" w:lineRule="auto"/>
        <w:contextualSpacing/>
        <w:jc w:val="both"/>
        <w:rPr>
          <w:rFonts w:ascii="Arial" w:hAnsi="Arial" w:cs="Arial"/>
          <w:sz w:val="20"/>
          <w:szCs w:val="20"/>
        </w:rPr>
      </w:pPr>
      <w:r w:rsidRPr="003367C9">
        <w:rPr>
          <w:rFonts w:ascii="Arial" w:hAnsi="Arial" w:cs="Arial"/>
          <w:sz w:val="20"/>
          <w:szCs w:val="20"/>
        </w:rPr>
        <w:t xml:space="preserve">One </w:t>
      </w:r>
      <w:r w:rsidRPr="003367C9">
        <w:rPr>
          <w:rFonts w:ascii="Arial" w:hAnsi="Arial" w:cs="Arial"/>
          <w:sz w:val="20"/>
          <w:szCs w:val="20"/>
        </w:rPr>
        <w:t xml:space="preserve">historical </w:t>
      </w:r>
      <w:r w:rsidRPr="003367C9">
        <w:rPr>
          <w:rFonts w:ascii="Arial" w:hAnsi="Arial" w:cs="Arial"/>
          <w:sz w:val="20"/>
          <w:szCs w:val="20"/>
        </w:rPr>
        <w:t xml:space="preserve">anachronism within the </w:t>
      </w:r>
      <w:r w:rsidRPr="003367C9">
        <w:rPr>
          <w:rFonts w:ascii="Arial" w:hAnsi="Arial" w:cs="Arial"/>
          <w:sz w:val="20"/>
          <w:szCs w:val="20"/>
        </w:rPr>
        <w:t xml:space="preserve">Housing Act 1988 created an unforeseen situation where </w:t>
      </w:r>
      <w:r w:rsidRPr="003367C9">
        <w:rPr>
          <w:rFonts w:ascii="Arial" w:hAnsi="Arial" w:cs="Arial"/>
          <w:sz w:val="20"/>
          <w:szCs w:val="20"/>
        </w:rPr>
        <w:t xml:space="preserve">ground rents </w:t>
      </w:r>
      <w:r w:rsidRPr="003367C9">
        <w:rPr>
          <w:rFonts w:ascii="Arial" w:hAnsi="Arial" w:cs="Arial"/>
          <w:sz w:val="20"/>
          <w:szCs w:val="20"/>
        </w:rPr>
        <w:t xml:space="preserve">exceeding </w:t>
      </w:r>
      <w:r w:rsidRPr="003367C9">
        <w:rPr>
          <w:rFonts w:ascii="Arial" w:hAnsi="Arial" w:cs="Arial"/>
          <w:sz w:val="20"/>
          <w:szCs w:val="20"/>
        </w:rPr>
        <w:t xml:space="preserve">£250 </w:t>
      </w:r>
      <w:r w:rsidRPr="003367C9">
        <w:rPr>
          <w:rFonts w:ascii="Arial" w:hAnsi="Arial" w:cs="Arial"/>
          <w:sz w:val="20"/>
          <w:szCs w:val="20"/>
        </w:rPr>
        <w:t>(</w:t>
      </w:r>
      <w:r w:rsidRPr="003367C9">
        <w:rPr>
          <w:rFonts w:ascii="Arial" w:hAnsi="Arial" w:cs="Arial"/>
          <w:sz w:val="20"/>
          <w:szCs w:val="20"/>
        </w:rPr>
        <w:t>or £1000 in Greater London</w:t>
      </w:r>
      <w:r w:rsidRPr="003367C9">
        <w:rPr>
          <w:rFonts w:ascii="Arial" w:hAnsi="Arial" w:cs="Arial"/>
          <w:sz w:val="20"/>
          <w:szCs w:val="20"/>
        </w:rPr>
        <w:t>)</w:t>
      </w:r>
      <w:r w:rsidRPr="003367C9">
        <w:rPr>
          <w:rFonts w:ascii="Arial" w:hAnsi="Arial" w:cs="Arial"/>
          <w:sz w:val="20"/>
          <w:szCs w:val="20"/>
        </w:rPr>
        <w:t xml:space="preserve"> could </w:t>
      </w:r>
      <w:r w:rsidRPr="003367C9">
        <w:rPr>
          <w:rFonts w:ascii="Arial" w:hAnsi="Arial" w:cs="Arial"/>
          <w:sz w:val="20"/>
          <w:szCs w:val="20"/>
        </w:rPr>
        <w:t>impact lender security (the “assured tenancy trap”).</w:t>
      </w:r>
      <w:r w:rsidRPr="003367C9">
        <w:rPr>
          <w:rFonts w:ascii="Arial" w:hAnsi="Arial" w:cs="Arial"/>
          <w:sz w:val="20"/>
          <w:szCs w:val="20"/>
        </w:rPr>
        <w:t xml:space="preserve"> </w:t>
      </w:r>
      <w:r w:rsidRPr="003367C9">
        <w:rPr>
          <w:rFonts w:ascii="Arial" w:hAnsi="Arial" w:cs="Arial"/>
          <w:sz w:val="20"/>
          <w:szCs w:val="20"/>
        </w:rPr>
        <w:t>This</w:t>
      </w:r>
      <w:r w:rsidRPr="003367C9">
        <w:rPr>
          <w:rFonts w:ascii="Arial" w:hAnsi="Arial" w:cs="Arial"/>
          <w:sz w:val="20"/>
          <w:szCs w:val="20"/>
        </w:rPr>
        <w:t xml:space="preserve"> </w:t>
      </w:r>
      <w:r w:rsidRPr="003367C9">
        <w:rPr>
          <w:rFonts w:ascii="Arial" w:hAnsi="Arial" w:cs="Arial"/>
          <w:sz w:val="20"/>
          <w:szCs w:val="20"/>
        </w:rPr>
        <w:t>issue influenced</w:t>
      </w:r>
      <w:r w:rsidRPr="003367C9">
        <w:rPr>
          <w:rFonts w:ascii="Arial" w:hAnsi="Arial" w:cs="Arial"/>
          <w:sz w:val="20"/>
          <w:szCs w:val="20"/>
        </w:rPr>
        <w:t xml:space="preserve"> lenders</w:t>
      </w:r>
      <w:r w:rsidRPr="003367C9">
        <w:rPr>
          <w:rFonts w:ascii="Arial" w:hAnsi="Arial" w:cs="Arial"/>
          <w:sz w:val="20"/>
          <w:szCs w:val="20"/>
        </w:rPr>
        <w:t>’</w:t>
      </w:r>
      <w:r w:rsidRPr="003367C9">
        <w:rPr>
          <w:rFonts w:ascii="Arial" w:hAnsi="Arial" w:cs="Arial"/>
          <w:sz w:val="20"/>
          <w:szCs w:val="20"/>
        </w:rPr>
        <w:t xml:space="preserve"> </w:t>
      </w:r>
      <w:r w:rsidRPr="003367C9">
        <w:rPr>
          <w:rFonts w:ascii="Arial" w:hAnsi="Arial" w:cs="Arial"/>
          <w:sz w:val="20"/>
          <w:szCs w:val="20"/>
        </w:rPr>
        <w:t>policies</w:t>
      </w:r>
      <w:r w:rsidRPr="003367C9">
        <w:rPr>
          <w:rFonts w:ascii="Arial" w:hAnsi="Arial" w:cs="Arial"/>
          <w:sz w:val="20"/>
          <w:szCs w:val="20"/>
        </w:rPr>
        <w:t xml:space="preserve"> but </w:t>
      </w:r>
      <w:r w:rsidRPr="003367C9">
        <w:rPr>
          <w:rFonts w:ascii="Arial" w:hAnsi="Arial" w:cs="Arial"/>
          <w:sz w:val="20"/>
          <w:szCs w:val="20"/>
        </w:rPr>
        <w:t>has</w:t>
      </w:r>
      <w:r w:rsidRPr="003367C9">
        <w:rPr>
          <w:rFonts w:ascii="Arial" w:hAnsi="Arial" w:cs="Arial"/>
          <w:sz w:val="20"/>
          <w:szCs w:val="20"/>
        </w:rPr>
        <w:t xml:space="preserve"> now</w:t>
      </w:r>
      <w:r w:rsidRPr="003367C9">
        <w:rPr>
          <w:rFonts w:ascii="Arial" w:hAnsi="Arial" w:cs="Arial"/>
          <w:sz w:val="20"/>
          <w:szCs w:val="20"/>
        </w:rPr>
        <w:t xml:space="preserve"> been </w:t>
      </w:r>
      <w:r w:rsidRPr="003367C9">
        <w:rPr>
          <w:rFonts w:ascii="Arial" w:hAnsi="Arial" w:cs="Arial"/>
          <w:sz w:val="20"/>
          <w:szCs w:val="20"/>
        </w:rPr>
        <w:t>resolved by</w:t>
      </w:r>
      <w:r w:rsidRPr="003367C9">
        <w:rPr>
          <w:rFonts w:ascii="Arial" w:hAnsi="Arial" w:cs="Arial"/>
          <w:sz w:val="20"/>
          <w:szCs w:val="20"/>
        </w:rPr>
        <w:t xml:space="preserve"> the Renters’ Rights Act 2025</w:t>
      </w:r>
      <w:r w:rsidRPr="003367C9">
        <w:rPr>
          <w:rFonts w:ascii="Arial" w:hAnsi="Arial" w:cs="Arial"/>
          <w:sz w:val="20"/>
          <w:szCs w:val="20"/>
        </w:rPr>
        <w:t>.</w:t>
      </w:r>
      <w:r w:rsidRPr="003367C9">
        <w:rPr>
          <w:rFonts w:ascii="Arial" w:hAnsi="Arial" w:cs="Arial"/>
          <w:sz w:val="20"/>
          <w:szCs w:val="20"/>
        </w:rPr>
        <w:t xml:space="preserve"> </w:t>
      </w:r>
    </w:p>
    <w:p w:rsidR="00BC1575" w:rsidRPr="00AA403F" w:rsidP="00AA403F">
      <w:pPr>
        <w:spacing w:line="259" w:lineRule="auto"/>
        <w:ind w:left="792"/>
        <w:contextualSpacing/>
        <w:jc w:val="both"/>
        <w:rPr>
          <w:rFonts w:ascii="Arial" w:hAnsi="Arial" w:cs="Arial"/>
          <w:sz w:val="20"/>
          <w:szCs w:val="20"/>
        </w:rPr>
      </w:pPr>
    </w:p>
    <w:p w:rsidR="00BC1575" w:rsidP="00A01C60">
      <w:pPr>
        <w:numPr>
          <w:ilvl w:val="1"/>
          <w:numId w:val="1"/>
        </w:numPr>
        <w:spacing w:line="259" w:lineRule="auto"/>
        <w:contextualSpacing/>
        <w:jc w:val="both"/>
        <w:rPr>
          <w:rFonts w:ascii="Arial" w:hAnsi="Arial" w:cs="Arial"/>
          <w:sz w:val="20"/>
          <w:szCs w:val="20"/>
        </w:rPr>
      </w:pPr>
      <w:r>
        <w:rPr>
          <w:rFonts w:ascii="Arial" w:hAnsi="Arial" w:cs="Arial"/>
          <w:sz w:val="20"/>
          <w:szCs w:val="20"/>
        </w:rPr>
        <w:t>T</w:t>
      </w:r>
      <w:r w:rsidRPr="002403BA">
        <w:rPr>
          <w:rFonts w:ascii="Arial" w:hAnsi="Arial" w:cs="Arial"/>
          <w:sz w:val="20"/>
          <w:szCs w:val="20"/>
        </w:rPr>
        <w:t>he impact of damaging and conflicting government rhetoric around ground rent has created uncertainty in the market</w:t>
      </w:r>
      <w:r>
        <w:rPr>
          <w:rFonts w:ascii="Arial" w:hAnsi="Arial" w:cs="Arial"/>
          <w:sz w:val="20"/>
          <w:szCs w:val="20"/>
        </w:rPr>
        <w:t xml:space="preserve"> and </w:t>
      </w:r>
      <w:r>
        <w:rPr>
          <w:rFonts w:ascii="Arial" w:hAnsi="Arial" w:cs="Arial"/>
          <w:sz w:val="20"/>
          <w:szCs w:val="20"/>
        </w:rPr>
        <w:t>driven</w:t>
      </w:r>
      <w:r>
        <w:rPr>
          <w:rFonts w:ascii="Arial" w:hAnsi="Arial" w:cs="Arial"/>
          <w:sz w:val="20"/>
          <w:szCs w:val="20"/>
        </w:rPr>
        <w:t xml:space="preserve"> mortgage lenders’ policy</w:t>
      </w:r>
      <w:r>
        <w:rPr>
          <w:rFonts w:ascii="Arial" w:hAnsi="Arial" w:cs="Arial"/>
          <w:sz w:val="20"/>
          <w:szCs w:val="20"/>
        </w:rPr>
        <w:t>.</w:t>
      </w:r>
    </w:p>
    <w:p w:rsidR="00BC1575" w:rsidP="00D0685E">
      <w:pPr>
        <w:spacing w:line="259" w:lineRule="auto"/>
        <w:contextualSpacing/>
        <w:jc w:val="both"/>
        <w:rPr>
          <w:rFonts w:ascii="Arial" w:hAnsi="Arial" w:cs="Arial"/>
          <w:sz w:val="20"/>
          <w:szCs w:val="20"/>
        </w:rPr>
      </w:pPr>
    </w:p>
    <w:p w:rsidR="00BC1575" w:rsidRPr="002403BA" w:rsidP="00D0685E">
      <w:pPr>
        <w:spacing w:line="259" w:lineRule="auto"/>
        <w:contextualSpacing/>
        <w:jc w:val="both"/>
        <w:rPr>
          <w:rFonts w:ascii="Arial" w:hAnsi="Arial" w:cs="Arial"/>
          <w:sz w:val="20"/>
          <w:szCs w:val="20"/>
        </w:rPr>
      </w:pPr>
    </w:p>
    <w:p w:rsidR="00BC1575" w:rsidRPr="00C03674" w:rsidP="0094449D">
      <w:pPr>
        <w:spacing w:line="259" w:lineRule="auto"/>
        <w:ind w:left="792"/>
        <w:contextualSpacing/>
        <w:jc w:val="both"/>
        <w:rPr>
          <w:rFonts w:ascii="Arial" w:eastAsia="Calibri" w:hAnsi="Arial" w:cs="Arial"/>
          <w:sz w:val="20"/>
          <w:szCs w:val="20"/>
        </w:rPr>
      </w:pPr>
    </w:p>
    <w:p w:rsidR="00BC1575" w:rsidRPr="00D8442F" w:rsidP="0094449D">
      <w:pPr>
        <w:numPr>
          <w:ilvl w:val="0"/>
          <w:numId w:val="1"/>
        </w:numPr>
        <w:spacing w:line="259" w:lineRule="auto"/>
        <w:contextualSpacing/>
        <w:jc w:val="both"/>
        <w:rPr>
          <w:rFonts w:ascii="Arial" w:eastAsia="Calibri" w:hAnsi="Arial" w:cs="Arial"/>
          <w:sz w:val="20"/>
          <w:szCs w:val="20"/>
        </w:rPr>
      </w:pPr>
      <w:r>
        <w:rPr>
          <w:rFonts w:ascii="Arial" w:eastAsia="Calibri" w:hAnsi="Arial" w:cs="Arial"/>
          <w:b/>
          <w:bCs/>
          <w:sz w:val="20"/>
          <w:szCs w:val="20"/>
        </w:rPr>
        <w:t>How does the draft Bill seek to address the respective property rights of leaseholders and freeholders?</w:t>
      </w:r>
    </w:p>
    <w:p w:rsidR="00BC1575" w:rsidP="0094449D">
      <w:pPr>
        <w:spacing w:line="259" w:lineRule="auto"/>
        <w:ind w:left="360"/>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8236CC">
        <w:rPr>
          <w:rFonts w:ascii="Arial" w:eastAsia="Calibri" w:hAnsi="Arial" w:cs="Arial"/>
          <w:sz w:val="20"/>
          <w:szCs w:val="20"/>
        </w:rPr>
        <w:t xml:space="preserve">The </w:t>
      </w:r>
      <w:r w:rsidRPr="00800D57">
        <w:rPr>
          <w:rFonts w:ascii="Arial" w:eastAsia="Calibri" w:hAnsi="Arial" w:cs="Arial"/>
          <w:sz w:val="20"/>
          <w:szCs w:val="20"/>
        </w:rPr>
        <w:t xml:space="preserve">proposal to cap existing ground rent represents </w:t>
      </w:r>
      <w:r w:rsidRPr="00800D57">
        <w:rPr>
          <w:rFonts w:ascii="Arial" w:eastAsia="Calibri" w:hAnsi="Arial" w:cs="Arial"/>
          <w:sz w:val="20"/>
          <w:szCs w:val="20"/>
        </w:rPr>
        <w:t>a</w:t>
      </w:r>
      <w:r>
        <w:rPr>
          <w:rFonts w:ascii="Arial" w:eastAsia="Calibri" w:hAnsi="Arial" w:cs="Arial"/>
          <w:sz w:val="20"/>
          <w:szCs w:val="20"/>
        </w:rPr>
        <w:t xml:space="preserve"> wholly</w:t>
      </w:r>
      <w:r w:rsidRPr="00800D57">
        <w:rPr>
          <w:rFonts w:ascii="Arial" w:eastAsia="Calibri" w:hAnsi="Arial" w:cs="Arial"/>
          <w:sz w:val="20"/>
          <w:szCs w:val="20"/>
        </w:rPr>
        <w:t xml:space="preserve"> unjustified and unprecedented interference with the property rights of investors.</w:t>
      </w:r>
      <w:r w:rsidRPr="00800D57">
        <w:rPr>
          <w:rFonts w:ascii="Arial" w:eastAsia="Calibri" w:hAnsi="Arial" w:cs="Arial"/>
          <w:sz w:val="20"/>
          <w:szCs w:val="20"/>
        </w:rPr>
        <w:t xml:space="preserve"> </w:t>
      </w:r>
      <w:r w:rsidRPr="002B7173">
        <w:rPr>
          <w:rFonts w:ascii="Arial" w:eastAsia="Calibri" w:hAnsi="Arial" w:cs="Arial"/>
          <w:sz w:val="20"/>
          <w:szCs w:val="20"/>
        </w:rPr>
        <w:t>Ground rent assets are held by institutional investors, including pension funds, to match long-term liabilities.</w:t>
      </w:r>
      <w:r>
        <w:rPr>
          <w:rFonts w:ascii="Arial" w:eastAsia="Calibri" w:hAnsi="Arial" w:cs="Arial"/>
          <w:sz w:val="20"/>
          <w:szCs w:val="20"/>
        </w:rPr>
        <w:t xml:space="preserve"> </w:t>
      </w:r>
      <w:r w:rsidRPr="00800D57">
        <w:rPr>
          <w:rFonts w:ascii="Arial" w:eastAsia="Calibri" w:hAnsi="Arial" w:cs="Arial"/>
          <w:sz w:val="20"/>
          <w:szCs w:val="20"/>
        </w:rPr>
        <w:t>Around £15 billion of pension fund capital is invested in ground rents.</w:t>
      </w:r>
    </w:p>
    <w:p w:rsidR="00BC1575" w:rsidP="0094449D">
      <w:pPr>
        <w:spacing w:line="259" w:lineRule="auto"/>
        <w:ind w:left="792"/>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D0685E">
        <w:rPr>
          <w:rFonts w:ascii="Arial" w:eastAsia="Calibri" w:hAnsi="Arial" w:cs="Arial"/>
          <w:sz w:val="20"/>
          <w:szCs w:val="20"/>
        </w:rPr>
        <w:t xml:space="preserve">The level of ground rent and the mechanisms by which it can increase are clearly set out in legally binding lease agreements, agreed at the point of sale between developers and original purchasers. A cap that prevents ground rents from </w:t>
      </w:r>
      <w:r w:rsidRPr="00D0685E">
        <w:rPr>
          <w:rFonts w:ascii="Arial" w:eastAsia="Calibri" w:hAnsi="Arial" w:cs="Arial"/>
          <w:sz w:val="20"/>
          <w:szCs w:val="20"/>
        </w:rPr>
        <w:t xml:space="preserve">being reviewed </w:t>
      </w:r>
      <w:r w:rsidRPr="00D0685E">
        <w:rPr>
          <w:rFonts w:ascii="Arial" w:eastAsia="Calibri" w:hAnsi="Arial" w:cs="Arial"/>
          <w:sz w:val="20"/>
          <w:szCs w:val="20"/>
        </w:rPr>
        <w:t>on the terms agreed</w:t>
      </w:r>
      <w:r w:rsidRPr="00D0685E">
        <w:rPr>
          <w:rFonts w:ascii="Arial" w:eastAsia="Calibri" w:hAnsi="Arial" w:cs="Arial"/>
          <w:sz w:val="20"/>
          <w:szCs w:val="20"/>
        </w:rPr>
        <w:t>, or reduces them, would retrospectively rewrite these contracts and fundamentally alter the value of lawful investments made in good faith</w:t>
      </w:r>
      <w:r w:rsidRPr="00D0685E">
        <w:rPr>
          <w:rFonts w:ascii="Arial" w:eastAsia="Calibri" w:hAnsi="Arial" w:cs="Arial"/>
          <w:sz w:val="20"/>
          <w:szCs w:val="20"/>
        </w:rPr>
        <w:t xml:space="preserve">. </w:t>
      </w:r>
    </w:p>
    <w:p w:rsidR="00BC1575" w:rsidRPr="00D0685E" w:rsidP="00D0685E">
      <w:pPr>
        <w:spacing w:line="259" w:lineRule="auto"/>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48686E">
        <w:rPr>
          <w:rFonts w:ascii="Arial" w:eastAsia="Calibri" w:hAnsi="Arial" w:cs="Arial"/>
          <w:sz w:val="20"/>
          <w:szCs w:val="20"/>
        </w:rPr>
        <w:t xml:space="preserve">In many instances, this cap will represent a direct </w:t>
      </w:r>
      <w:r w:rsidRPr="0048686E">
        <w:rPr>
          <w:rFonts w:ascii="Arial" w:eastAsia="Calibri" w:hAnsi="Arial" w:cs="Arial"/>
          <w:sz w:val="20"/>
          <w:szCs w:val="20"/>
        </w:rPr>
        <w:t>pensioner</w:t>
      </w:r>
      <w:r w:rsidRPr="0048686E">
        <w:rPr>
          <w:rFonts w:ascii="Arial" w:eastAsia="Calibri" w:hAnsi="Arial" w:cs="Arial"/>
          <w:sz w:val="20"/>
          <w:szCs w:val="20"/>
        </w:rPr>
        <w:t>-to-investor wealth transfer.</w:t>
      </w:r>
      <w:r w:rsidRPr="0048686E">
        <w:rPr>
          <w:rFonts w:ascii="Arial" w:eastAsia="Calibri" w:hAnsi="Arial" w:cs="Arial"/>
          <w:sz w:val="20"/>
          <w:szCs w:val="20"/>
        </w:rPr>
        <w:t xml:space="preserve"> </w:t>
      </w:r>
      <w:r w:rsidRPr="0048686E">
        <w:rPr>
          <w:rFonts w:ascii="Arial" w:eastAsia="Calibri" w:hAnsi="Arial" w:cs="Arial"/>
          <w:sz w:val="20"/>
          <w:szCs w:val="20"/>
        </w:rPr>
        <w:t>In England and Wales, non-UK-based landlords and buy-to-let investors mak</w:t>
      </w:r>
      <w:r w:rsidRPr="0048686E">
        <w:rPr>
          <w:rFonts w:ascii="Arial" w:eastAsia="Calibri" w:hAnsi="Arial" w:cs="Arial"/>
          <w:sz w:val="20"/>
          <w:szCs w:val="20"/>
        </w:rPr>
        <w:t>e up 41% of leaseholder</w:t>
      </w:r>
      <w:r>
        <w:rPr>
          <w:rFonts w:ascii="Arial" w:eastAsia="Calibri" w:hAnsi="Arial" w:cs="Arial"/>
          <w:sz w:val="20"/>
          <w:szCs w:val="20"/>
        </w:rPr>
        <w:t>s</w:t>
      </w:r>
      <w:r w:rsidRPr="0048686E">
        <w:rPr>
          <w:rFonts w:ascii="Arial" w:eastAsia="Calibri" w:hAnsi="Arial" w:cs="Arial"/>
          <w:sz w:val="20"/>
          <w:szCs w:val="20"/>
        </w:rPr>
        <w:t xml:space="preserve"> – excluding social housing, this share rises to 43%</w:t>
      </w:r>
      <w:r w:rsidRPr="0048686E">
        <w:rPr>
          <w:rFonts w:ascii="Arial" w:eastAsia="Calibri" w:hAnsi="Arial" w:cs="Arial"/>
          <w:sz w:val="20"/>
          <w:szCs w:val="20"/>
        </w:rPr>
        <w:t>.</w:t>
      </w:r>
      <w:r>
        <w:rPr>
          <w:rStyle w:val="FootnoteReference"/>
          <w:rFonts w:ascii="Arial" w:eastAsia="Calibri" w:hAnsi="Arial" w:cs="Arial"/>
          <w:sz w:val="20"/>
          <w:szCs w:val="20"/>
        </w:rPr>
        <w:footnoteReference w:id="2"/>
      </w:r>
      <w:r>
        <w:rPr>
          <w:rFonts w:ascii="Arial" w:eastAsia="Calibri" w:hAnsi="Arial" w:cs="Arial"/>
          <w:sz w:val="20"/>
          <w:szCs w:val="20"/>
        </w:rPr>
        <w:t xml:space="preserve"> </w:t>
      </w:r>
      <w:r w:rsidRPr="0048686E">
        <w:rPr>
          <w:rFonts w:ascii="Arial" w:eastAsia="Calibri" w:hAnsi="Arial" w:cs="Arial"/>
          <w:sz w:val="20"/>
          <w:szCs w:val="20"/>
        </w:rPr>
        <w:t>This risks</w:t>
      </w:r>
      <w:r w:rsidRPr="0048686E">
        <w:rPr>
          <w:rFonts w:ascii="Arial" w:eastAsia="Calibri" w:hAnsi="Arial" w:cs="Arial"/>
          <w:sz w:val="20"/>
          <w:szCs w:val="20"/>
        </w:rPr>
        <w:t xml:space="preserve"> transferring value from domestic pension investment to overseas property investors, contrary to the Government’s stated aim of protecting homeowners.</w:t>
      </w:r>
    </w:p>
    <w:p w:rsidR="00BC1575" w:rsidRPr="0048686E" w:rsidP="0048686E">
      <w:pPr>
        <w:spacing w:line="259" w:lineRule="auto"/>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hAnsi="Arial" w:cs="Arial"/>
          <w:sz w:val="20"/>
          <w:szCs w:val="20"/>
        </w:rPr>
      </w:pPr>
      <w:r w:rsidRPr="00774BE1">
        <w:rPr>
          <w:rFonts w:ascii="Arial" w:hAnsi="Arial" w:cs="Arial"/>
          <w:sz w:val="20"/>
          <w:szCs w:val="20"/>
        </w:rPr>
        <w:t xml:space="preserve">Investor confidence has already been weakened by the rhetoric surrounding these proposals, discouraging long-term capital investment and prompting several funds to suspend trading amid political and regulatory uncertainty. </w:t>
      </w:r>
      <w:r w:rsidRPr="008F38DA">
        <w:rPr>
          <w:rFonts w:ascii="Arial" w:hAnsi="Arial" w:cs="Arial"/>
          <w:sz w:val="20"/>
          <w:szCs w:val="20"/>
        </w:rPr>
        <w:t>Any retrospective intervention in established legal contracts would further undermine the assumptions underpinning investors</w:t>
      </w:r>
      <w:r>
        <w:rPr>
          <w:rFonts w:ascii="Arial" w:hAnsi="Arial" w:cs="Arial"/>
          <w:sz w:val="20"/>
          <w:szCs w:val="20"/>
        </w:rPr>
        <w:t>’</w:t>
      </w:r>
      <w:r w:rsidRPr="008F38DA">
        <w:rPr>
          <w:rFonts w:ascii="Arial" w:hAnsi="Arial" w:cs="Arial"/>
          <w:sz w:val="20"/>
          <w:szCs w:val="20"/>
        </w:rPr>
        <w:t xml:space="preserve"> decisions and introduce a new level of political risk into pension and investment portfolios, directly affecting millions of pension holders, charities, insurers and lenders, and undermining confidence not only in the leasehold sector but across the wider UK investment market. </w:t>
      </w:r>
    </w:p>
    <w:p w:rsidR="00BC1575" w:rsidRPr="00774BE1" w:rsidP="0094449D">
      <w:pPr>
        <w:spacing w:line="259" w:lineRule="auto"/>
        <w:contextualSpacing/>
        <w:jc w:val="both"/>
        <w:rPr>
          <w:rFonts w:ascii="Arial" w:hAnsi="Arial" w:cs="Arial"/>
          <w:sz w:val="20"/>
          <w:szCs w:val="20"/>
        </w:rPr>
      </w:pPr>
    </w:p>
    <w:p w:rsidR="00BC1575" w:rsidP="0094449D">
      <w:pPr>
        <w:spacing w:line="259" w:lineRule="auto"/>
        <w:contextualSpacing/>
        <w:jc w:val="both"/>
        <w:rPr>
          <w:rFonts w:ascii="Arial" w:eastAsia="Calibri" w:hAnsi="Arial" w:cs="Arial"/>
          <w:sz w:val="20"/>
          <w:szCs w:val="20"/>
        </w:rPr>
      </w:pPr>
    </w:p>
    <w:p w:rsidR="00BC1575" w:rsidRPr="00800D57" w:rsidP="0094449D">
      <w:pPr>
        <w:spacing w:line="259" w:lineRule="auto"/>
        <w:contextualSpacing/>
        <w:jc w:val="both"/>
        <w:rPr>
          <w:rFonts w:ascii="Arial" w:eastAsia="Calibri" w:hAnsi="Arial" w:cs="Arial"/>
          <w:sz w:val="20"/>
          <w:szCs w:val="20"/>
        </w:rPr>
      </w:pPr>
    </w:p>
    <w:p w:rsidR="00BC1575" w:rsidRPr="008D1519" w:rsidP="0094449D">
      <w:pPr>
        <w:numPr>
          <w:ilvl w:val="0"/>
          <w:numId w:val="1"/>
        </w:numPr>
        <w:spacing w:line="259" w:lineRule="auto"/>
        <w:contextualSpacing/>
        <w:jc w:val="both"/>
        <w:rPr>
          <w:rFonts w:ascii="Arial" w:eastAsia="Calibri" w:hAnsi="Arial" w:cs="Arial"/>
          <w:sz w:val="20"/>
          <w:szCs w:val="20"/>
        </w:rPr>
      </w:pPr>
      <w:r>
        <w:rPr>
          <w:rFonts w:ascii="Arial" w:eastAsia="Calibri" w:hAnsi="Arial" w:cs="Arial"/>
          <w:b/>
          <w:bCs/>
          <w:sz w:val="20"/>
          <w:szCs w:val="20"/>
        </w:rPr>
        <w:t>Will the draft Bill’s proposal to end the use of forfeiture against leaseholders go far enough to redress the imbalance between leaseholders and landlords when there is a breach of covenant?</w:t>
      </w:r>
    </w:p>
    <w:p w:rsidR="00BC1575" w:rsidRPr="00FE74ED" w:rsidP="0094449D">
      <w:pPr>
        <w:spacing w:line="259" w:lineRule="auto"/>
        <w:ind w:left="360"/>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8236CC">
        <w:rPr>
          <w:rFonts w:ascii="Arial" w:eastAsia="Calibri" w:hAnsi="Arial" w:cs="Arial"/>
          <w:sz w:val="20"/>
          <w:szCs w:val="20"/>
        </w:rPr>
        <w:t xml:space="preserve">The </w:t>
      </w:r>
      <w:r>
        <w:rPr>
          <w:rFonts w:ascii="Arial" w:eastAsia="Calibri" w:hAnsi="Arial" w:cs="Arial"/>
          <w:sz w:val="20"/>
          <w:szCs w:val="20"/>
        </w:rPr>
        <w:t>draft Bill will make the resolution of serious lease breaches significantly less effective for all tenures and management structures, including</w:t>
      </w:r>
      <w:r>
        <w:rPr>
          <w:rFonts w:ascii="Arial" w:eastAsia="Calibri" w:hAnsi="Arial" w:cs="Arial"/>
          <w:sz w:val="20"/>
          <w:szCs w:val="20"/>
        </w:rPr>
        <w:t xml:space="preserve"> third party investor freeholder </w:t>
      </w:r>
      <w:r>
        <w:rPr>
          <w:rFonts w:ascii="Arial" w:eastAsia="Calibri" w:hAnsi="Arial" w:cs="Arial"/>
          <w:sz w:val="20"/>
          <w:szCs w:val="20"/>
        </w:rPr>
        <w:t>and</w:t>
      </w:r>
      <w:r>
        <w:rPr>
          <w:rFonts w:ascii="Arial" w:eastAsia="Calibri" w:hAnsi="Arial" w:cs="Arial"/>
          <w:sz w:val="20"/>
          <w:szCs w:val="20"/>
        </w:rPr>
        <w:t xml:space="preserve"> resident management schemes such as</w:t>
      </w:r>
      <w:r>
        <w:rPr>
          <w:rFonts w:ascii="Arial" w:eastAsia="Calibri" w:hAnsi="Arial" w:cs="Arial"/>
          <w:sz w:val="20"/>
          <w:szCs w:val="20"/>
        </w:rPr>
        <w:t xml:space="preserve"> RTM</w:t>
      </w:r>
      <w:r>
        <w:rPr>
          <w:rFonts w:ascii="Arial" w:eastAsia="Calibri" w:hAnsi="Arial" w:cs="Arial"/>
          <w:sz w:val="20"/>
          <w:szCs w:val="20"/>
        </w:rPr>
        <w:t xml:space="preserve"> </w:t>
      </w:r>
      <w:r>
        <w:rPr>
          <w:rFonts w:ascii="Arial" w:eastAsia="Calibri" w:hAnsi="Arial" w:cs="Arial"/>
          <w:sz w:val="20"/>
          <w:szCs w:val="20"/>
        </w:rPr>
        <w:t>or</w:t>
      </w:r>
      <w:r>
        <w:rPr>
          <w:rFonts w:ascii="Arial" w:eastAsia="Calibri" w:hAnsi="Arial" w:cs="Arial"/>
          <w:sz w:val="20"/>
          <w:szCs w:val="20"/>
        </w:rPr>
        <w:t xml:space="preserve"> RMC</w:t>
      </w:r>
      <w:r>
        <w:rPr>
          <w:rFonts w:ascii="Arial" w:eastAsia="Calibri" w:hAnsi="Arial" w:cs="Arial"/>
          <w:sz w:val="20"/>
          <w:szCs w:val="20"/>
        </w:rPr>
        <w:t>.</w:t>
      </w:r>
      <w:r>
        <w:rPr>
          <w:rFonts w:ascii="Arial" w:eastAsia="Calibri" w:hAnsi="Arial" w:cs="Arial"/>
          <w:sz w:val="20"/>
          <w:szCs w:val="20"/>
        </w:rPr>
        <w:t xml:space="preserve"> </w:t>
      </w:r>
      <w:r w:rsidRPr="00C77235">
        <w:rPr>
          <w:rFonts w:ascii="Arial" w:eastAsia="Calibri" w:hAnsi="Arial" w:cs="Arial"/>
          <w:sz w:val="20"/>
          <w:szCs w:val="20"/>
        </w:rPr>
        <w:t>The ability to enforce payment of service charges and other lease obligations is relied upon not only by freeholders but also by resident-led management companies and service charge managers, whose ability to recover debts on behalf of all residents may be materially reduced.</w:t>
      </w:r>
    </w:p>
    <w:p w:rsidR="00BC1575" w:rsidP="0094449D">
      <w:pPr>
        <w:spacing w:line="259" w:lineRule="auto"/>
        <w:ind w:left="792"/>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2C9FCD0F">
        <w:rPr>
          <w:rFonts w:ascii="Arial" w:eastAsia="Calibri" w:hAnsi="Arial" w:cs="Arial"/>
          <w:sz w:val="20"/>
          <w:szCs w:val="20"/>
        </w:rPr>
        <w:t xml:space="preserve">Forfeiture represents </w:t>
      </w:r>
      <w:r w:rsidRPr="2C9FCD0F">
        <w:rPr>
          <w:rFonts w:ascii="Arial" w:eastAsia="Calibri" w:hAnsi="Arial" w:cs="Arial"/>
          <w:sz w:val="20"/>
          <w:szCs w:val="20"/>
        </w:rPr>
        <w:t>an absolute last resort to enforce lease covenant</w:t>
      </w:r>
      <w:r>
        <w:rPr>
          <w:rFonts w:ascii="Arial" w:eastAsia="Calibri" w:hAnsi="Arial" w:cs="Arial"/>
          <w:sz w:val="20"/>
          <w:szCs w:val="20"/>
        </w:rPr>
        <w:t>s</w:t>
      </w:r>
      <w:r w:rsidRPr="2C9FCD0F">
        <w:rPr>
          <w:rFonts w:ascii="Arial" w:eastAsia="Calibri" w:hAnsi="Arial" w:cs="Arial"/>
          <w:sz w:val="20"/>
          <w:szCs w:val="20"/>
        </w:rPr>
        <w:t xml:space="preserve"> and to ensure service charge funds required for the running of a building are paid and services maintained for the benefit of all residents.</w:t>
      </w:r>
      <w:r w:rsidRPr="2C9FCD0F">
        <w:rPr>
          <w:rFonts w:ascii="Arial" w:eastAsia="Calibri" w:hAnsi="Arial" w:cs="Arial"/>
          <w:sz w:val="20"/>
          <w:szCs w:val="20"/>
        </w:rPr>
        <w:t xml:space="preserve"> </w:t>
      </w:r>
      <w:r w:rsidRPr="00C77235">
        <w:rPr>
          <w:rFonts w:ascii="Arial" w:eastAsia="Calibri" w:hAnsi="Arial" w:cs="Arial"/>
          <w:sz w:val="20"/>
          <w:szCs w:val="20"/>
        </w:rPr>
        <w:t>The concern historically associated with forfeiture relates to the potential for windfall gain. The RFA emphatically opposes any windfall outcome and supports safeguards to ensure that any surplus value, net of properly incurred costs, is returned to the leaseholder.</w:t>
      </w:r>
    </w:p>
    <w:p w:rsidR="00BC1575" w:rsidRPr="00502189" w:rsidP="0094449D">
      <w:pPr>
        <w:spacing w:line="259" w:lineRule="auto"/>
        <w:contextualSpacing/>
        <w:jc w:val="both"/>
        <w:rPr>
          <w:rFonts w:ascii="Arial" w:eastAsia="Calibri" w:hAnsi="Arial" w:cs="Arial"/>
          <w:sz w:val="20"/>
          <w:szCs w:val="20"/>
        </w:rPr>
      </w:pPr>
    </w:p>
    <w:p w:rsidR="00BC1575" w:rsidP="0094449D">
      <w:pPr>
        <w:numPr>
          <w:ilvl w:val="1"/>
          <w:numId w:val="1"/>
        </w:numPr>
        <w:spacing w:line="259" w:lineRule="auto"/>
        <w:contextualSpacing/>
        <w:jc w:val="both"/>
        <w:rPr>
          <w:rFonts w:ascii="Arial" w:eastAsia="Calibri" w:hAnsi="Arial" w:cs="Arial"/>
          <w:sz w:val="20"/>
          <w:szCs w:val="20"/>
        </w:rPr>
      </w:pPr>
      <w:r w:rsidRPr="00502189">
        <w:rPr>
          <w:rFonts w:ascii="Arial" w:eastAsia="Calibri" w:hAnsi="Arial" w:cs="Arial"/>
          <w:sz w:val="20"/>
          <w:szCs w:val="20"/>
        </w:rPr>
        <w:t xml:space="preserve">In practice, </w:t>
      </w:r>
      <w:r>
        <w:rPr>
          <w:rFonts w:ascii="Arial" w:eastAsia="Calibri" w:hAnsi="Arial" w:cs="Arial"/>
          <w:sz w:val="20"/>
          <w:szCs w:val="20"/>
        </w:rPr>
        <w:t xml:space="preserve">physically forfeiting a property </w:t>
      </w:r>
      <w:r w:rsidRPr="00502189">
        <w:rPr>
          <w:rFonts w:ascii="Arial" w:eastAsia="Calibri" w:hAnsi="Arial" w:cs="Arial"/>
          <w:sz w:val="20"/>
          <w:szCs w:val="20"/>
        </w:rPr>
        <w:t>is exceptionally rare. Across</w:t>
      </w:r>
      <w:r>
        <w:rPr>
          <w:rFonts w:ascii="Arial" w:eastAsia="Calibri" w:hAnsi="Arial" w:cs="Arial"/>
          <w:sz w:val="20"/>
          <w:szCs w:val="20"/>
        </w:rPr>
        <w:t xml:space="preserve"> the</w:t>
      </w:r>
      <w:r w:rsidRPr="00502189">
        <w:rPr>
          <w:rFonts w:ascii="Arial" w:eastAsia="Calibri" w:hAnsi="Arial" w:cs="Arial"/>
          <w:sz w:val="20"/>
          <w:szCs w:val="20"/>
        </w:rPr>
        <w:t xml:space="preserve"> RFA, it occurs only in single-figure cases each year and is typically associated </w:t>
      </w:r>
      <w:r w:rsidRPr="00502189">
        <w:rPr>
          <w:rFonts w:ascii="Arial" w:eastAsia="Calibri" w:hAnsi="Arial" w:cs="Arial"/>
          <w:sz w:val="20"/>
          <w:szCs w:val="20"/>
        </w:rPr>
        <w:t xml:space="preserve">with </w:t>
      </w:r>
      <w:r>
        <w:rPr>
          <w:rFonts w:ascii="Arial" w:eastAsia="Calibri" w:hAnsi="Arial" w:cs="Arial"/>
          <w:sz w:val="20"/>
          <w:szCs w:val="20"/>
        </w:rPr>
        <w:t>abandoned</w:t>
      </w:r>
      <w:r w:rsidRPr="00502189">
        <w:rPr>
          <w:rFonts w:ascii="Arial" w:eastAsia="Calibri" w:hAnsi="Arial" w:cs="Arial"/>
          <w:sz w:val="20"/>
          <w:szCs w:val="20"/>
        </w:rPr>
        <w:t xml:space="preserve"> properties. Over a 10-year period, there have been approximately 55 cases of forfeiture across the RFA members’ combined portfolios, representing just 0.0076% of properties.</w:t>
      </w:r>
    </w:p>
    <w:p w:rsidR="00BC1575" w:rsidRPr="00502189" w:rsidP="0094449D">
      <w:pPr>
        <w:spacing w:line="259" w:lineRule="auto"/>
        <w:contextualSpacing/>
        <w:jc w:val="both"/>
        <w:rPr>
          <w:rFonts w:ascii="Arial" w:eastAsia="Calibri" w:hAnsi="Arial" w:cs="Arial"/>
          <w:sz w:val="20"/>
          <w:szCs w:val="20"/>
        </w:rPr>
      </w:pPr>
    </w:p>
    <w:p w:rsidR="00BC1575" w:rsidP="000751FA">
      <w:pPr>
        <w:numPr>
          <w:ilvl w:val="1"/>
          <w:numId w:val="1"/>
        </w:numPr>
        <w:spacing w:line="259" w:lineRule="auto"/>
        <w:contextualSpacing/>
        <w:jc w:val="both"/>
        <w:rPr>
          <w:rFonts w:ascii="Arial" w:eastAsia="Calibri" w:hAnsi="Arial" w:cs="Arial"/>
          <w:sz w:val="20"/>
          <w:szCs w:val="20"/>
        </w:rPr>
      </w:pPr>
      <w:r w:rsidRPr="00487C1A">
        <w:rPr>
          <w:rFonts w:ascii="Arial" w:eastAsia="Calibri" w:hAnsi="Arial" w:cs="Arial"/>
          <w:sz w:val="20"/>
          <w:szCs w:val="20"/>
        </w:rPr>
        <w:t xml:space="preserve">The Government’s </w:t>
      </w:r>
      <w:r w:rsidRPr="00487C1A">
        <w:rPr>
          <w:rFonts w:ascii="Arial" w:eastAsia="Calibri" w:hAnsi="Arial" w:cs="Arial"/>
          <w:sz w:val="20"/>
          <w:szCs w:val="20"/>
        </w:rPr>
        <w:t>proposed removal of forfeiture represent</w:t>
      </w:r>
      <w:r w:rsidRPr="00487C1A">
        <w:rPr>
          <w:rFonts w:ascii="Arial" w:eastAsia="Calibri" w:hAnsi="Arial" w:cs="Arial"/>
          <w:sz w:val="20"/>
          <w:szCs w:val="20"/>
        </w:rPr>
        <w:t xml:space="preserve">s </w:t>
      </w:r>
      <w:r w:rsidRPr="00487C1A">
        <w:rPr>
          <w:rFonts w:ascii="Arial" w:eastAsia="Calibri" w:hAnsi="Arial" w:cs="Arial"/>
          <w:sz w:val="20"/>
          <w:szCs w:val="20"/>
        </w:rPr>
        <w:t xml:space="preserve">a disproportionate response to </w:t>
      </w:r>
      <w:r w:rsidRPr="00487C1A">
        <w:rPr>
          <w:rFonts w:ascii="Arial" w:eastAsia="Calibri" w:hAnsi="Arial" w:cs="Arial"/>
          <w:sz w:val="20"/>
          <w:szCs w:val="20"/>
        </w:rPr>
        <w:t xml:space="preserve">a legal enforcement mechanism that is </w:t>
      </w:r>
      <w:r w:rsidRPr="00487C1A">
        <w:rPr>
          <w:rFonts w:ascii="Arial" w:eastAsia="Calibri" w:hAnsi="Arial" w:cs="Arial"/>
          <w:sz w:val="20"/>
          <w:szCs w:val="20"/>
        </w:rPr>
        <w:t xml:space="preserve">used to protect other leaseholders (particularly where criminality is involved). </w:t>
      </w:r>
      <w:r w:rsidRPr="00487C1A">
        <w:rPr>
          <w:rFonts w:ascii="Arial" w:eastAsia="Calibri" w:hAnsi="Arial" w:cs="Arial"/>
          <w:sz w:val="20"/>
          <w:szCs w:val="20"/>
        </w:rPr>
        <w:t>The Government could</w:t>
      </w:r>
      <w:r w:rsidRPr="00487C1A">
        <w:rPr>
          <w:rFonts w:ascii="Arial" w:eastAsia="Calibri" w:hAnsi="Arial" w:cs="Arial"/>
          <w:sz w:val="20"/>
          <w:szCs w:val="20"/>
        </w:rPr>
        <w:t xml:space="preserve"> instead,</w:t>
      </w:r>
      <w:r w:rsidRPr="00487C1A">
        <w:rPr>
          <w:rFonts w:ascii="Arial" w:eastAsia="Calibri" w:hAnsi="Arial" w:cs="Arial"/>
          <w:sz w:val="20"/>
          <w:szCs w:val="20"/>
        </w:rPr>
        <w:t xml:space="preserve"> for example, </w:t>
      </w:r>
      <w:r w:rsidRPr="00487C1A">
        <w:rPr>
          <w:rFonts w:ascii="Arial" w:eastAsia="Calibri" w:hAnsi="Arial" w:cs="Arial"/>
          <w:sz w:val="20"/>
          <w:szCs w:val="20"/>
        </w:rPr>
        <w:t>introduce</w:t>
      </w:r>
      <w:r w:rsidRPr="00487C1A">
        <w:rPr>
          <w:rFonts w:ascii="Arial" w:eastAsia="Calibri" w:hAnsi="Arial" w:cs="Arial"/>
          <w:sz w:val="20"/>
          <w:szCs w:val="20"/>
        </w:rPr>
        <w:t xml:space="preserve"> statutory </w:t>
      </w:r>
      <w:r w:rsidRPr="00487C1A">
        <w:rPr>
          <w:rFonts w:ascii="Arial" w:eastAsia="Calibri" w:hAnsi="Arial" w:cs="Arial"/>
          <w:sz w:val="20"/>
          <w:szCs w:val="20"/>
        </w:rPr>
        <w:t>regulation</w:t>
      </w:r>
      <w:r w:rsidRPr="00487C1A">
        <w:rPr>
          <w:rFonts w:ascii="Arial" w:eastAsia="Calibri" w:hAnsi="Arial" w:cs="Arial"/>
          <w:sz w:val="20"/>
          <w:szCs w:val="20"/>
        </w:rPr>
        <w:t xml:space="preserve"> by</w:t>
      </w:r>
      <w:r w:rsidRPr="00487C1A">
        <w:rPr>
          <w:rFonts w:ascii="Arial" w:eastAsia="Calibri" w:hAnsi="Arial" w:cs="Arial"/>
          <w:sz w:val="20"/>
          <w:szCs w:val="20"/>
        </w:rPr>
        <w:t xml:space="preserve"> enshrining best practice</w:t>
      </w:r>
      <w:r w:rsidRPr="00487C1A">
        <w:rPr>
          <w:rFonts w:ascii="Arial" w:eastAsia="Calibri" w:hAnsi="Arial" w:cs="Arial"/>
          <w:sz w:val="20"/>
          <w:szCs w:val="20"/>
        </w:rPr>
        <w:t xml:space="preserve"> </w:t>
      </w:r>
      <w:r w:rsidRPr="00487C1A">
        <w:rPr>
          <w:rFonts w:ascii="Arial" w:eastAsia="Calibri" w:hAnsi="Arial" w:cs="Arial"/>
          <w:sz w:val="20"/>
          <w:szCs w:val="20"/>
        </w:rPr>
        <w:t>that is adhered to by</w:t>
      </w:r>
      <w:r w:rsidRPr="00487C1A">
        <w:rPr>
          <w:rFonts w:ascii="Arial" w:eastAsia="Calibri" w:hAnsi="Arial" w:cs="Arial"/>
          <w:sz w:val="20"/>
          <w:szCs w:val="20"/>
        </w:rPr>
        <w:t xml:space="preserve"> professional </w:t>
      </w:r>
      <w:r w:rsidRPr="00487C1A">
        <w:rPr>
          <w:rFonts w:ascii="Arial" w:eastAsia="Calibri" w:hAnsi="Arial" w:cs="Arial"/>
          <w:sz w:val="20"/>
          <w:szCs w:val="20"/>
        </w:rPr>
        <w:t>freeholders</w:t>
      </w:r>
      <w:r w:rsidRPr="00487C1A">
        <w:rPr>
          <w:rFonts w:ascii="Arial" w:eastAsia="Calibri" w:hAnsi="Arial" w:cs="Arial"/>
          <w:sz w:val="20"/>
          <w:szCs w:val="20"/>
        </w:rPr>
        <w:t xml:space="preserve"> </w:t>
      </w:r>
      <w:r w:rsidRPr="00487C1A">
        <w:rPr>
          <w:rFonts w:ascii="Arial" w:eastAsia="Calibri" w:hAnsi="Arial" w:cs="Arial"/>
          <w:sz w:val="20"/>
          <w:szCs w:val="20"/>
        </w:rPr>
        <w:t>including the transfer of equity less costs to the previous owner, ensuring that freeholders are unable to receive a windfall.</w:t>
      </w:r>
    </w:p>
    <w:p w:rsidR="00BC1575" w:rsidRPr="00487C1A" w:rsidP="000751FA">
      <w:pPr>
        <w:spacing w:line="259" w:lineRule="auto"/>
        <w:contextualSpacing/>
        <w:jc w:val="both"/>
        <w:rPr>
          <w:rFonts w:ascii="Arial" w:eastAsia="Calibri" w:hAnsi="Arial" w:cs="Arial"/>
          <w:sz w:val="20"/>
          <w:szCs w:val="20"/>
        </w:rPr>
      </w:pPr>
    </w:p>
    <w:p w:rsidR="00BC1575" w:rsidP="00F47C4F">
      <w:pPr>
        <w:numPr>
          <w:ilvl w:val="1"/>
          <w:numId w:val="1"/>
        </w:numPr>
        <w:spacing w:line="259" w:lineRule="auto"/>
        <w:contextualSpacing/>
        <w:jc w:val="both"/>
        <w:rPr>
          <w:rFonts w:ascii="Arial" w:eastAsia="Calibri" w:hAnsi="Arial" w:cs="Arial"/>
          <w:sz w:val="20"/>
          <w:szCs w:val="20"/>
        </w:rPr>
      </w:pPr>
      <w:r>
        <w:rPr>
          <w:rFonts w:ascii="Arial" w:eastAsia="Calibri" w:hAnsi="Arial" w:cs="Arial"/>
          <w:sz w:val="20"/>
          <w:szCs w:val="20"/>
        </w:rPr>
        <w:t xml:space="preserve">The existence of forfeiture provides an ultimate enforcement backstop which is not only relied upon by freeholders and other </w:t>
      </w:r>
      <w:r>
        <w:rPr>
          <w:rFonts w:ascii="Arial" w:eastAsia="Calibri" w:hAnsi="Arial" w:cs="Arial"/>
          <w:sz w:val="20"/>
          <w:szCs w:val="20"/>
        </w:rPr>
        <w:t>leaseholders but</w:t>
      </w:r>
      <w:r>
        <w:rPr>
          <w:rFonts w:ascii="Arial" w:eastAsia="Calibri" w:hAnsi="Arial" w:cs="Arial"/>
          <w:sz w:val="20"/>
          <w:szCs w:val="20"/>
        </w:rPr>
        <w:t xml:space="preserve"> also provides mortgage lenders certainty that there is a route to guarantee the ongoing viability of the building and therefore their security. </w:t>
      </w:r>
    </w:p>
    <w:p w:rsidR="00BC1575" w:rsidRPr="009E09D4" w:rsidP="009E09D4">
      <w:pPr>
        <w:spacing w:line="259" w:lineRule="auto"/>
        <w:contextualSpacing/>
        <w:jc w:val="both"/>
        <w:rPr>
          <w:rFonts w:ascii="Arial" w:eastAsia="Calibri" w:hAnsi="Arial" w:cs="Arial"/>
          <w:sz w:val="20"/>
          <w:szCs w:val="20"/>
        </w:rPr>
      </w:pPr>
    </w:p>
    <w:p w:rsidR="00BC1575" w:rsidRPr="00F47C4F" w:rsidP="00F47C4F">
      <w:pPr>
        <w:numPr>
          <w:ilvl w:val="1"/>
          <w:numId w:val="1"/>
        </w:numPr>
        <w:spacing w:line="259" w:lineRule="auto"/>
        <w:contextualSpacing/>
        <w:jc w:val="both"/>
        <w:rPr>
          <w:rFonts w:ascii="Arial" w:eastAsia="Calibri" w:hAnsi="Arial" w:cs="Arial"/>
          <w:sz w:val="20"/>
          <w:szCs w:val="20"/>
        </w:rPr>
      </w:pPr>
      <w:r w:rsidRPr="00F47C4F">
        <w:rPr>
          <w:rFonts w:ascii="Arial" w:eastAsia="Calibri" w:hAnsi="Arial" w:cs="Arial"/>
          <w:sz w:val="20"/>
          <w:szCs w:val="20"/>
        </w:rPr>
        <w:t>The removal of forfeiture is likely to have unintended systemic consequences for the administration of justice. In the absence of a definitive enforcement endpoint, disputes may be more likely to progress through multiple stages of tribunal and court proceedings, including repeated debt claims</w:t>
      </w:r>
      <w:r w:rsidRPr="00F47C4F">
        <w:rPr>
          <w:rFonts w:ascii="Arial" w:eastAsia="Calibri" w:hAnsi="Arial" w:cs="Arial"/>
          <w:sz w:val="20"/>
          <w:szCs w:val="20"/>
        </w:rPr>
        <w:t xml:space="preserve"> and</w:t>
      </w:r>
      <w:r w:rsidRPr="00F47C4F">
        <w:rPr>
          <w:rFonts w:ascii="Arial" w:eastAsia="Calibri" w:hAnsi="Arial" w:cs="Arial"/>
          <w:sz w:val="20"/>
          <w:szCs w:val="20"/>
        </w:rPr>
        <w:t xml:space="preserve"> </w:t>
      </w:r>
      <w:r w:rsidRPr="00F47C4F">
        <w:rPr>
          <w:rFonts w:ascii="Arial" w:eastAsia="Calibri" w:hAnsi="Arial" w:cs="Arial"/>
          <w:sz w:val="20"/>
          <w:szCs w:val="20"/>
        </w:rPr>
        <w:t xml:space="preserve">enforcement applications. </w:t>
      </w:r>
      <w:r w:rsidRPr="00F47C4F">
        <w:rPr>
          <w:rFonts w:ascii="Arial" w:eastAsia="Calibri" w:hAnsi="Arial" w:cs="Arial"/>
          <w:sz w:val="20"/>
          <w:szCs w:val="20"/>
        </w:rPr>
        <w:t>This risks</w:t>
      </w:r>
      <w:r w:rsidRPr="00F47C4F">
        <w:rPr>
          <w:rFonts w:ascii="Arial" w:eastAsia="Calibri" w:hAnsi="Arial" w:cs="Arial"/>
          <w:sz w:val="20"/>
          <w:szCs w:val="20"/>
        </w:rPr>
        <w:t xml:space="preserve"> increasing both the volume and duration of litigation. </w:t>
      </w:r>
    </w:p>
    <w:p w:rsidR="00BC1575" w:rsidP="00F47C4F">
      <w:pPr>
        <w:spacing w:line="259" w:lineRule="auto"/>
        <w:ind w:left="792"/>
        <w:contextualSpacing/>
        <w:jc w:val="both"/>
        <w:rPr>
          <w:rFonts w:ascii="Arial" w:eastAsia="Calibri" w:hAnsi="Arial" w:cs="Arial"/>
          <w:sz w:val="20"/>
          <w:szCs w:val="20"/>
        </w:rPr>
      </w:pPr>
    </w:p>
    <w:p w:rsidR="00BC1575" w:rsidRPr="00DB108F" w:rsidP="0094449D">
      <w:pPr>
        <w:pStyle w:val="ListParagraph"/>
        <w:ind w:left="792"/>
        <w:jc w:val="both"/>
        <w:rPr>
          <w:rFonts w:ascii="Arial" w:eastAsia="Calibri" w:hAnsi="Arial" w:cs="Arial"/>
          <w:b/>
          <w:bCs/>
          <w:sz w:val="20"/>
          <w:szCs w:val="20"/>
        </w:rPr>
      </w:pPr>
    </w:p>
    <w:p w:rsidR="00BC1575" w:rsidP="0094449D">
      <w:pPr>
        <w:pStyle w:val="ListParagraph"/>
        <w:numPr>
          <w:ilvl w:val="0"/>
          <w:numId w:val="1"/>
        </w:numPr>
        <w:jc w:val="both"/>
        <w:rPr>
          <w:rFonts w:ascii="Arial" w:eastAsia="Calibri" w:hAnsi="Arial" w:cs="Arial"/>
          <w:b/>
          <w:bCs/>
          <w:sz w:val="20"/>
          <w:szCs w:val="20"/>
        </w:rPr>
      </w:pPr>
      <w:r w:rsidRPr="00F14D17">
        <w:rPr>
          <w:rFonts w:ascii="Arial" w:eastAsia="Calibri" w:hAnsi="Arial" w:cs="Arial"/>
          <w:b/>
          <w:bCs/>
          <w:sz w:val="20"/>
          <w:szCs w:val="20"/>
        </w:rPr>
        <w:t xml:space="preserve">Should provisions implementing the remaining recommendations of the Regulation of Property Agents: Working Group be included in the final version of this Bill? </w:t>
      </w:r>
    </w:p>
    <w:p w:rsidR="00BC1575" w:rsidP="0094449D">
      <w:pPr>
        <w:pStyle w:val="ListParagraph"/>
        <w:ind w:left="360"/>
        <w:jc w:val="both"/>
        <w:rPr>
          <w:rFonts w:ascii="Arial" w:eastAsia="Calibri" w:hAnsi="Arial" w:cs="Arial"/>
          <w:b/>
          <w:bCs/>
          <w:sz w:val="20"/>
          <w:szCs w:val="20"/>
        </w:rPr>
      </w:pPr>
    </w:p>
    <w:p w:rsidR="00BC1575" w:rsidRPr="002C57FC" w:rsidP="0094449D">
      <w:pPr>
        <w:pStyle w:val="ListParagraph"/>
        <w:numPr>
          <w:ilvl w:val="1"/>
          <w:numId w:val="1"/>
        </w:numPr>
        <w:jc w:val="both"/>
        <w:rPr>
          <w:rFonts w:ascii="Arial" w:eastAsia="Calibri" w:hAnsi="Arial" w:cs="Arial"/>
          <w:b/>
          <w:bCs/>
          <w:sz w:val="20"/>
          <w:szCs w:val="20"/>
        </w:rPr>
      </w:pPr>
      <w:r w:rsidRPr="002C57FC">
        <w:rPr>
          <w:rFonts w:ascii="Arial" w:eastAsia="Calibri" w:hAnsi="Arial" w:cs="Arial"/>
          <w:sz w:val="20"/>
          <w:szCs w:val="20"/>
        </w:rPr>
        <w:t>As a priority, the RFA believes the Government must focus on areas which have been consistently cited by leaseholders as</w:t>
      </w:r>
      <w:r w:rsidRPr="002C57FC">
        <w:rPr>
          <w:rFonts w:ascii="Arial" w:eastAsia="Calibri" w:hAnsi="Arial" w:cs="Arial"/>
          <w:sz w:val="20"/>
          <w:szCs w:val="20"/>
        </w:rPr>
        <w:t xml:space="preserve"> </w:t>
      </w:r>
      <w:r w:rsidRPr="002C57FC">
        <w:rPr>
          <w:rFonts w:ascii="Arial" w:eastAsia="Calibri" w:hAnsi="Arial" w:cs="Arial"/>
          <w:sz w:val="20"/>
          <w:szCs w:val="20"/>
        </w:rPr>
        <w:t>needing</w:t>
      </w:r>
      <w:r w:rsidRPr="002C57FC">
        <w:rPr>
          <w:rFonts w:ascii="Arial" w:eastAsia="Calibri" w:hAnsi="Arial" w:cs="Arial"/>
          <w:sz w:val="20"/>
          <w:szCs w:val="20"/>
        </w:rPr>
        <w:t xml:space="preserve"> reform. </w:t>
      </w:r>
      <w:r w:rsidRPr="002C57FC">
        <w:rPr>
          <w:rFonts w:ascii="Arial" w:eastAsia="Calibri" w:hAnsi="Arial" w:cs="Arial"/>
          <w:sz w:val="20"/>
          <w:szCs w:val="20"/>
        </w:rPr>
        <w:t>The Government’s research into leaseholder perspectives show</w:t>
      </w:r>
      <w:r>
        <w:rPr>
          <w:rFonts w:ascii="Arial" w:eastAsia="Calibri" w:hAnsi="Arial" w:cs="Arial"/>
          <w:sz w:val="20"/>
          <w:szCs w:val="20"/>
        </w:rPr>
        <w:t>s</w:t>
      </w:r>
      <w:r w:rsidRPr="002C57FC">
        <w:rPr>
          <w:rFonts w:ascii="Arial" w:eastAsia="Calibri" w:hAnsi="Arial" w:cs="Arial"/>
          <w:sz w:val="20"/>
          <w:szCs w:val="20"/>
        </w:rPr>
        <w:t xml:space="preserve"> the vast majority have positive or neutral perceptions of leasehold as a tenure.</w:t>
      </w:r>
      <w:r>
        <w:rPr>
          <w:rStyle w:val="FootnoteReference"/>
          <w:rFonts w:ascii="Arial" w:eastAsia="Calibri" w:hAnsi="Arial" w:cs="Arial"/>
          <w:sz w:val="20"/>
          <w:szCs w:val="20"/>
        </w:rPr>
        <w:footnoteReference w:id="3"/>
      </w:r>
      <w:r w:rsidRPr="002C57FC">
        <w:rPr>
          <w:rFonts w:ascii="Arial" w:eastAsia="Calibri" w:hAnsi="Arial" w:cs="Arial"/>
          <w:sz w:val="20"/>
          <w:szCs w:val="20"/>
        </w:rPr>
        <w:t xml:space="preserve"> </w:t>
      </w:r>
      <w:r w:rsidRPr="002C57FC">
        <w:rPr>
          <w:rFonts w:ascii="Arial" w:eastAsia="Calibri" w:hAnsi="Arial" w:cs="Arial"/>
          <w:sz w:val="20"/>
          <w:szCs w:val="20"/>
        </w:rPr>
        <w:t xml:space="preserve">Meanwhile, </w:t>
      </w:r>
      <w:r w:rsidRPr="002C57FC">
        <w:rPr>
          <w:rFonts w:ascii="Arial" w:eastAsia="Calibri" w:hAnsi="Arial" w:cs="Arial"/>
          <w:sz w:val="20"/>
          <w:szCs w:val="20"/>
        </w:rPr>
        <w:t xml:space="preserve">service charge </w:t>
      </w:r>
      <w:r>
        <w:rPr>
          <w:rFonts w:ascii="Arial" w:eastAsia="Calibri" w:hAnsi="Arial" w:cs="Arial"/>
          <w:sz w:val="20"/>
          <w:szCs w:val="20"/>
        </w:rPr>
        <w:t xml:space="preserve">is consistently cited </w:t>
      </w:r>
      <w:r w:rsidRPr="002C57FC">
        <w:rPr>
          <w:rFonts w:ascii="Arial" w:eastAsia="Calibri" w:hAnsi="Arial" w:cs="Arial"/>
          <w:sz w:val="20"/>
          <w:szCs w:val="20"/>
        </w:rPr>
        <w:t>as</w:t>
      </w:r>
      <w:r w:rsidRPr="002C57FC">
        <w:rPr>
          <w:rFonts w:ascii="Arial" w:eastAsia="Calibri" w:hAnsi="Arial" w:cs="Arial"/>
          <w:sz w:val="20"/>
          <w:szCs w:val="20"/>
        </w:rPr>
        <w:t xml:space="preserve"> a key concern. The small minority that expressed a desire to take over management of their own block did so under the impression that their service charges w</w:t>
      </w:r>
      <w:r>
        <w:rPr>
          <w:rFonts w:ascii="Arial" w:eastAsia="Calibri" w:hAnsi="Arial" w:cs="Arial"/>
          <w:sz w:val="20"/>
          <w:szCs w:val="20"/>
        </w:rPr>
        <w:t xml:space="preserve">ould </w:t>
      </w:r>
      <w:r w:rsidRPr="002C57FC">
        <w:rPr>
          <w:rFonts w:ascii="Arial" w:eastAsia="Calibri" w:hAnsi="Arial" w:cs="Arial"/>
          <w:sz w:val="20"/>
          <w:szCs w:val="20"/>
        </w:rPr>
        <w:t>somehow be “slashed”</w:t>
      </w:r>
      <w:r>
        <w:rPr>
          <w:rFonts w:ascii="Arial" w:eastAsia="Calibri" w:hAnsi="Arial" w:cs="Arial"/>
          <w:sz w:val="20"/>
          <w:szCs w:val="20"/>
        </w:rPr>
        <w:t xml:space="preserve"> – despite service charge being a tenure agnostic aspect of multi-occupancy living. </w:t>
      </w:r>
    </w:p>
    <w:p w:rsidR="00BC1575" w:rsidRPr="004E210D" w:rsidP="0094449D">
      <w:pPr>
        <w:pStyle w:val="ListParagraph"/>
        <w:ind w:left="792"/>
        <w:jc w:val="both"/>
        <w:rPr>
          <w:rFonts w:ascii="Arial" w:eastAsia="Calibri" w:hAnsi="Arial" w:cs="Arial"/>
          <w:b/>
          <w:bCs/>
          <w:sz w:val="20"/>
          <w:szCs w:val="20"/>
        </w:rPr>
      </w:pPr>
    </w:p>
    <w:p w:rsidR="00BC1575" w:rsidRPr="0019191D" w:rsidP="0094449D">
      <w:pPr>
        <w:pStyle w:val="ListParagraph"/>
        <w:numPr>
          <w:ilvl w:val="1"/>
          <w:numId w:val="1"/>
        </w:numPr>
        <w:jc w:val="both"/>
        <w:rPr>
          <w:rFonts w:ascii="Arial" w:eastAsia="Calibri" w:hAnsi="Arial" w:cs="Arial"/>
          <w:b/>
          <w:bCs/>
          <w:sz w:val="20"/>
          <w:szCs w:val="20"/>
        </w:rPr>
      </w:pPr>
      <w:r w:rsidRPr="004E210D">
        <w:rPr>
          <w:rFonts w:ascii="Arial" w:hAnsi="Arial" w:cs="Arial"/>
          <w:sz w:val="20"/>
          <w:szCs w:val="20"/>
        </w:rPr>
        <w:t xml:space="preserve">RFA members have advocated for </w:t>
      </w:r>
      <w:r w:rsidRPr="004E210D">
        <w:rPr>
          <w:rFonts w:ascii="Arial" w:hAnsi="Arial" w:cs="Arial"/>
          <w:sz w:val="20"/>
          <w:szCs w:val="20"/>
        </w:rPr>
        <w:t>the regulation of managing agents</w:t>
      </w:r>
      <w:r>
        <w:rPr>
          <w:rFonts w:ascii="Arial" w:hAnsi="Arial" w:cs="Arial"/>
          <w:sz w:val="20"/>
          <w:szCs w:val="20"/>
        </w:rPr>
        <w:t xml:space="preserve"> </w:t>
      </w:r>
      <w:r w:rsidRPr="004E210D">
        <w:rPr>
          <w:rFonts w:ascii="Arial" w:hAnsi="Arial" w:cs="Arial"/>
          <w:sz w:val="20"/>
          <w:szCs w:val="20"/>
        </w:rPr>
        <w:t>since the publication of Lord Best’s ROPA report in 201</w:t>
      </w:r>
      <w:r>
        <w:rPr>
          <w:rFonts w:ascii="Arial" w:hAnsi="Arial" w:cs="Arial"/>
          <w:sz w:val="20"/>
          <w:szCs w:val="20"/>
        </w:rPr>
        <w:t>9,</w:t>
      </w:r>
      <w:r w:rsidRPr="004E210D">
        <w:rPr>
          <w:rFonts w:ascii="Arial" w:hAnsi="Arial" w:cs="Arial"/>
          <w:sz w:val="20"/>
          <w:szCs w:val="20"/>
        </w:rPr>
        <w:t xml:space="preserve"> which will improve transparency and accuracy in service charge statements</w:t>
      </w:r>
      <w:r>
        <w:rPr>
          <w:rFonts w:ascii="Arial" w:hAnsi="Arial" w:cs="Arial"/>
          <w:sz w:val="20"/>
          <w:szCs w:val="20"/>
        </w:rPr>
        <w:t xml:space="preserve">. </w:t>
      </w:r>
      <w:r w:rsidRPr="0019191D">
        <w:rPr>
          <w:rFonts w:ascii="Arial" w:eastAsia="Calibri" w:hAnsi="Arial" w:cs="Arial"/>
          <w:sz w:val="20"/>
          <w:szCs w:val="20"/>
        </w:rPr>
        <w:t>All managing agents should</w:t>
      </w:r>
      <w:r w:rsidRPr="0019191D">
        <w:rPr>
          <w:rFonts w:ascii="Arial" w:eastAsia="Calibri" w:hAnsi="Arial" w:cs="Arial"/>
          <w:sz w:val="20"/>
          <w:szCs w:val="20"/>
        </w:rPr>
        <w:t xml:space="preserve"> </w:t>
      </w:r>
      <w:r w:rsidRPr="0019191D">
        <w:rPr>
          <w:rFonts w:ascii="Arial" w:eastAsia="Calibri" w:hAnsi="Arial" w:cs="Arial"/>
          <w:sz w:val="20"/>
          <w:szCs w:val="20"/>
        </w:rPr>
        <w:t xml:space="preserve">be required to hold membership of a regulatory body that promotes professionalism and high standards and has the power to </w:t>
      </w:r>
      <w:r w:rsidRPr="0019191D">
        <w:rPr>
          <w:rFonts w:ascii="Arial" w:eastAsia="Calibri" w:hAnsi="Arial" w:cs="Arial"/>
          <w:sz w:val="20"/>
          <w:szCs w:val="20"/>
        </w:rPr>
        <w:t xml:space="preserve">enforce against its members when these are not met. A register of managing agents should also be created - this would be consistent with other regulatory/redress systems. </w:t>
      </w:r>
    </w:p>
    <w:p w:rsidR="00BC1575" w:rsidP="0094449D">
      <w:pPr>
        <w:pStyle w:val="ListParagraph"/>
        <w:ind w:left="792"/>
        <w:jc w:val="both"/>
        <w:rPr>
          <w:rFonts w:ascii="Arial" w:eastAsia="Calibri" w:hAnsi="Arial" w:cs="Arial"/>
          <w:sz w:val="20"/>
          <w:szCs w:val="20"/>
        </w:rPr>
      </w:pPr>
    </w:p>
    <w:p w:rsidR="00BC1575" w:rsidRPr="005D4752" w:rsidP="0094449D">
      <w:pPr>
        <w:pStyle w:val="ListParagraph"/>
        <w:numPr>
          <w:ilvl w:val="1"/>
          <w:numId w:val="1"/>
        </w:numPr>
        <w:jc w:val="both"/>
        <w:rPr>
          <w:rFonts w:ascii="Arial" w:eastAsia="Calibri" w:hAnsi="Arial" w:cs="Arial"/>
          <w:sz w:val="20"/>
          <w:szCs w:val="20"/>
        </w:rPr>
      </w:pPr>
      <w:r w:rsidRPr="001E0466">
        <w:rPr>
          <w:rFonts w:ascii="Arial" w:hAnsi="Arial" w:cs="Arial"/>
          <w:sz w:val="20"/>
          <w:szCs w:val="20"/>
        </w:rPr>
        <w:t xml:space="preserve">In addition, all managing agents should have a mix of qualified and accredited employees to ensure they have the knowledge and technical ability required to provide a good service to residents. </w:t>
      </w:r>
      <w:r w:rsidRPr="0019191D">
        <w:rPr>
          <w:rFonts w:ascii="Arial" w:hAnsi="Arial" w:cs="Arial"/>
          <w:sz w:val="20"/>
          <w:szCs w:val="20"/>
        </w:rPr>
        <w:t xml:space="preserve">Implementing a licensing system would be beneficial, allowing managing agents to be certified at different levels based on their expertise. </w:t>
      </w:r>
    </w:p>
    <w:p w:rsidR="00BC1575" w:rsidRPr="005D4752" w:rsidP="0094449D">
      <w:pPr>
        <w:pStyle w:val="ListParagraph"/>
        <w:jc w:val="both"/>
        <w:rPr>
          <w:rFonts w:ascii="Arial" w:eastAsia="Calibri" w:hAnsi="Arial" w:cs="Arial"/>
          <w:sz w:val="20"/>
          <w:szCs w:val="20"/>
        </w:rPr>
      </w:pPr>
    </w:p>
    <w:p w:rsidR="00BC1575" w:rsidP="00F47C4F">
      <w:pPr>
        <w:pStyle w:val="ListParagraph"/>
        <w:numPr>
          <w:ilvl w:val="1"/>
          <w:numId w:val="1"/>
        </w:numPr>
        <w:jc w:val="both"/>
        <w:rPr>
          <w:rFonts w:ascii="Arial" w:eastAsia="Calibri" w:hAnsi="Arial" w:cs="Arial"/>
          <w:sz w:val="20"/>
          <w:szCs w:val="20"/>
        </w:rPr>
      </w:pPr>
      <w:r w:rsidRPr="2C9FCD0F">
        <w:rPr>
          <w:rFonts w:ascii="Arial" w:eastAsia="Calibri" w:hAnsi="Arial" w:cs="Arial"/>
          <w:sz w:val="20"/>
          <w:szCs w:val="20"/>
        </w:rPr>
        <w:t xml:space="preserve">Achieving </w:t>
      </w:r>
      <w:r w:rsidRPr="2C9FCD0F">
        <w:rPr>
          <w:rFonts w:ascii="Arial" w:eastAsia="Calibri" w:hAnsi="Arial" w:cs="Arial"/>
          <w:sz w:val="20"/>
          <w:szCs w:val="20"/>
        </w:rPr>
        <w:t xml:space="preserve">the </w:t>
      </w:r>
      <w:r>
        <w:rPr>
          <w:rFonts w:ascii="Arial" w:eastAsia="Calibri" w:hAnsi="Arial" w:cs="Arial"/>
          <w:sz w:val="20"/>
          <w:szCs w:val="20"/>
        </w:rPr>
        <w:t>above</w:t>
      </w:r>
      <w:r w:rsidRPr="2C9FCD0F">
        <w:rPr>
          <w:rFonts w:ascii="Arial" w:eastAsia="Calibri" w:hAnsi="Arial" w:cs="Arial"/>
          <w:sz w:val="20"/>
          <w:szCs w:val="20"/>
        </w:rPr>
        <w:t xml:space="preserve"> </w:t>
      </w:r>
      <w:r w:rsidRPr="2C9FCD0F">
        <w:rPr>
          <w:rFonts w:ascii="Arial" w:eastAsia="Calibri" w:hAnsi="Arial" w:cs="Arial"/>
          <w:sz w:val="20"/>
          <w:szCs w:val="20"/>
        </w:rPr>
        <w:t>measures</w:t>
      </w:r>
      <w:r w:rsidRPr="2C9FCD0F">
        <w:rPr>
          <w:rFonts w:ascii="Arial" w:eastAsia="Calibri" w:hAnsi="Arial" w:cs="Arial"/>
          <w:sz w:val="20"/>
          <w:szCs w:val="20"/>
        </w:rPr>
        <w:t xml:space="preserve"> </w:t>
      </w:r>
      <w:r w:rsidRPr="2C9FCD0F">
        <w:rPr>
          <w:rFonts w:ascii="Arial" w:eastAsia="Calibri" w:hAnsi="Arial" w:cs="Arial"/>
          <w:sz w:val="20"/>
          <w:szCs w:val="20"/>
        </w:rPr>
        <w:t xml:space="preserve">will not align with the draft Bill and </w:t>
      </w:r>
      <w:r>
        <w:rPr>
          <w:rFonts w:ascii="Arial" w:eastAsia="Calibri" w:hAnsi="Arial" w:cs="Arial"/>
          <w:sz w:val="20"/>
          <w:szCs w:val="20"/>
        </w:rPr>
        <w:t>the impacts</w:t>
      </w:r>
      <w:r w:rsidRPr="2C9FCD0F">
        <w:rPr>
          <w:rFonts w:ascii="Arial" w:eastAsia="Calibri" w:hAnsi="Arial" w:cs="Arial"/>
          <w:sz w:val="20"/>
          <w:szCs w:val="20"/>
        </w:rPr>
        <w:t xml:space="preserve"> </w:t>
      </w:r>
      <w:r w:rsidRPr="2C9FCD0F">
        <w:rPr>
          <w:rFonts w:ascii="Arial" w:eastAsia="Calibri" w:hAnsi="Arial" w:cs="Arial"/>
          <w:sz w:val="20"/>
          <w:szCs w:val="20"/>
        </w:rPr>
        <w:t xml:space="preserve">of landlord </w:t>
      </w:r>
      <w:r w:rsidRPr="2C9FCD0F">
        <w:rPr>
          <w:rFonts w:ascii="Arial" w:eastAsia="Calibri" w:hAnsi="Arial" w:cs="Arial"/>
          <w:sz w:val="20"/>
          <w:szCs w:val="20"/>
        </w:rPr>
        <w:t xml:space="preserve">insolvency </w:t>
      </w:r>
      <w:r w:rsidRPr="2C9FCD0F">
        <w:rPr>
          <w:rFonts w:ascii="Arial" w:eastAsia="Calibri" w:hAnsi="Arial" w:cs="Arial"/>
          <w:sz w:val="20"/>
          <w:szCs w:val="20"/>
        </w:rPr>
        <w:t>following a ground rent cap</w:t>
      </w:r>
      <w:r w:rsidRPr="2C9FCD0F">
        <w:rPr>
          <w:rFonts w:ascii="Arial" w:eastAsia="Calibri" w:hAnsi="Arial" w:cs="Arial"/>
          <w:sz w:val="20"/>
          <w:szCs w:val="20"/>
        </w:rPr>
        <w:t xml:space="preserve">. </w:t>
      </w:r>
      <w:r w:rsidRPr="2C9FCD0F">
        <w:rPr>
          <w:rFonts w:ascii="Arial" w:eastAsia="Calibri" w:hAnsi="Arial" w:cs="Arial"/>
          <w:sz w:val="20"/>
          <w:szCs w:val="20"/>
        </w:rPr>
        <w:t>Managing agents act under instruction from the freeholder. Insolvency</w:t>
      </w:r>
      <w:r>
        <w:rPr>
          <w:rFonts w:ascii="Arial" w:eastAsia="Calibri" w:hAnsi="Arial" w:cs="Arial"/>
          <w:sz w:val="20"/>
          <w:szCs w:val="20"/>
        </w:rPr>
        <w:t xml:space="preserve"> would</w:t>
      </w:r>
      <w:r w:rsidRPr="2C9FCD0F">
        <w:rPr>
          <w:rFonts w:ascii="Arial" w:eastAsia="Calibri" w:hAnsi="Arial" w:cs="Arial"/>
          <w:sz w:val="20"/>
          <w:szCs w:val="20"/>
        </w:rPr>
        <w:t xml:space="preserve"> </w:t>
      </w:r>
      <w:r>
        <w:rPr>
          <w:rFonts w:ascii="Arial" w:eastAsia="Calibri" w:hAnsi="Arial" w:cs="Arial"/>
          <w:sz w:val="20"/>
          <w:szCs w:val="20"/>
        </w:rPr>
        <w:t xml:space="preserve">therefore </w:t>
      </w:r>
      <w:r w:rsidRPr="2C9FCD0F">
        <w:rPr>
          <w:rFonts w:ascii="Arial" w:eastAsia="Calibri" w:hAnsi="Arial" w:cs="Arial"/>
          <w:sz w:val="20"/>
          <w:szCs w:val="20"/>
        </w:rPr>
        <w:t>create immediate uncertainty over who has authority to give instructions, whether contracts remain valid, and whether managing agents can lawfully continue operating.</w:t>
      </w:r>
    </w:p>
    <w:p w:rsidR="00BC1575" w:rsidRPr="00F47C4F" w:rsidP="00F47C4F">
      <w:pPr>
        <w:jc w:val="both"/>
        <w:rPr>
          <w:rFonts w:ascii="Arial" w:eastAsia="Calibri" w:hAnsi="Arial" w:cs="Arial"/>
          <w:sz w:val="20"/>
          <w:szCs w:val="20"/>
        </w:rPr>
      </w:pPr>
    </w:p>
    <w:p w:rsidR="00BC1575" w:rsidP="0094449D">
      <w:pPr>
        <w:pStyle w:val="ListParagraph"/>
        <w:numPr>
          <w:ilvl w:val="0"/>
          <w:numId w:val="1"/>
        </w:numPr>
        <w:jc w:val="both"/>
        <w:rPr>
          <w:rFonts w:ascii="Arial" w:eastAsia="Calibri" w:hAnsi="Arial" w:cs="Arial"/>
          <w:b/>
          <w:bCs/>
          <w:sz w:val="20"/>
          <w:szCs w:val="20"/>
        </w:rPr>
      </w:pPr>
      <w:r w:rsidRPr="00FD2F17">
        <w:rPr>
          <w:rFonts w:ascii="Arial" w:eastAsia="Calibri" w:hAnsi="Arial" w:cs="Arial"/>
          <w:b/>
          <w:bCs/>
          <w:sz w:val="20"/>
          <w:szCs w:val="20"/>
        </w:rPr>
        <w:t xml:space="preserve">What would be the consequences of converting to commonhold for leaseholders in blocks with building safety defects? </w:t>
      </w:r>
    </w:p>
    <w:p w:rsidR="00BC1575" w:rsidP="0094449D">
      <w:pPr>
        <w:pStyle w:val="ListParagraph"/>
        <w:ind w:left="360"/>
        <w:jc w:val="both"/>
        <w:rPr>
          <w:rFonts w:ascii="Arial" w:eastAsia="Calibri" w:hAnsi="Arial" w:cs="Arial"/>
          <w:b/>
          <w:bCs/>
          <w:sz w:val="20"/>
          <w:szCs w:val="20"/>
        </w:rPr>
      </w:pPr>
    </w:p>
    <w:p w:rsidR="00BC1575" w:rsidP="0094449D">
      <w:pPr>
        <w:pStyle w:val="ListParagraph"/>
        <w:numPr>
          <w:ilvl w:val="1"/>
          <w:numId w:val="1"/>
        </w:numPr>
        <w:jc w:val="both"/>
        <w:rPr>
          <w:rFonts w:ascii="Arial" w:eastAsia="Calibri" w:hAnsi="Arial" w:cs="Arial"/>
          <w:sz w:val="20"/>
          <w:szCs w:val="20"/>
        </w:rPr>
      </w:pPr>
      <w:r w:rsidRPr="2C9FCD0F">
        <w:rPr>
          <w:rFonts w:ascii="Arial" w:eastAsia="Calibri" w:hAnsi="Arial" w:cs="Arial"/>
          <w:sz w:val="20"/>
          <w:szCs w:val="20"/>
        </w:rPr>
        <w:t xml:space="preserve">The Committee </w:t>
      </w:r>
      <w:r w:rsidRPr="2C9FCD0F">
        <w:rPr>
          <w:rFonts w:ascii="Arial" w:eastAsia="Calibri" w:hAnsi="Arial" w:cs="Arial"/>
          <w:sz w:val="20"/>
          <w:szCs w:val="20"/>
        </w:rPr>
        <w:t xml:space="preserve">needs to be clear </w:t>
      </w:r>
      <w:r w:rsidRPr="2C9FCD0F">
        <w:rPr>
          <w:rFonts w:ascii="Arial" w:eastAsia="Calibri" w:hAnsi="Arial" w:cs="Arial"/>
          <w:sz w:val="20"/>
          <w:szCs w:val="20"/>
        </w:rPr>
        <w:t>on the incompatibility of this Bill with existing building safety legislation. A</w:t>
      </w:r>
      <w:r w:rsidRPr="2C9FCD0F">
        <w:rPr>
          <w:rFonts w:ascii="Arial" w:eastAsia="Calibri" w:hAnsi="Arial" w:cs="Arial"/>
          <w:sz w:val="20"/>
          <w:szCs w:val="20"/>
        </w:rPr>
        <w:t xml:space="preserve"> ground rent cap will drive into insolvency the very parties which the Government is relying on to deliver building safety remediation. </w:t>
      </w:r>
      <w:r w:rsidRPr="2C9FCD0F">
        <w:rPr>
          <w:rFonts w:ascii="Arial" w:eastAsia="Calibri" w:hAnsi="Arial" w:cs="Arial"/>
          <w:sz w:val="20"/>
          <w:szCs w:val="20"/>
        </w:rPr>
        <w:t xml:space="preserve">The remediation programme currently </w:t>
      </w:r>
      <w:r w:rsidRPr="2C9FCD0F">
        <w:rPr>
          <w:rFonts w:ascii="Arial" w:eastAsia="Calibri" w:hAnsi="Arial" w:cs="Arial"/>
          <w:sz w:val="20"/>
          <w:szCs w:val="20"/>
        </w:rPr>
        <w:t>covers approximately 9,000 to 12,000 buildings and carries an estimated cost of between £12.6 billion and £22.4 billion.</w:t>
      </w:r>
      <w:r>
        <w:rPr>
          <w:rStyle w:val="FootnoteReference"/>
          <w:rFonts w:ascii="Arial" w:eastAsia="Calibri" w:hAnsi="Arial" w:cs="Arial"/>
          <w:sz w:val="20"/>
          <w:szCs w:val="20"/>
        </w:rPr>
        <w:footnoteReference w:id="4"/>
      </w:r>
      <w:r w:rsidRPr="2C9FCD0F">
        <w:rPr>
          <w:rFonts w:ascii="Arial" w:eastAsia="Calibri" w:hAnsi="Arial" w:cs="Arial"/>
          <w:sz w:val="20"/>
          <w:szCs w:val="20"/>
        </w:rPr>
        <w:t xml:space="preserve"> Widespread insolvency among professional freeholders would place delivery of this programme at immediate risk.</w:t>
      </w:r>
    </w:p>
    <w:p w:rsidR="00BC1575" w:rsidP="0094449D">
      <w:pPr>
        <w:pStyle w:val="ListParagraph"/>
        <w:ind w:left="792"/>
        <w:jc w:val="both"/>
        <w:rPr>
          <w:rFonts w:ascii="Arial" w:eastAsia="Calibri" w:hAnsi="Arial" w:cs="Arial"/>
          <w:sz w:val="20"/>
          <w:szCs w:val="20"/>
        </w:rPr>
      </w:pPr>
    </w:p>
    <w:p w:rsidR="00BC1575" w:rsidRPr="000A10A8" w:rsidP="0094449D">
      <w:pPr>
        <w:pStyle w:val="ListParagraph"/>
        <w:numPr>
          <w:ilvl w:val="1"/>
          <w:numId w:val="1"/>
        </w:numPr>
        <w:jc w:val="both"/>
        <w:rPr>
          <w:rFonts w:ascii="Arial" w:eastAsia="Calibri" w:hAnsi="Arial" w:cs="Arial"/>
          <w:sz w:val="20"/>
          <w:szCs w:val="20"/>
        </w:rPr>
      </w:pPr>
      <w:r w:rsidRPr="2C9FCD0F">
        <w:rPr>
          <w:rFonts w:ascii="Arial" w:eastAsia="Calibri" w:hAnsi="Arial" w:cs="Arial"/>
          <w:sz w:val="20"/>
          <w:szCs w:val="20"/>
        </w:rPr>
        <w:t xml:space="preserve">Under the Building Safety Act 2022, freeholders play a critical role in commissioning, funding and overseeing remediation works, as well as </w:t>
      </w:r>
      <w:r w:rsidRPr="2C9FCD0F">
        <w:rPr>
          <w:rFonts w:ascii="Arial" w:eastAsia="Calibri" w:hAnsi="Arial" w:cs="Arial"/>
          <w:sz w:val="20"/>
          <w:szCs w:val="20"/>
        </w:rPr>
        <w:t>entering into</w:t>
      </w:r>
      <w:r w:rsidRPr="2C9FCD0F">
        <w:rPr>
          <w:rFonts w:ascii="Arial" w:eastAsia="Calibri" w:hAnsi="Arial" w:cs="Arial"/>
          <w:sz w:val="20"/>
          <w:szCs w:val="20"/>
        </w:rPr>
        <w:t xml:space="preserve"> and complying with Government-backed Grant Funding Agreements (GFAs).</w:t>
      </w:r>
      <w:r w:rsidRPr="2C9FCD0F">
        <w:rPr>
          <w:rFonts w:ascii="Arial" w:eastAsia="Calibri" w:hAnsi="Arial" w:cs="Arial"/>
          <w:sz w:val="20"/>
          <w:szCs w:val="20"/>
        </w:rPr>
        <w:t xml:space="preserve"> </w:t>
      </w:r>
      <w:r w:rsidRPr="2C9FCD0F">
        <w:rPr>
          <w:rFonts w:ascii="Arial" w:eastAsia="Calibri" w:hAnsi="Arial" w:cs="Arial"/>
          <w:sz w:val="20"/>
          <w:szCs w:val="20"/>
        </w:rPr>
        <w:t xml:space="preserve">Insolvency removes a freeholder’s ability to contract, pre-fund works or fulfil statutory and contractual obligations, even where remediation funding is theoretically available. Contractors </w:t>
      </w:r>
      <w:r w:rsidRPr="2C9FCD0F">
        <w:rPr>
          <w:rFonts w:ascii="Arial" w:eastAsia="Calibri" w:hAnsi="Arial" w:cs="Arial"/>
          <w:sz w:val="20"/>
          <w:szCs w:val="20"/>
        </w:rPr>
        <w:t>will not</w:t>
      </w:r>
      <w:r w:rsidRPr="2C9FCD0F">
        <w:rPr>
          <w:rFonts w:ascii="Arial" w:eastAsia="Calibri" w:hAnsi="Arial" w:cs="Arial"/>
          <w:sz w:val="20"/>
          <w:szCs w:val="20"/>
        </w:rPr>
        <w:t xml:space="preserve"> work for an insolvent landlord, leading to the immediate suspension of cladding remediation and other safety-critical works.</w:t>
      </w:r>
    </w:p>
    <w:p w:rsidR="00BC1575" w:rsidP="0094449D">
      <w:pPr>
        <w:pStyle w:val="ListParagraph"/>
        <w:ind w:left="792"/>
        <w:jc w:val="both"/>
        <w:rPr>
          <w:rFonts w:ascii="Arial" w:eastAsia="Calibri" w:hAnsi="Arial" w:cs="Arial"/>
          <w:sz w:val="20"/>
          <w:szCs w:val="20"/>
        </w:rPr>
      </w:pPr>
    </w:p>
    <w:p w:rsidR="00BC1575" w:rsidP="0094449D">
      <w:pPr>
        <w:pStyle w:val="ListParagraph"/>
        <w:numPr>
          <w:ilvl w:val="1"/>
          <w:numId w:val="1"/>
        </w:numPr>
        <w:jc w:val="both"/>
        <w:rPr>
          <w:rFonts w:ascii="Arial" w:eastAsia="Calibri" w:hAnsi="Arial" w:cs="Arial"/>
          <w:sz w:val="20"/>
          <w:szCs w:val="20"/>
        </w:rPr>
      </w:pPr>
      <w:r w:rsidRPr="00E16323">
        <w:rPr>
          <w:rFonts w:ascii="Arial" w:eastAsia="Calibri" w:hAnsi="Arial" w:cs="Arial"/>
          <w:sz w:val="20"/>
          <w:szCs w:val="20"/>
        </w:rPr>
        <w:t xml:space="preserve">As a result, statutory responsibilities increasingly fall back onto leaseholders, many of whom are unable to fund </w:t>
      </w:r>
      <w:r>
        <w:rPr>
          <w:rFonts w:ascii="Arial" w:eastAsia="Calibri" w:hAnsi="Arial" w:cs="Arial"/>
          <w:sz w:val="20"/>
          <w:szCs w:val="20"/>
        </w:rPr>
        <w:t xml:space="preserve">or help oversee </w:t>
      </w:r>
      <w:r w:rsidRPr="00E16323">
        <w:rPr>
          <w:rFonts w:ascii="Arial" w:eastAsia="Calibri" w:hAnsi="Arial" w:cs="Arial"/>
          <w:sz w:val="20"/>
          <w:szCs w:val="20"/>
        </w:rPr>
        <w:t xml:space="preserve">remediation personally. This leads to prolonged non-compliance, stalled </w:t>
      </w:r>
      <w:r w:rsidRPr="00E16323">
        <w:rPr>
          <w:rFonts w:ascii="Arial" w:eastAsia="Calibri" w:hAnsi="Arial" w:cs="Arial"/>
          <w:sz w:val="20"/>
          <w:szCs w:val="20"/>
        </w:rPr>
        <w:t>remediation</w:t>
      </w:r>
      <w:r>
        <w:rPr>
          <w:rFonts w:ascii="Arial" w:eastAsia="Calibri" w:hAnsi="Arial" w:cs="Arial"/>
          <w:sz w:val="20"/>
          <w:szCs w:val="20"/>
        </w:rPr>
        <w:t>,</w:t>
      </w:r>
      <w:r w:rsidRPr="00E16323">
        <w:rPr>
          <w:rFonts w:ascii="Arial" w:eastAsia="Calibri" w:hAnsi="Arial" w:cs="Arial"/>
          <w:sz w:val="20"/>
          <w:szCs w:val="20"/>
        </w:rPr>
        <w:t xml:space="preserve"> heightened</w:t>
      </w:r>
      <w:r w:rsidRPr="00E16323">
        <w:rPr>
          <w:rFonts w:ascii="Arial" w:eastAsia="Calibri" w:hAnsi="Arial" w:cs="Arial"/>
          <w:sz w:val="20"/>
          <w:szCs w:val="20"/>
        </w:rPr>
        <w:t xml:space="preserve"> building safety risks</w:t>
      </w:r>
      <w:r>
        <w:rPr>
          <w:rFonts w:ascii="Arial" w:eastAsia="Calibri" w:hAnsi="Arial" w:cs="Arial"/>
          <w:sz w:val="20"/>
          <w:szCs w:val="20"/>
        </w:rPr>
        <w:t xml:space="preserve"> and people unable to sell and move on</w:t>
      </w:r>
      <w:r w:rsidRPr="00E16323">
        <w:rPr>
          <w:rFonts w:ascii="Arial" w:eastAsia="Calibri" w:hAnsi="Arial" w:cs="Arial"/>
          <w:sz w:val="20"/>
          <w:szCs w:val="20"/>
        </w:rPr>
        <w:t>.</w:t>
      </w:r>
    </w:p>
    <w:p w:rsidR="00BC1575" w:rsidRPr="00682CCF" w:rsidP="0094449D">
      <w:pPr>
        <w:pStyle w:val="ListParagraph"/>
        <w:jc w:val="both"/>
        <w:rPr>
          <w:rFonts w:ascii="Arial" w:eastAsia="Calibri" w:hAnsi="Arial" w:cs="Arial"/>
          <w:sz w:val="20"/>
          <w:szCs w:val="20"/>
        </w:rPr>
      </w:pPr>
    </w:p>
    <w:p w:rsidR="00BC1575" w:rsidRPr="00F47C4F" w:rsidP="00F47C4F">
      <w:pPr>
        <w:pStyle w:val="ListParagraph"/>
        <w:numPr>
          <w:ilvl w:val="1"/>
          <w:numId w:val="1"/>
        </w:numPr>
        <w:jc w:val="both"/>
        <w:rPr>
          <w:rFonts w:ascii="Arial" w:eastAsia="Calibri" w:hAnsi="Arial" w:cs="Arial"/>
          <w:sz w:val="20"/>
          <w:szCs w:val="20"/>
        </w:rPr>
      </w:pPr>
      <w:r w:rsidRPr="00F71EB7">
        <w:rPr>
          <w:rFonts w:ascii="Arial" w:eastAsia="Calibri" w:hAnsi="Arial" w:cs="Arial"/>
          <w:sz w:val="20"/>
          <w:szCs w:val="20"/>
        </w:rPr>
        <w:t xml:space="preserve">International and domestic experience demonstrates that transferring responsibility for complex, safety-critical buildings to collective resident governance structures can carry material delivery risks. In Scotland, where residential leasehold was abolished and flat owners are collectively responsible for maintenance and repair, research by the Royal Institution of Chartered Surveyors indicates that approximately </w:t>
      </w:r>
      <w:r>
        <w:rPr>
          <w:rFonts w:ascii="Arial" w:eastAsia="Calibri" w:hAnsi="Arial" w:cs="Arial"/>
          <w:sz w:val="20"/>
          <w:szCs w:val="20"/>
        </w:rPr>
        <w:t>50</w:t>
      </w:r>
      <w:r w:rsidRPr="00F71EB7">
        <w:rPr>
          <w:rFonts w:ascii="Arial" w:eastAsia="Calibri" w:hAnsi="Arial" w:cs="Arial"/>
          <w:sz w:val="20"/>
          <w:szCs w:val="20"/>
        </w:rPr>
        <w:t xml:space="preserve">% of tenement buildings require some form of repair, with around </w:t>
      </w:r>
      <w:r>
        <w:rPr>
          <w:rFonts w:ascii="Arial" w:eastAsia="Calibri" w:hAnsi="Arial" w:cs="Arial"/>
          <w:sz w:val="20"/>
          <w:szCs w:val="20"/>
        </w:rPr>
        <w:t>28</w:t>
      </w:r>
      <w:r w:rsidRPr="00F71EB7">
        <w:rPr>
          <w:rFonts w:ascii="Arial" w:eastAsia="Calibri" w:hAnsi="Arial" w:cs="Arial"/>
          <w:sz w:val="20"/>
          <w:szCs w:val="20"/>
        </w:rPr>
        <w:t>% classified as being in critical disrepair.</w:t>
      </w:r>
      <w:r>
        <w:rPr>
          <w:rStyle w:val="FootnoteReference"/>
          <w:rFonts w:ascii="Arial" w:eastAsia="Calibri" w:hAnsi="Arial" w:cs="Arial"/>
          <w:sz w:val="20"/>
          <w:szCs w:val="20"/>
        </w:rPr>
        <w:footnoteReference w:id="5"/>
      </w:r>
    </w:p>
    <w:p w:rsidR="00BC1575" w:rsidRPr="00F47C4F" w:rsidP="00F47C4F">
      <w:pPr>
        <w:pStyle w:val="ListParagraph"/>
        <w:ind w:left="792"/>
        <w:jc w:val="both"/>
        <w:rPr>
          <w:rFonts w:ascii="Arial" w:eastAsia="Calibri" w:hAnsi="Arial" w:cs="Arial"/>
          <w:sz w:val="20"/>
          <w:szCs w:val="20"/>
        </w:rPr>
      </w:pPr>
    </w:p>
    <w:p w:rsidR="00BC1575" w:rsidP="0094449D">
      <w:pPr>
        <w:pStyle w:val="ListParagraph"/>
        <w:numPr>
          <w:ilvl w:val="1"/>
          <w:numId w:val="1"/>
        </w:numPr>
        <w:jc w:val="both"/>
        <w:rPr>
          <w:rFonts w:ascii="Arial" w:eastAsia="Calibri" w:hAnsi="Arial" w:cs="Arial"/>
          <w:sz w:val="20"/>
          <w:szCs w:val="20"/>
        </w:rPr>
      </w:pPr>
      <w:r w:rsidRPr="00DA2319">
        <w:rPr>
          <w:rFonts w:ascii="Arial" w:eastAsia="Calibri" w:hAnsi="Arial" w:cs="Arial"/>
          <w:sz w:val="20"/>
          <w:szCs w:val="20"/>
        </w:rPr>
        <w:t xml:space="preserve">In the context of buildings with existing safety defects, replacing professional freeholder oversight with resident-led governance </w:t>
      </w:r>
      <w:r>
        <w:rPr>
          <w:rFonts w:ascii="Arial" w:eastAsia="Calibri" w:hAnsi="Arial" w:cs="Arial"/>
          <w:sz w:val="20"/>
          <w:szCs w:val="20"/>
        </w:rPr>
        <w:t xml:space="preserve">- </w:t>
      </w:r>
      <w:r w:rsidRPr="00DA2319">
        <w:rPr>
          <w:rFonts w:ascii="Arial" w:eastAsia="Calibri" w:hAnsi="Arial" w:cs="Arial"/>
          <w:sz w:val="20"/>
          <w:szCs w:val="20"/>
        </w:rPr>
        <w:t xml:space="preserve">particularly during an active national remediation programme </w:t>
      </w:r>
      <w:r>
        <w:rPr>
          <w:rFonts w:ascii="Arial" w:eastAsia="Calibri" w:hAnsi="Arial" w:cs="Arial"/>
          <w:sz w:val="20"/>
          <w:szCs w:val="20"/>
        </w:rPr>
        <w:t>-</w:t>
      </w:r>
      <w:r w:rsidRPr="00DA2319">
        <w:rPr>
          <w:rFonts w:ascii="Arial" w:eastAsia="Calibri" w:hAnsi="Arial" w:cs="Arial"/>
          <w:sz w:val="20"/>
          <w:szCs w:val="20"/>
        </w:rPr>
        <w:t xml:space="preserve"> risks compounding delay, increasing legal disputes and undermining delivery certainty at a time when regulatory stability is essential.</w:t>
      </w:r>
    </w:p>
    <w:p w:rsidR="00BC1575" w:rsidRPr="00F47C4F" w:rsidP="00F47C4F">
      <w:pPr>
        <w:pStyle w:val="ListParagraph"/>
        <w:rPr>
          <w:rFonts w:ascii="Arial" w:eastAsia="Calibri" w:hAnsi="Arial" w:cs="Arial"/>
          <w:sz w:val="20"/>
          <w:szCs w:val="20"/>
        </w:rPr>
      </w:pPr>
    </w:p>
    <w:p w:rsidR="00BC1575" w:rsidP="00F47C4F">
      <w:pPr>
        <w:pStyle w:val="ListParagraph"/>
        <w:ind w:left="792"/>
        <w:jc w:val="both"/>
        <w:rPr>
          <w:rFonts w:ascii="Arial" w:eastAsia="Calibri" w:hAnsi="Arial" w:cs="Arial"/>
          <w:sz w:val="20"/>
          <w:szCs w:val="20"/>
        </w:rPr>
      </w:pPr>
    </w:p>
    <w:p w:rsidR="00BC1575" w:rsidRPr="00444DAD" w:rsidP="0094449D">
      <w:pPr>
        <w:pStyle w:val="ListParagraph"/>
        <w:ind w:left="792"/>
        <w:jc w:val="both"/>
        <w:rPr>
          <w:rFonts w:ascii="Arial" w:eastAsia="Calibri" w:hAnsi="Arial" w:cs="Arial"/>
          <w:sz w:val="20"/>
          <w:szCs w:val="20"/>
        </w:rPr>
      </w:pPr>
    </w:p>
    <w:p w:rsidR="00BC1575" w:rsidP="0094449D">
      <w:pPr>
        <w:pStyle w:val="ListParagraph"/>
        <w:numPr>
          <w:ilvl w:val="0"/>
          <w:numId w:val="1"/>
        </w:numPr>
        <w:jc w:val="both"/>
        <w:rPr>
          <w:rFonts w:ascii="Arial" w:eastAsia="Calibri" w:hAnsi="Arial" w:cs="Arial"/>
          <w:b/>
          <w:bCs/>
          <w:sz w:val="20"/>
          <w:szCs w:val="20"/>
        </w:rPr>
      </w:pPr>
      <w:r w:rsidRPr="2C9FCD0F">
        <w:rPr>
          <w:rFonts w:ascii="Arial" w:eastAsia="Calibri" w:hAnsi="Arial" w:cs="Arial"/>
          <w:b/>
          <w:bCs/>
          <w:sz w:val="20"/>
          <w:szCs w:val="20"/>
        </w:rPr>
        <w:t xml:space="preserve">What are the possible impacts of the draft Bill on the property sector, including to property values and housing supply? </w:t>
      </w:r>
    </w:p>
    <w:p w:rsidR="00BC1575" w:rsidP="0094449D">
      <w:pPr>
        <w:pStyle w:val="ListParagraph"/>
        <w:ind w:left="360"/>
        <w:jc w:val="both"/>
        <w:rPr>
          <w:rFonts w:ascii="Arial" w:eastAsia="Calibri" w:hAnsi="Arial" w:cs="Arial"/>
          <w:b/>
          <w:bCs/>
          <w:sz w:val="20"/>
          <w:szCs w:val="20"/>
        </w:rPr>
      </w:pPr>
    </w:p>
    <w:p w:rsidR="00BC1575" w:rsidP="0094449D">
      <w:pPr>
        <w:pStyle w:val="ListParagraph"/>
        <w:numPr>
          <w:ilvl w:val="1"/>
          <w:numId w:val="1"/>
        </w:numPr>
        <w:jc w:val="both"/>
        <w:rPr>
          <w:rFonts w:ascii="Arial" w:eastAsia="Calibri" w:hAnsi="Arial" w:cs="Arial"/>
          <w:sz w:val="20"/>
          <w:szCs w:val="20"/>
        </w:rPr>
      </w:pPr>
      <w:r w:rsidRPr="00A678A7">
        <w:rPr>
          <w:rFonts w:ascii="Arial" w:eastAsia="Calibri" w:hAnsi="Arial" w:cs="Arial"/>
          <w:sz w:val="20"/>
          <w:szCs w:val="20"/>
        </w:rPr>
        <w:t>When a freeholder becomes insolvent, the impact is immediate and cascading. Freeholders sit at the centre of the legal, financial and operational framework that keeps residential buildings safe, insured and functioning. Their removal disrupts that framework rather than replacing it.</w:t>
      </w:r>
      <w:r>
        <w:rPr>
          <w:rFonts w:ascii="Arial" w:eastAsia="Calibri" w:hAnsi="Arial" w:cs="Arial"/>
          <w:sz w:val="20"/>
          <w:szCs w:val="20"/>
        </w:rPr>
        <w:t xml:space="preserve"> </w:t>
      </w:r>
      <w:r>
        <w:rPr>
          <w:rFonts w:ascii="Arial" w:eastAsia="Calibri" w:hAnsi="Arial" w:cs="Arial"/>
          <w:sz w:val="20"/>
          <w:szCs w:val="20"/>
        </w:rPr>
        <w:t xml:space="preserve">This will impact on supply, valuation and the lending decisions that allow leasehold to </w:t>
      </w:r>
      <w:r>
        <w:rPr>
          <w:rFonts w:ascii="Arial" w:eastAsia="Calibri" w:hAnsi="Arial" w:cs="Arial"/>
          <w:sz w:val="20"/>
          <w:szCs w:val="20"/>
        </w:rPr>
        <w:t>provide</w:t>
      </w:r>
      <w:r>
        <w:rPr>
          <w:rFonts w:ascii="Arial" w:eastAsia="Calibri" w:hAnsi="Arial" w:cs="Arial"/>
          <w:sz w:val="20"/>
          <w:szCs w:val="20"/>
        </w:rPr>
        <w:t xml:space="preserve"> </w:t>
      </w:r>
      <w:r>
        <w:rPr>
          <w:rFonts w:ascii="Arial" w:eastAsia="Calibri" w:hAnsi="Arial" w:cs="Arial"/>
          <w:sz w:val="20"/>
          <w:szCs w:val="20"/>
        </w:rPr>
        <w:t xml:space="preserve">a dynamic </w:t>
      </w:r>
      <w:r>
        <w:rPr>
          <w:rFonts w:ascii="Arial" w:eastAsia="Calibri" w:hAnsi="Arial" w:cs="Arial"/>
          <w:sz w:val="20"/>
          <w:szCs w:val="20"/>
        </w:rPr>
        <w:t xml:space="preserve">form of tenure, </w:t>
      </w:r>
      <w:r w:rsidRPr="000751FA">
        <w:rPr>
          <w:rFonts w:ascii="Arial" w:eastAsia="Calibri" w:hAnsi="Arial" w:cs="Arial"/>
          <w:sz w:val="20"/>
          <w:szCs w:val="20"/>
        </w:rPr>
        <w:t>that feeds into the wider UK property market.</w:t>
      </w:r>
    </w:p>
    <w:p w:rsidR="00BC1575" w:rsidP="0094449D">
      <w:pPr>
        <w:pStyle w:val="ListParagraph"/>
        <w:ind w:left="792"/>
        <w:jc w:val="both"/>
        <w:rPr>
          <w:rFonts w:ascii="Arial" w:eastAsia="Calibri" w:hAnsi="Arial" w:cs="Arial"/>
          <w:sz w:val="20"/>
          <w:szCs w:val="20"/>
        </w:rPr>
      </w:pPr>
    </w:p>
    <w:p w:rsidR="00BC1575" w:rsidRPr="009E09D4" w:rsidP="009E09D4">
      <w:pPr>
        <w:pStyle w:val="ListParagraph"/>
        <w:numPr>
          <w:ilvl w:val="1"/>
          <w:numId w:val="1"/>
        </w:numPr>
        <w:jc w:val="both"/>
        <w:rPr>
          <w:rFonts w:ascii="Arial" w:eastAsia="Calibri" w:hAnsi="Arial" w:cs="Arial"/>
          <w:sz w:val="20"/>
          <w:szCs w:val="20"/>
        </w:rPr>
      </w:pPr>
      <w:r w:rsidRPr="009E09D4">
        <w:rPr>
          <w:rFonts w:ascii="Arial" w:eastAsia="Calibri" w:hAnsi="Arial" w:cs="Arial"/>
          <w:sz w:val="20"/>
          <w:szCs w:val="20"/>
        </w:rPr>
        <w:t xml:space="preserve">With the average tenure of a leaseholder being around 7 years, the presence of a freeholder ensures that there is a party dedicated to the long-term </w:t>
      </w:r>
      <w:r w:rsidRPr="009E09D4">
        <w:rPr>
          <w:rFonts w:ascii="Arial" w:eastAsia="Calibri" w:hAnsi="Arial" w:cs="Arial"/>
          <w:sz w:val="20"/>
          <w:szCs w:val="20"/>
        </w:rPr>
        <w:t>oversight</w:t>
      </w:r>
      <w:r w:rsidRPr="009E09D4">
        <w:rPr>
          <w:rFonts w:ascii="Arial" w:eastAsia="Calibri" w:hAnsi="Arial" w:cs="Arial"/>
          <w:sz w:val="20"/>
          <w:szCs w:val="20"/>
        </w:rPr>
        <w:t xml:space="preserve"> of the building, reducing short-term administrative burdens while ensuring long-term maintenance.</w:t>
      </w:r>
    </w:p>
    <w:p w:rsidR="00BC1575" w:rsidRPr="009E09D4" w:rsidP="009E09D4">
      <w:pPr>
        <w:pStyle w:val="ListParagraph"/>
        <w:ind w:left="792"/>
        <w:jc w:val="both"/>
        <w:rPr>
          <w:rFonts w:ascii="Arial" w:eastAsia="Calibri" w:hAnsi="Arial" w:cs="Arial"/>
          <w:sz w:val="20"/>
          <w:szCs w:val="20"/>
        </w:rPr>
      </w:pPr>
    </w:p>
    <w:p w:rsidR="00BC1575" w:rsidRPr="00F47C4F" w:rsidP="00F47C4F">
      <w:pPr>
        <w:pStyle w:val="ListParagraph"/>
        <w:numPr>
          <w:ilvl w:val="1"/>
          <w:numId w:val="1"/>
        </w:numPr>
        <w:jc w:val="both"/>
        <w:rPr>
          <w:rFonts w:ascii="Arial" w:eastAsia="Calibri" w:hAnsi="Arial" w:cs="Arial"/>
          <w:sz w:val="20"/>
          <w:szCs w:val="20"/>
        </w:rPr>
      </w:pPr>
      <w:r>
        <w:rPr>
          <w:rFonts w:ascii="Arial" w:eastAsia="Calibri" w:hAnsi="Arial" w:cs="Arial"/>
          <w:sz w:val="20"/>
          <w:szCs w:val="20"/>
        </w:rPr>
        <w:t>As referenced in 2.6</w:t>
      </w:r>
      <w:r>
        <w:rPr>
          <w:rFonts w:ascii="Arial" w:eastAsia="Calibri" w:hAnsi="Arial" w:cs="Arial"/>
          <w:sz w:val="20"/>
          <w:szCs w:val="20"/>
        </w:rPr>
        <w:t>,</w:t>
      </w:r>
      <w:r>
        <w:rPr>
          <w:rFonts w:ascii="Arial" w:eastAsia="Calibri" w:hAnsi="Arial" w:cs="Arial"/>
          <w:sz w:val="20"/>
          <w:szCs w:val="20"/>
        </w:rPr>
        <w:t xml:space="preserve"> lenders look to the presence of a professional freeholder when </w:t>
      </w:r>
      <w:r>
        <w:rPr>
          <w:rFonts w:ascii="Arial" w:eastAsia="Calibri" w:hAnsi="Arial" w:cs="Arial"/>
          <w:sz w:val="20"/>
          <w:szCs w:val="20"/>
        </w:rPr>
        <w:t>making lending decisions</w:t>
      </w:r>
      <w:r>
        <w:rPr>
          <w:rFonts w:ascii="Arial" w:eastAsia="Calibri" w:hAnsi="Arial" w:cs="Arial"/>
          <w:sz w:val="20"/>
          <w:szCs w:val="20"/>
        </w:rPr>
        <w:t xml:space="preserve"> to provide assurances on the security of their loan</w:t>
      </w:r>
      <w:r>
        <w:rPr>
          <w:rFonts w:ascii="Arial" w:eastAsia="Calibri" w:hAnsi="Arial" w:cs="Arial"/>
          <w:sz w:val="20"/>
          <w:szCs w:val="20"/>
        </w:rPr>
        <w:t xml:space="preserve">. Professional freeholders support tens of thousands of flat transactions each year in this regard. </w:t>
      </w:r>
      <w:r>
        <w:rPr>
          <w:rFonts w:ascii="Arial" w:eastAsia="Calibri" w:hAnsi="Arial" w:cs="Arial"/>
          <w:sz w:val="20"/>
          <w:szCs w:val="20"/>
        </w:rPr>
        <w:t>While the</w:t>
      </w:r>
      <w:r>
        <w:rPr>
          <w:rFonts w:ascii="Arial" w:eastAsia="Calibri" w:hAnsi="Arial" w:cs="Arial"/>
          <w:sz w:val="20"/>
          <w:szCs w:val="20"/>
        </w:rPr>
        <w:t xml:space="preserve"> building safety crisis has been a </w:t>
      </w:r>
      <w:r>
        <w:rPr>
          <w:rFonts w:ascii="Arial" w:eastAsia="Calibri" w:hAnsi="Arial" w:cs="Arial"/>
          <w:sz w:val="20"/>
          <w:szCs w:val="20"/>
        </w:rPr>
        <w:t>critical</w:t>
      </w:r>
      <w:r>
        <w:rPr>
          <w:rFonts w:ascii="Arial" w:eastAsia="Calibri" w:hAnsi="Arial" w:cs="Arial"/>
          <w:sz w:val="20"/>
          <w:szCs w:val="20"/>
        </w:rPr>
        <w:t xml:space="preserve"> impediment on lending, Government misconceptions have led it to focus exclusively on ground rent</w:t>
      </w:r>
      <w:r>
        <w:rPr>
          <w:rFonts w:ascii="Arial" w:eastAsia="Calibri" w:hAnsi="Arial" w:cs="Arial"/>
          <w:sz w:val="20"/>
          <w:szCs w:val="20"/>
        </w:rPr>
        <w:t xml:space="preserve"> removal</w:t>
      </w:r>
      <w:r>
        <w:rPr>
          <w:rFonts w:ascii="Arial" w:eastAsia="Calibri" w:hAnsi="Arial" w:cs="Arial"/>
          <w:sz w:val="20"/>
          <w:szCs w:val="20"/>
        </w:rPr>
        <w:t xml:space="preserve"> as a panacea.</w:t>
      </w:r>
    </w:p>
    <w:p w:rsidR="00BC1575" w:rsidRPr="00042C54" w:rsidP="0094449D">
      <w:pPr>
        <w:pStyle w:val="ListParagraph"/>
        <w:jc w:val="both"/>
        <w:rPr>
          <w:rFonts w:ascii="Arial" w:eastAsia="Calibri" w:hAnsi="Arial" w:cs="Arial"/>
          <w:sz w:val="20"/>
          <w:szCs w:val="20"/>
        </w:rPr>
      </w:pPr>
    </w:p>
    <w:p w:rsidR="00BC1575" w:rsidP="0094449D">
      <w:pPr>
        <w:pStyle w:val="ListParagraph"/>
        <w:numPr>
          <w:ilvl w:val="1"/>
          <w:numId w:val="1"/>
        </w:numPr>
        <w:jc w:val="both"/>
        <w:rPr>
          <w:rFonts w:ascii="Arial" w:eastAsia="Calibri" w:hAnsi="Arial" w:cs="Arial"/>
          <w:sz w:val="20"/>
          <w:szCs w:val="20"/>
        </w:rPr>
      </w:pPr>
      <w:r w:rsidRPr="00FD2623">
        <w:rPr>
          <w:rFonts w:ascii="Arial" w:eastAsia="Calibri" w:hAnsi="Arial" w:cs="Arial"/>
          <w:sz w:val="20"/>
          <w:szCs w:val="20"/>
        </w:rPr>
        <w:t>Independent economic analysis</w:t>
      </w:r>
      <w:r>
        <w:rPr>
          <w:rFonts w:ascii="Arial" w:eastAsia="Calibri" w:hAnsi="Arial" w:cs="Arial"/>
          <w:sz w:val="20"/>
          <w:szCs w:val="20"/>
        </w:rPr>
        <w:t xml:space="preserve"> from WPI</w:t>
      </w:r>
      <w:r w:rsidRPr="00FD2623">
        <w:rPr>
          <w:rFonts w:ascii="Arial" w:eastAsia="Calibri" w:hAnsi="Arial" w:cs="Arial"/>
          <w:sz w:val="20"/>
          <w:szCs w:val="20"/>
        </w:rPr>
        <w:t xml:space="preserve"> suggests that a retrospective £250 ground rent cap could reduce the value of ground rent assets by up to £18.7 billion in current prices. Such a shock, concentrated in a single asset class, would not simply redistribute value but could introduce wider instability into financing structures that underpin residential development and management. Modelling indicates that even modest increases in required investor returns (in the region of 10–30 basis points) could reduce annual housing starts by betwee</w:t>
      </w:r>
      <w:r w:rsidRPr="00FD2623">
        <w:rPr>
          <w:rFonts w:ascii="Arial" w:eastAsia="Calibri" w:hAnsi="Arial" w:cs="Arial"/>
          <w:sz w:val="20"/>
          <w:szCs w:val="20"/>
        </w:rPr>
        <w:t>n 1% and 10%</w:t>
      </w:r>
      <w:r>
        <w:rPr>
          <w:rFonts w:ascii="Arial" w:eastAsia="Calibri" w:hAnsi="Arial" w:cs="Arial"/>
          <w:sz w:val="20"/>
          <w:szCs w:val="20"/>
        </w:rPr>
        <w:t xml:space="preserve">, </w:t>
      </w:r>
      <w:r w:rsidRPr="006A2C08">
        <w:rPr>
          <w:rFonts w:ascii="Arial" w:eastAsia="Calibri" w:hAnsi="Arial" w:cs="Arial"/>
          <w:sz w:val="20"/>
          <w:szCs w:val="20"/>
        </w:rPr>
        <w:t xml:space="preserve">undermining delivery at a time when supply is already materially below target. The impacts would also be geographically uneven, with 55% of the ten-year effects falling on London and the </w:t>
      </w:r>
      <w:r w:rsidRPr="006A2C08">
        <w:rPr>
          <w:rFonts w:ascii="Arial" w:eastAsia="Calibri" w:hAnsi="Arial" w:cs="Arial"/>
          <w:sz w:val="20"/>
          <w:szCs w:val="20"/>
        </w:rPr>
        <w:t>South East</w:t>
      </w:r>
      <w:r w:rsidRPr="006A2C08">
        <w:t xml:space="preserve"> </w:t>
      </w:r>
      <w:r>
        <w:rPr>
          <w:rFonts w:ascii="Arial" w:eastAsia="Calibri" w:hAnsi="Arial" w:cs="Arial"/>
          <w:sz w:val="20"/>
          <w:szCs w:val="20"/>
        </w:rPr>
        <w:t xml:space="preserve">- </w:t>
      </w:r>
      <w:r w:rsidRPr="006A2C08">
        <w:rPr>
          <w:rFonts w:ascii="Arial" w:eastAsia="Calibri" w:hAnsi="Arial" w:cs="Arial"/>
          <w:sz w:val="20"/>
          <w:szCs w:val="20"/>
        </w:rPr>
        <w:t>precisely the regions facing the greatest affordability pressures and most fragile development viability</w:t>
      </w:r>
      <w:r>
        <w:rPr>
          <w:rStyle w:val="FootnoteReference"/>
          <w:rFonts w:ascii="Arial" w:eastAsia="Calibri" w:hAnsi="Arial" w:cs="Arial"/>
          <w:sz w:val="20"/>
          <w:szCs w:val="20"/>
        </w:rPr>
        <w:footnoteReference w:id="6"/>
      </w:r>
      <w:r w:rsidRPr="006A2C08">
        <w:rPr>
          <w:rFonts w:ascii="Arial" w:eastAsia="Calibri" w:hAnsi="Arial" w:cs="Arial"/>
          <w:sz w:val="20"/>
          <w:szCs w:val="20"/>
        </w:rPr>
        <w:t>.</w:t>
      </w:r>
    </w:p>
    <w:p w:rsidR="00BC1575" w:rsidRPr="006A2C08" w:rsidP="0094449D">
      <w:pPr>
        <w:pStyle w:val="ListParagraph"/>
        <w:jc w:val="both"/>
        <w:rPr>
          <w:rFonts w:ascii="Arial" w:eastAsia="Calibri" w:hAnsi="Arial" w:cs="Arial"/>
          <w:sz w:val="20"/>
          <w:szCs w:val="20"/>
        </w:rPr>
      </w:pPr>
    </w:p>
    <w:p w:rsidR="00BC1575" w:rsidP="0094449D">
      <w:pPr>
        <w:pStyle w:val="ListParagraph"/>
        <w:numPr>
          <w:ilvl w:val="1"/>
          <w:numId w:val="1"/>
        </w:numPr>
        <w:jc w:val="both"/>
        <w:rPr>
          <w:rFonts w:ascii="Arial" w:eastAsia="Calibri" w:hAnsi="Arial" w:cs="Arial"/>
          <w:sz w:val="20"/>
          <w:szCs w:val="20"/>
        </w:rPr>
      </w:pPr>
      <w:r w:rsidRPr="001E42F1">
        <w:rPr>
          <w:rFonts w:ascii="Arial" w:eastAsia="Calibri" w:hAnsi="Arial" w:cs="Arial"/>
          <w:sz w:val="20"/>
          <w:szCs w:val="20"/>
        </w:rPr>
        <w:t xml:space="preserve">The consequences would extend beyond freeholders. Pension funds are estimated to hold </w:t>
      </w:r>
      <w:r w:rsidRPr="001E42F1">
        <w:rPr>
          <w:rFonts w:ascii="Arial" w:eastAsia="Calibri" w:hAnsi="Arial" w:cs="Arial"/>
          <w:sz w:val="20"/>
          <w:szCs w:val="20"/>
        </w:rPr>
        <w:t>in excess of</w:t>
      </w:r>
      <w:r w:rsidRPr="001E42F1">
        <w:rPr>
          <w:rFonts w:ascii="Arial" w:eastAsia="Calibri" w:hAnsi="Arial" w:cs="Arial"/>
          <w:sz w:val="20"/>
          <w:szCs w:val="20"/>
        </w:rPr>
        <w:t xml:space="preserve"> £15 billion in residential ground rent assets, potentially around half of the total market. </w:t>
      </w:r>
      <w:r>
        <w:rPr>
          <w:rFonts w:ascii="Arial" w:eastAsia="Calibri" w:hAnsi="Arial" w:cs="Arial"/>
          <w:sz w:val="20"/>
          <w:szCs w:val="20"/>
        </w:rPr>
        <w:t>According to analysis from WPI,</w:t>
      </w:r>
      <w:r w:rsidRPr="001E42F1">
        <w:rPr>
          <w:rFonts w:ascii="Arial" w:eastAsia="Calibri" w:hAnsi="Arial" w:cs="Arial"/>
          <w:sz w:val="20"/>
          <w:szCs w:val="20"/>
        </w:rPr>
        <w:t xml:space="preserve"> the basis of the</w:t>
      </w:r>
      <w:r>
        <w:rPr>
          <w:rFonts w:ascii="Arial" w:eastAsia="Calibri" w:hAnsi="Arial" w:cs="Arial"/>
          <w:sz w:val="20"/>
          <w:szCs w:val="20"/>
        </w:rPr>
        <w:t xml:space="preserve"> previous</w:t>
      </w:r>
      <w:r w:rsidRPr="001E42F1">
        <w:rPr>
          <w:rFonts w:ascii="Arial" w:eastAsia="Calibri" w:hAnsi="Arial" w:cs="Arial"/>
          <w:sz w:val="20"/>
          <w:szCs w:val="20"/>
        </w:rPr>
        <w:t xml:space="preserve"> Government’s own impact assessment, this could translate into valuation reductions of £9–£10 billion for pension savers, at odds with wider efforts to mobilise institutional capital into UK housing and infrastructure. Where portfolios are leveraged, a sudden reduction in expected income could also trigger covenant stress and forced asset sales</w:t>
      </w:r>
      <w:r w:rsidRPr="00E728D3">
        <w:rPr>
          <w:rFonts w:ascii="Arial" w:eastAsia="Calibri" w:hAnsi="Arial" w:cs="Arial"/>
          <w:sz w:val="20"/>
          <w:szCs w:val="20"/>
        </w:rPr>
        <w:t>, cr</w:t>
      </w:r>
      <w:r w:rsidRPr="00E728D3">
        <w:rPr>
          <w:rFonts w:ascii="Arial" w:eastAsia="Calibri" w:hAnsi="Arial" w:cs="Arial"/>
          <w:sz w:val="20"/>
          <w:szCs w:val="20"/>
        </w:rPr>
        <w:t>eating operational disruption and uncertainty in building management, insurance and safety oversight. Rather than resolving underlying affordability challenges, the draft Bill therefore risks weakening investment confidenc</w:t>
      </w:r>
      <w:r>
        <w:rPr>
          <w:rFonts w:ascii="Arial" w:eastAsia="Calibri" w:hAnsi="Arial" w:cs="Arial"/>
          <w:sz w:val="20"/>
          <w:szCs w:val="20"/>
        </w:rPr>
        <w:t>e and</w:t>
      </w:r>
      <w:r w:rsidRPr="00E728D3">
        <w:rPr>
          <w:rFonts w:ascii="Arial" w:eastAsia="Calibri" w:hAnsi="Arial" w:cs="Arial"/>
          <w:sz w:val="20"/>
          <w:szCs w:val="20"/>
        </w:rPr>
        <w:t xml:space="preserve"> destabilising established funding arrangements</w:t>
      </w:r>
      <w:r>
        <w:rPr>
          <w:rFonts w:ascii="Arial" w:eastAsia="Calibri" w:hAnsi="Arial" w:cs="Arial"/>
          <w:sz w:val="20"/>
          <w:szCs w:val="20"/>
        </w:rPr>
        <w:t>.</w:t>
      </w:r>
    </w:p>
    <w:p w:rsidR="00BC1575" w:rsidRPr="00F47C4F" w:rsidP="00F47C4F">
      <w:pPr>
        <w:pStyle w:val="ListParagraph"/>
        <w:rPr>
          <w:rFonts w:ascii="Arial" w:eastAsia="Calibri" w:hAnsi="Arial" w:cs="Arial"/>
          <w:sz w:val="20"/>
          <w:szCs w:val="20"/>
        </w:rPr>
      </w:pPr>
    </w:p>
    <w:p w:rsidR="00BC1575" w:rsidRPr="00E728D3" w:rsidP="00F47C4F">
      <w:pPr>
        <w:pStyle w:val="ListParagraph"/>
        <w:ind w:left="792"/>
        <w:jc w:val="both"/>
        <w:rPr>
          <w:rFonts w:ascii="Arial" w:eastAsia="Calibri" w:hAnsi="Arial" w:cs="Arial"/>
          <w:sz w:val="20"/>
          <w:szCs w:val="20"/>
        </w:rPr>
      </w:pPr>
    </w:p>
    <w:p w:rsidR="00BC1575" w:rsidRPr="000E2B42" w:rsidP="0094449D">
      <w:pPr>
        <w:pStyle w:val="ListParagraph"/>
        <w:ind w:left="792"/>
        <w:jc w:val="both"/>
        <w:rPr>
          <w:rFonts w:ascii="Arial" w:eastAsia="Calibri" w:hAnsi="Arial" w:cs="Arial"/>
          <w:sz w:val="20"/>
          <w:szCs w:val="20"/>
        </w:rPr>
      </w:pPr>
    </w:p>
    <w:p w:rsidR="00BC1575" w:rsidP="0094449D">
      <w:pPr>
        <w:pStyle w:val="ListParagraph"/>
        <w:numPr>
          <w:ilvl w:val="0"/>
          <w:numId w:val="1"/>
        </w:numPr>
        <w:jc w:val="both"/>
        <w:rPr>
          <w:rFonts w:ascii="Arial" w:eastAsia="Calibri" w:hAnsi="Arial" w:cs="Arial"/>
          <w:b/>
          <w:bCs/>
          <w:sz w:val="20"/>
          <w:szCs w:val="20"/>
        </w:rPr>
      </w:pPr>
      <w:r w:rsidRPr="2C9FCD0F">
        <w:rPr>
          <w:rFonts w:ascii="Arial" w:eastAsia="Calibri" w:hAnsi="Arial" w:cs="Arial"/>
          <w:b/>
          <w:bCs/>
          <w:sz w:val="20"/>
          <w:szCs w:val="20"/>
        </w:rPr>
        <w:t xml:space="preserve">Do the provisions in the draft Bill improve confidence in commonhold across the property sector? </w:t>
      </w:r>
    </w:p>
    <w:p w:rsidR="00BC1575" w:rsidRPr="00275D79" w:rsidP="0094449D">
      <w:pPr>
        <w:pStyle w:val="ListParagraph"/>
        <w:jc w:val="both"/>
        <w:rPr>
          <w:rFonts w:ascii="Arial" w:eastAsia="Calibri" w:hAnsi="Arial" w:cs="Arial"/>
          <w:b/>
          <w:bCs/>
          <w:sz w:val="20"/>
          <w:szCs w:val="20"/>
        </w:rPr>
      </w:pPr>
    </w:p>
    <w:p w:rsidR="00BC1575" w:rsidRPr="00BA24B1" w:rsidP="0094449D">
      <w:pPr>
        <w:pStyle w:val="ListParagraph"/>
        <w:numPr>
          <w:ilvl w:val="1"/>
          <w:numId w:val="1"/>
        </w:numPr>
        <w:jc w:val="both"/>
        <w:rPr>
          <w:rFonts w:ascii="Arial" w:eastAsia="Calibri" w:hAnsi="Arial" w:cs="Arial"/>
          <w:b/>
          <w:bCs/>
          <w:sz w:val="20"/>
          <w:szCs w:val="20"/>
        </w:rPr>
      </w:pPr>
      <w:r w:rsidRPr="00D0685E">
        <w:rPr>
          <w:rFonts w:ascii="Arial" w:eastAsia="Calibri" w:hAnsi="Arial" w:cs="Arial"/>
          <w:sz w:val="20"/>
          <w:szCs w:val="20"/>
        </w:rPr>
        <w:t xml:space="preserve">The RFA advocates the provision of consumer choice. However, </w:t>
      </w:r>
      <w:r>
        <w:rPr>
          <w:rFonts w:ascii="Arial" w:eastAsia="Calibri" w:hAnsi="Arial" w:cs="Arial"/>
          <w:sz w:val="20"/>
          <w:szCs w:val="20"/>
        </w:rPr>
        <w:t>p</w:t>
      </w:r>
      <w:r>
        <w:rPr>
          <w:rFonts w:ascii="Arial" w:eastAsia="Calibri" w:hAnsi="Arial" w:cs="Arial"/>
          <w:sz w:val="20"/>
          <w:szCs w:val="20"/>
        </w:rPr>
        <w:t>roposals</w:t>
      </w:r>
      <w:r>
        <w:rPr>
          <w:rFonts w:ascii="Arial" w:eastAsia="Calibri" w:hAnsi="Arial" w:cs="Arial"/>
          <w:sz w:val="20"/>
          <w:szCs w:val="20"/>
        </w:rPr>
        <w:t xml:space="preserve"> to force an alternative tenure upon the property market through retrospective interference in </w:t>
      </w:r>
      <w:r>
        <w:rPr>
          <w:rFonts w:ascii="Arial" w:eastAsia="Calibri" w:hAnsi="Arial" w:cs="Arial"/>
          <w:sz w:val="20"/>
          <w:szCs w:val="20"/>
        </w:rPr>
        <w:t>UK contract law</w:t>
      </w:r>
      <w:r>
        <w:rPr>
          <w:rFonts w:ascii="Arial" w:eastAsia="Calibri" w:hAnsi="Arial" w:cs="Arial"/>
          <w:sz w:val="20"/>
          <w:szCs w:val="20"/>
        </w:rPr>
        <w:t xml:space="preserve"> </w:t>
      </w:r>
      <w:r>
        <w:rPr>
          <w:rFonts w:ascii="Arial" w:eastAsia="Calibri" w:hAnsi="Arial" w:cs="Arial"/>
          <w:sz w:val="20"/>
          <w:szCs w:val="20"/>
        </w:rPr>
        <w:t>set</w:t>
      </w:r>
      <w:r>
        <w:rPr>
          <w:rFonts w:ascii="Arial" w:eastAsia="Calibri" w:hAnsi="Arial" w:cs="Arial"/>
          <w:sz w:val="20"/>
          <w:szCs w:val="20"/>
        </w:rPr>
        <w:t xml:space="preserve"> a dangerous precedent which has </w:t>
      </w:r>
      <w:r>
        <w:rPr>
          <w:rFonts w:ascii="Arial" w:eastAsia="Calibri" w:hAnsi="Arial" w:cs="Arial"/>
          <w:sz w:val="20"/>
          <w:szCs w:val="20"/>
        </w:rPr>
        <w:t>raise</w:t>
      </w:r>
      <w:r>
        <w:rPr>
          <w:rFonts w:ascii="Arial" w:eastAsia="Calibri" w:hAnsi="Arial" w:cs="Arial"/>
          <w:sz w:val="20"/>
          <w:szCs w:val="20"/>
        </w:rPr>
        <w:t>d</w:t>
      </w:r>
      <w:r>
        <w:rPr>
          <w:rFonts w:ascii="Arial" w:eastAsia="Calibri" w:hAnsi="Arial" w:cs="Arial"/>
          <w:sz w:val="20"/>
          <w:szCs w:val="20"/>
        </w:rPr>
        <w:t xml:space="preserve"> the concerns</w:t>
      </w:r>
      <w:r>
        <w:rPr>
          <w:rFonts w:ascii="Arial" w:eastAsia="Calibri" w:hAnsi="Arial" w:cs="Arial"/>
          <w:sz w:val="20"/>
          <w:szCs w:val="20"/>
        </w:rPr>
        <w:t xml:space="preserve"> </w:t>
      </w:r>
      <w:r>
        <w:rPr>
          <w:rFonts w:ascii="Arial" w:eastAsia="Calibri" w:hAnsi="Arial" w:cs="Arial"/>
          <w:sz w:val="20"/>
          <w:szCs w:val="20"/>
        </w:rPr>
        <w:t>of</w:t>
      </w:r>
      <w:r>
        <w:rPr>
          <w:rFonts w:ascii="Arial" w:eastAsia="Calibri" w:hAnsi="Arial" w:cs="Arial"/>
          <w:sz w:val="20"/>
          <w:szCs w:val="20"/>
        </w:rPr>
        <w:t xml:space="preserve"> </w:t>
      </w:r>
      <w:r>
        <w:rPr>
          <w:rFonts w:ascii="Arial" w:eastAsia="Calibri" w:hAnsi="Arial" w:cs="Arial"/>
          <w:sz w:val="20"/>
          <w:szCs w:val="20"/>
        </w:rPr>
        <w:t>l</w:t>
      </w:r>
      <w:r>
        <w:rPr>
          <w:rFonts w:ascii="Arial" w:eastAsia="Calibri" w:hAnsi="Arial" w:cs="Arial"/>
          <w:sz w:val="20"/>
          <w:szCs w:val="20"/>
        </w:rPr>
        <w:t>e</w:t>
      </w:r>
      <w:r>
        <w:rPr>
          <w:rFonts w:ascii="Arial" w:eastAsia="Calibri" w:hAnsi="Arial" w:cs="Arial"/>
          <w:sz w:val="20"/>
          <w:szCs w:val="20"/>
        </w:rPr>
        <w:t>nders</w:t>
      </w:r>
      <w:r>
        <w:rPr>
          <w:rFonts w:ascii="Arial" w:eastAsia="Calibri" w:hAnsi="Arial" w:cs="Arial"/>
          <w:sz w:val="20"/>
          <w:szCs w:val="20"/>
        </w:rPr>
        <w:t xml:space="preserve"> </w:t>
      </w:r>
      <w:r>
        <w:rPr>
          <w:rFonts w:ascii="Arial" w:eastAsia="Calibri" w:hAnsi="Arial" w:cs="Arial"/>
          <w:sz w:val="20"/>
          <w:szCs w:val="20"/>
        </w:rPr>
        <w:t xml:space="preserve">and </w:t>
      </w:r>
      <w:r>
        <w:rPr>
          <w:rFonts w:ascii="Arial" w:eastAsia="Calibri" w:hAnsi="Arial" w:cs="Arial"/>
          <w:sz w:val="20"/>
          <w:szCs w:val="20"/>
        </w:rPr>
        <w:t>investors.</w:t>
      </w:r>
      <w:r>
        <w:rPr>
          <w:rFonts w:ascii="Arial" w:eastAsia="Calibri" w:hAnsi="Arial" w:cs="Arial"/>
          <w:sz w:val="20"/>
          <w:szCs w:val="20"/>
        </w:rPr>
        <w:t xml:space="preserve"> The</w:t>
      </w:r>
      <w:r>
        <w:rPr>
          <w:rFonts w:ascii="Arial" w:eastAsia="Calibri" w:hAnsi="Arial" w:cs="Arial"/>
          <w:sz w:val="20"/>
          <w:szCs w:val="20"/>
        </w:rPr>
        <w:t xml:space="preserve"> wider</w:t>
      </w:r>
      <w:r>
        <w:rPr>
          <w:rFonts w:ascii="Arial" w:eastAsia="Calibri" w:hAnsi="Arial" w:cs="Arial"/>
          <w:sz w:val="20"/>
          <w:szCs w:val="20"/>
        </w:rPr>
        <w:t xml:space="preserve"> property sector </w:t>
      </w:r>
      <w:r>
        <w:rPr>
          <w:rFonts w:ascii="Arial" w:eastAsia="Calibri" w:hAnsi="Arial" w:cs="Arial"/>
          <w:sz w:val="20"/>
          <w:szCs w:val="20"/>
        </w:rPr>
        <w:t xml:space="preserve">benefits from the presence of experts that can oversee transactions, provide regulatory and safety assurances, while </w:t>
      </w:r>
      <w:r>
        <w:rPr>
          <w:rFonts w:ascii="Arial" w:eastAsia="Calibri" w:hAnsi="Arial" w:cs="Arial"/>
          <w:sz w:val="20"/>
          <w:szCs w:val="20"/>
        </w:rPr>
        <w:t>delivering</w:t>
      </w:r>
      <w:r>
        <w:rPr>
          <w:rFonts w:ascii="Arial" w:eastAsia="Calibri" w:hAnsi="Arial" w:cs="Arial"/>
          <w:sz w:val="20"/>
          <w:szCs w:val="20"/>
        </w:rPr>
        <w:t xml:space="preserve"> economies of scale. </w:t>
      </w:r>
      <w:r>
        <w:rPr>
          <w:rFonts w:ascii="Arial" w:eastAsia="Calibri" w:hAnsi="Arial" w:cs="Arial"/>
          <w:sz w:val="20"/>
          <w:szCs w:val="20"/>
        </w:rPr>
        <w:t>By forcing an exit of the entities that</w:t>
      </w:r>
      <w:r>
        <w:rPr>
          <w:rFonts w:ascii="Arial" w:eastAsia="Calibri" w:hAnsi="Arial" w:cs="Arial"/>
          <w:sz w:val="20"/>
          <w:szCs w:val="20"/>
        </w:rPr>
        <w:t xml:space="preserve"> deliver this</w:t>
      </w:r>
      <w:r>
        <w:rPr>
          <w:rFonts w:ascii="Arial" w:eastAsia="Calibri" w:hAnsi="Arial" w:cs="Arial"/>
          <w:sz w:val="20"/>
          <w:szCs w:val="20"/>
        </w:rPr>
        <w:t>, increased levels of uncertainty and risk will be introduced to lending decisions, valuations</w:t>
      </w:r>
      <w:r>
        <w:rPr>
          <w:rFonts w:ascii="Arial" w:eastAsia="Calibri" w:hAnsi="Arial" w:cs="Arial"/>
          <w:sz w:val="20"/>
          <w:szCs w:val="20"/>
        </w:rPr>
        <w:t xml:space="preserve"> and </w:t>
      </w:r>
      <w:r>
        <w:rPr>
          <w:rFonts w:ascii="Arial" w:eastAsia="Calibri" w:hAnsi="Arial" w:cs="Arial"/>
          <w:sz w:val="20"/>
          <w:szCs w:val="20"/>
        </w:rPr>
        <w:t>insurance coverage</w:t>
      </w:r>
      <w:r>
        <w:rPr>
          <w:rFonts w:ascii="Arial" w:eastAsia="Calibri" w:hAnsi="Arial" w:cs="Arial"/>
          <w:sz w:val="20"/>
          <w:szCs w:val="20"/>
        </w:rPr>
        <w:t>.</w:t>
      </w:r>
      <w:r>
        <w:rPr>
          <w:rFonts w:ascii="Arial" w:eastAsia="Calibri" w:hAnsi="Arial" w:cs="Arial"/>
          <w:sz w:val="20"/>
          <w:szCs w:val="20"/>
        </w:rPr>
        <w:t xml:space="preserve"> </w:t>
      </w:r>
    </w:p>
    <w:p w:rsidR="00BC1575" w:rsidRPr="00482F14" w:rsidP="0094449D">
      <w:pPr>
        <w:pStyle w:val="ListParagraph"/>
        <w:ind w:left="792"/>
        <w:jc w:val="both"/>
        <w:rPr>
          <w:rFonts w:ascii="Arial" w:eastAsia="Calibri" w:hAnsi="Arial" w:cs="Arial"/>
          <w:b/>
          <w:bCs/>
          <w:sz w:val="20"/>
          <w:szCs w:val="20"/>
        </w:rPr>
      </w:pPr>
    </w:p>
    <w:p w:rsidR="00BC1575" w:rsidRPr="00BB0E51" w:rsidP="0094449D">
      <w:pPr>
        <w:pStyle w:val="ListParagraph"/>
        <w:numPr>
          <w:ilvl w:val="1"/>
          <w:numId w:val="1"/>
        </w:numPr>
        <w:jc w:val="both"/>
        <w:rPr>
          <w:rFonts w:ascii="Arial" w:eastAsia="Calibri" w:hAnsi="Arial" w:cs="Arial"/>
          <w:b/>
          <w:bCs/>
          <w:sz w:val="20"/>
          <w:szCs w:val="20"/>
        </w:rPr>
      </w:pPr>
      <w:r>
        <w:rPr>
          <w:rFonts w:ascii="Arial" w:eastAsia="Calibri" w:hAnsi="Arial" w:cs="Arial"/>
          <w:sz w:val="20"/>
          <w:szCs w:val="20"/>
        </w:rPr>
        <w:t xml:space="preserve">For UK property investors, who </w:t>
      </w:r>
      <w:r>
        <w:rPr>
          <w:rFonts w:ascii="Arial" w:eastAsia="Calibri" w:hAnsi="Arial" w:cs="Arial"/>
          <w:sz w:val="20"/>
          <w:szCs w:val="20"/>
        </w:rPr>
        <w:t>are</w:t>
      </w:r>
      <w:r>
        <w:rPr>
          <w:rFonts w:ascii="Arial" w:eastAsia="Calibri" w:hAnsi="Arial" w:cs="Arial"/>
          <w:sz w:val="20"/>
          <w:szCs w:val="20"/>
        </w:rPr>
        <w:t xml:space="preserve"> driving investment to achieve the Government’s housebuilding targets</w:t>
      </w:r>
      <w:r>
        <w:rPr>
          <w:rFonts w:ascii="Arial" w:eastAsia="Calibri" w:hAnsi="Arial" w:cs="Arial"/>
          <w:sz w:val="20"/>
          <w:szCs w:val="20"/>
        </w:rPr>
        <w:t xml:space="preserve"> and under the Mansion House Accord</w:t>
      </w:r>
      <w:r>
        <w:rPr>
          <w:rFonts w:ascii="Arial" w:eastAsia="Calibri" w:hAnsi="Arial" w:cs="Arial"/>
          <w:sz w:val="20"/>
          <w:szCs w:val="20"/>
        </w:rPr>
        <w:t xml:space="preserve">, </w:t>
      </w:r>
      <w:r w:rsidRPr="00531E86">
        <w:rPr>
          <w:rFonts w:ascii="Arial" w:eastAsia="Calibri" w:hAnsi="Arial" w:cs="Arial"/>
          <w:sz w:val="20"/>
          <w:szCs w:val="20"/>
        </w:rPr>
        <w:t xml:space="preserve">retrospective intervention in established legal contracts </w:t>
      </w:r>
      <w:r>
        <w:rPr>
          <w:rFonts w:ascii="Arial" w:eastAsia="Calibri" w:hAnsi="Arial" w:cs="Arial"/>
          <w:sz w:val="20"/>
          <w:szCs w:val="20"/>
        </w:rPr>
        <w:t>will</w:t>
      </w:r>
      <w:r w:rsidRPr="00531E86">
        <w:rPr>
          <w:rFonts w:ascii="Arial" w:eastAsia="Calibri" w:hAnsi="Arial" w:cs="Arial"/>
          <w:sz w:val="20"/>
          <w:szCs w:val="20"/>
        </w:rPr>
        <w:t xml:space="preserve"> undermine the assumptions underpinning </w:t>
      </w:r>
      <w:r>
        <w:rPr>
          <w:rFonts w:ascii="Arial" w:eastAsia="Calibri" w:hAnsi="Arial" w:cs="Arial"/>
          <w:sz w:val="20"/>
          <w:szCs w:val="20"/>
        </w:rPr>
        <w:t>their investment</w:t>
      </w:r>
      <w:r w:rsidRPr="00531E86">
        <w:rPr>
          <w:rFonts w:ascii="Arial" w:eastAsia="Calibri" w:hAnsi="Arial" w:cs="Arial"/>
          <w:sz w:val="20"/>
          <w:szCs w:val="20"/>
        </w:rPr>
        <w:t xml:space="preserve"> </w:t>
      </w:r>
      <w:r w:rsidRPr="00531E86">
        <w:rPr>
          <w:rFonts w:ascii="Arial" w:eastAsia="Calibri" w:hAnsi="Arial" w:cs="Arial"/>
          <w:sz w:val="20"/>
          <w:szCs w:val="20"/>
        </w:rPr>
        <w:t xml:space="preserve">decisions and introduce a new level of political risk into pension and investment portfolios, </w:t>
      </w:r>
      <w:r w:rsidRPr="00BB0E51">
        <w:rPr>
          <w:rFonts w:ascii="Arial" w:eastAsia="Calibri" w:hAnsi="Arial" w:cs="Arial"/>
          <w:sz w:val="20"/>
          <w:szCs w:val="20"/>
        </w:rPr>
        <w:t xml:space="preserve">undermining confidence not only in the </w:t>
      </w:r>
      <w:r>
        <w:rPr>
          <w:rFonts w:ascii="Arial" w:eastAsia="Calibri" w:hAnsi="Arial" w:cs="Arial"/>
          <w:sz w:val="20"/>
          <w:szCs w:val="20"/>
        </w:rPr>
        <w:t>future of commonhold and the multi-occupancy buildings sector</w:t>
      </w:r>
      <w:r w:rsidRPr="00BB0E51">
        <w:rPr>
          <w:rFonts w:ascii="Arial" w:eastAsia="Calibri" w:hAnsi="Arial" w:cs="Arial"/>
          <w:sz w:val="20"/>
          <w:szCs w:val="20"/>
        </w:rPr>
        <w:t xml:space="preserve"> but across the wider UK investment market.</w:t>
      </w:r>
    </w:p>
    <w:p w:rsidR="00BC1575" w:rsidRPr="00BB0E51" w:rsidP="0094449D">
      <w:pPr>
        <w:pStyle w:val="ListParagraph"/>
        <w:jc w:val="both"/>
        <w:rPr>
          <w:rFonts w:ascii="Arial" w:eastAsia="Calibri" w:hAnsi="Arial" w:cs="Arial"/>
          <w:b/>
          <w:bCs/>
          <w:sz w:val="20"/>
          <w:szCs w:val="20"/>
        </w:rPr>
      </w:pPr>
    </w:p>
    <w:p w:rsidR="00BC1575" w:rsidRPr="00BC1575" w:rsidP="00EB0C52">
      <w:pPr>
        <w:jc w:val="both"/>
        <w:rPr>
          <w:rFonts w:ascii="Arial" w:eastAsia="Calibri" w:hAnsi="Arial" w:cs="Arial"/>
          <w:i/>
          <w:iCs/>
          <w:sz w:val="20"/>
          <w:szCs w:val="20"/>
        </w:rPr>
      </w:pPr>
      <w:r>
        <w:rPr>
          <w:rFonts w:ascii="Arial" w:eastAsia="Calibri" w:hAnsi="Arial" w:cs="Arial"/>
          <w:i/>
          <w:iCs/>
          <w:sz w:val="20"/>
          <w:szCs w:val="20"/>
        </w:rPr>
        <w:t>February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1575" w:rsidP="00C72511">
      <w:pPr>
        <w:spacing w:after="0" w:line="240" w:lineRule="auto"/>
      </w:pPr>
      <w:r>
        <w:separator/>
      </w:r>
    </w:p>
  </w:footnote>
  <w:footnote w:type="continuationSeparator" w:id="1">
    <w:p w:rsidR="00BC1575" w:rsidP="00C72511">
      <w:pPr>
        <w:spacing w:after="0" w:line="240" w:lineRule="auto"/>
      </w:pPr>
      <w:r>
        <w:continuationSeparator/>
      </w:r>
    </w:p>
  </w:footnote>
  <w:footnote w:id="2">
    <w:p w:rsidR="00BC1575" w:rsidRPr="00C72511">
      <w:pPr>
        <w:pStyle w:val="FootnoteText"/>
        <w:rPr>
          <w:lang w:val="en-US"/>
        </w:rPr>
      </w:pPr>
      <w:r>
        <w:rPr>
          <w:rStyle w:val="FootnoteReference"/>
        </w:rPr>
        <w:footnoteRef/>
      </w:r>
      <w:r>
        <w:t xml:space="preserve"> </w:t>
      </w:r>
      <w:r w:rsidRPr="00C72511">
        <w:rPr>
          <w:rFonts w:ascii="Arial" w:hAnsi="Arial" w:cs="Arial"/>
          <w:sz w:val="18"/>
          <w:szCs w:val="18"/>
        </w:rPr>
        <w:t>Centre for Public Data, ‘</w:t>
      </w:r>
      <w:r>
        <w:fldChar w:fldCharType="begin"/>
      </w:r>
      <w:r>
        <w:instrText xml:space="preserve"> HYPERLINK "https://www.centreforpublicdata.org/property-data-overseas-individuals" </w:instrText>
      </w:r>
      <w:r>
        <w:fldChar w:fldCharType="separate"/>
      </w:r>
      <w:r w:rsidRPr="00C72511">
        <w:rPr>
          <w:rStyle w:val="Hyperlink"/>
          <w:rFonts w:ascii="Arial" w:hAnsi="Arial" w:cs="Arial"/>
          <w:sz w:val="18"/>
          <w:szCs w:val="18"/>
        </w:rPr>
        <w:t>New data on property in England &amp; Wales owned by overseas individuals</w:t>
      </w:r>
      <w:r>
        <w:fldChar w:fldCharType="end"/>
      </w:r>
      <w:r w:rsidRPr="00C72511">
        <w:rPr>
          <w:rFonts w:ascii="Arial" w:hAnsi="Arial" w:cs="Arial"/>
          <w:sz w:val="18"/>
          <w:szCs w:val="18"/>
        </w:rPr>
        <w:t>’, June 2023.</w:t>
      </w:r>
    </w:p>
  </w:footnote>
  <w:footnote w:id="3">
    <w:p w:rsidR="00BC1575" w:rsidRPr="00F47C4F">
      <w:pPr>
        <w:pStyle w:val="FootnoteText"/>
        <w:rPr>
          <w:rFonts w:ascii="Arial" w:hAnsi="Arial" w:cs="Arial"/>
          <w:b/>
          <w:bCs/>
          <w:sz w:val="18"/>
          <w:szCs w:val="18"/>
        </w:rPr>
      </w:pPr>
      <w:r>
        <w:rPr>
          <w:rStyle w:val="FootnoteReference"/>
        </w:rPr>
        <w:footnoteRef/>
      </w:r>
      <w:r>
        <w:rPr>
          <w:rFonts w:ascii="Arial" w:hAnsi="Arial" w:cs="Arial"/>
          <w:sz w:val="18"/>
          <w:szCs w:val="18"/>
        </w:rPr>
        <w:t xml:space="preserve"> </w:t>
      </w:r>
      <w:r w:rsidRPr="00F47C4F">
        <w:rPr>
          <w:rFonts w:ascii="Arial" w:hAnsi="Arial" w:cs="Arial"/>
          <w:sz w:val="18"/>
          <w:szCs w:val="18"/>
        </w:rPr>
        <w:t>DLUHC, ‘</w:t>
      </w:r>
      <w:r>
        <w:fldChar w:fldCharType="begin"/>
      </w:r>
      <w:r>
        <w:instrText xml:space="preserve"> HYPERLINK "https://assets.publishing.service.gov.uk/media/64b7ea4bef537100147aeeb1/Perspectives_on_living_in_and_looking_after_shared_buildings.pdf" </w:instrText>
      </w:r>
      <w:r>
        <w:fldChar w:fldCharType="separate"/>
      </w:r>
      <w:r w:rsidRPr="00F47C4F">
        <w:rPr>
          <w:rStyle w:val="Hyperlink"/>
          <w:rFonts w:ascii="Arial" w:hAnsi="Arial" w:cs="Arial"/>
          <w:sz w:val="18"/>
          <w:szCs w:val="18"/>
        </w:rPr>
        <w:t>Perspectives on living in and looking after shared buildings</w:t>
      </w:r>
      <w:r>
        <w:fldChar w:fldCharType="end"/>
      </w:r>
      <w:r w:rsidRPr="00F47C4F">
        <w:rPr>
          <w:rFonts w:ascii="Arial" w:hAnsi="Arial" w:cs="Arial"/>
          <w:sz w:val="18"/>
          <w:szCs w:val="18"/>
        </w:rPr>
        <w:t>’, July 2023</w:t>
      </w:r>
    </w:p>
  </w:footnote>
  <w:footnote w:id="4">
    <w:p w:rsidR="00BC1575" w:rsidRPr="00F47C4F">
      <w:pPr>
        <w:pStyle w:val="FootnoteText"/>
        <w:rPr>
          <w:lang w:val="en-US"/>
        </w:rPr>
      </w:pPr>
      <w:r w:rsidRPr="00F47C4F">
        <w:rPr>
          <w:rStyle w:val="FootnoteReference"/>
          <w:rFonts w:ascii="Arial" w:hAnsi="Arial" w:cs="Arial"/>
          <w:sz w:val="18"/>
          <w:szCs w:val="18"/>
        </w:rPr>
        <w:footnoteRef/>
      </w:r>
      <w:r w:rsidRPr="00F47C4F">
        <w:rPr>
          <w:rFonts w:ascii="Arial" w:hAnsi="Arial" w:cs="Arial"/>
          <w:sz w:val="18"/>
          <w:szCs w:val="18"/>
        </w:rPr>
        <w:t xml:space="preserve"> Committee of Public Accounts, ‘</w:t>
      </w:r>
      <w:r>
        <w:fldChar w:fldCharType="begin"/>
      </w:r>
      <w:r>
        <w:instrText xml:space="preserve"> HYPERLINK "https://committees.parliament.uk/publications/47171/documents/244299/default/" </w:instrText>
      </w:r>
      <w:r>
        <w:fldChar w:fldCharType="separate"/>
      </w:r>
      <w:r w:rsidRPr="00F47C4F">
        <w:rPr>
          <w:rStyle w:val="Hyperlink"/>
          <w:rFonts w:ascii="Arial" w:hAnsi="Arial" w:cs="Arial"/>
          <w:sz w:val="18"/>
          <w:szCs w:val="18"/>
        </w:rPr>
        <w:t>The Remediation of Dangerous Cladding</w:t>
      </w:r>
      <w:r>
        <w:fldChar w:fldCharType="end"/>
      </w:r>
      <w:r w:rsidRPr="00F47C4F">
        <w:rPr>
          <w:rFonts w:ascii="Arial" w:hAnsi="Arial" w:cs="Arial"/>
          <w:sz w:val="18"/>
          <w:szCs w:val="18"/>
        </w:rPr>
        <w:t>’, March 2025</w:t>
      </w:r>
    </w:p>
  </w:footnote>
  <w:footnote w:id="5">
    <w:p w:rsidR="00BC1575" w:rsidRPr="00F47C4F">
      <w:pPr>
        <w:pStyle w:val="FootnoteText"/>
        <w:rPr>
          <w:lang w:val="en-US"/>
        </w:rPr>
      </w:pPr>
      <w:r>
        <w:rPr>
          <w:rStyle w:val="FootnoteReference"/>
        </w:rPr>
        <w:footnoteRef/>
      </w:r>
      <w:r>
        <w:t xml:space="preserve"> </w:t>
      </w:r>
      <w:r w:rsidRPr="00F47C4F">
        <w:rPr>
          <w:rFonts w:ascii="Arial" w:hAnsi="Arial" w:cs="Arial"/>
          <w:sz w:val="18"/>
          <w:szCs w:val="18"/>
        </w:rPr>
        <w:t>RICS, ‘</w:t>
      </w:r>
      <w:r>
        <w:fldChar w:fldCharType="begin"/>
      </w:r>
      <w:r>
        <w:instrText xml:space="preserve"> HYPERLINK "https://www.befs.org.uk/wp-content/uploads/2019/01/SPWG-Interim-Recommendations.pdf" </w:instrText>
      </w:r>
      <w:r>
        <w:fldChar w:fldCharType="separate"/>
      </w:r>
      <w:r w:rsidRPr="00F47C4F">
        <w:rPr>
          <w:rStyle w:val="Hyperlink"/>
          <w:rFonts w:ascii="Arial" w:hAnsi="Arial" w:cs="Arial"/>
          <w:sz w:val="18"/>
          <w:szCs w:val="18"/>
        </w:rPr>
        <w:t>Working Group on Maintenance of Tenement Scheme Property</w:t>
      </w:r>
      <w:r>
        <w:fldChar w:fldCharType="end"/>
      </w:r>
      <w:r w:rsidRPr="00F47C4F">
        <w:rPr>
          <w:rFonts w:ascii="Arial" w:hAnsi="Arial" w:cs="Arial"/>
          <w:sz w:val="18"/>
          <w:szCs w:val="18"/>
        </w:rPr>
        <w:t>’, January 2019</w:t>
      </w:r>
    </w:p>
  </w:footnote>
  <w:footnote w:id="6">
    <w:p w:rsidR="00BC1575" w:rsidRPr="00DF1025" w:rsidP="00DF1025">
      <w:pPr>
        <w:pStyle w:val="NoSpacing"/>
        <w:spacing w:line="312" w:lineRule="auto"/>
        <w:jc w:val="center"/>
        <w:rPr>
          <w:rFonts w:ascii="Arial" w:hAnsi="Arial" w:cs="Arial"/>
          <w:color w:val="000000" w:themeColor="text1"/>
          <w:sz w:val="18"/>
          <w:szCs w:val="18"/>
        </w:rPr>
      </w:pPr>
      <w:r w:rsidRPr="00DF1025">
        <w:rPr>
          <w:rStyle w:val="FootnoteReference"/>
          <w:rFonts w:ascii="Arial" w:hAnsi="Arial" w:cs="Arial"/>
          <w:sz w:val="18"/>
          <w:szCs w:val="18"/>
        </w:rPr>
        <w:footnoteRef/>
      </w:r>
      <w:r w:rsidRPr="00DF1025">
        <w:rPr>
          <w:rFonts w:ascii="Arial" w:hAnsi="Arial" w:cs="Arial"/>
          <w:sz w:val="18"/>
          <w:szCs w:val="18"/>
        </w:rPr>
        <w:t xml:space="preserve"> WPI, ‘Economic risks and unintended consequences of a retrospective ground rent cap’, February 2026</w:t>
      </w:r>
    </w:p>
    <w:p w:rsidR="00BC1575" w:rsidRPr="00DF1025" w:rsidP="00DF1025">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74412DD"/>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B6EE8888"/>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E8AF86A6"/>
    <w:multiLevelType w:val="hybridMultilevel"/>
    <w:tmpl w:val="FFFFFFFF"/>
    <w:lvl w:ilvl="0">
      <w:start w:val="1"/>
      <w:numFmt w:val="decimal"/>
      <w:lvlText w:val="%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320689E"/>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0932058E"/>
    <w:multiLevelType w:val="hybridMultilevel"/>
    <w:tmpl w:val="AFDC0C4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5">
    <w:nsid w:val="1306016E"/>
    <w:multiLevelType w:val="multilevel"/>
    <w:tmpl w:val="F6CA464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21BF2D"/>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265A1F60"/>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2F271B55"/>
    <w:multiLevelType w:val="hybridMultilevel"/>
    <w:tmpl w:val="BCC2F568"/>
    <w:lvl w:ilvl="0">
      <w:start w:val="1"/>
      <w:numFmt w:val="decimal"/>
      <w:lvlText w:val="%1."/>
      <w:lvlJc w:val="left"/>
      <w:pPr>
        <w:ind w:left="360" w:hanging="360"/>
      </w:pPr>
    </w:lvl>
    <w:lvl w:ilvl="1">
      <w:start w:val="1"/>
      <w:numFmt w:val="decimal"/>
      <w:lvlText w:val="%2.1"/>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3B6B0EDD"/>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57343D07"/>
    <w:multiLevelType w:val="hybridMultilevel"/>
    <w:tmpl w:val="F1341D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613942A1"/>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6537658A"/>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6C22F2F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0"/>
  </w:num>
  <w:num w:numId="3">
    <w:abstractNumId w:val="9"/>
  </w:num>
  <w:num w:numId="4">
    <w:abstractNumId w:val="12"/>
  </w:num>
  <w:num w:numId="5">
    <w:abstractNumId w:val="3"/>
  </w:num>
  <w:num w:numId="6">
    <w:abstractNumId w:val="8"/>
  </w:num>
  <w:num w:numId="7">
    <w:abstractNumId w:val="7"/>
  </w:num>
  <w:num w:numId="8">
    <w:abstractNumId w:val="2"/>
  </w:num>
  <w:num w:numId="9">
    <w:abstractNumId w:val="10"/>
  </w:num>
  <w:num w:numId="10">
    <w:abstractNumId w:val="1"/>
  </w:num>
  <w:num w:numId="11">
    <w:abstractNumId w:val="6"/>
  </w:num>
  <w:num w:numId="12">
    <w:abstractNumId w:val="13"/>
  </w:num>
  <w:num w:numId="13">
    <w:abstractNumId w:val="11"/>
  </w:num>
  <w:num w:numId="14">
    <w:abstractNumId w:val="4"/>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06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0F2"/>
    <w:rPr>
      <w:rFonts w:eastAsiaTheme="majorEastAsia" w:cstheme="majorBidi"/>
      <w:color w:val="272727" w:themeColor="text1" w:themeTint="D8"/>
    </w:rPr>
  </w:style>
  <w:style w:type="paragraph" w:styleId="Title">
    <w:name w:val="Title"/>
    <w:basedOn w:val="Normal"/>
    <w:next w:val="Normal"/>
    <w:link w:val="TitleChar"/>
    <w:uiPriority w:val="10"/>
    <w:qFormat/>
    <w:rsid w:val="00906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0F2"/>
    <w:pPr>
      <w:spacing w:before="160"/>
      <w:jc w:val="center"/>
    </w:pPr>
    <w:rPr>
      <w:i/>
      <w:iCs/>
      <w:color w:val="404040" w:themeColor="text1" w:themeTint="BF"/>
    </w:rPr>
  </w:style>
  <w:style w:type="character" w:customStyle="1" w:styleId="QuoteChar">
    <w:name w:val="Quote Char"/>
    <w:basedOn w:val="DefaultParagraphFont"/>
    <w:link w:val="Quote"/>
    <w:uiPriority w:val="29"/>
    <w:rsid w:val="009060F2"/>
    <w:rPr>
      <w:i/>
      <w:iCs/>
      <w:color w:val="404040" w:themeColor="text1" w:themeTint="BF"/>
    </w:rPr>
  </w:style>
  <w:style w:type="paragraph" w:styleId="ListParagraph">
    <w:name w:val="List Paragraph"/>
    <w:basedOn w:val="Normal"/>
    <w:uiPriority w:val="34"/>
    <w:qFormat/>
    <w:rsid w:val="009060F2"/>
    <w:pPr>
      <w:ind w:left="720"/>
      <w:contextualSpacing/>
    </w:pPr>
  </w:style>
  <w:style w:type="character" w:styleId="IntenseEmphasis">
    <w:name w:val="Intense Emphasis"/>
    <w:basedOn w:val="DefaultParagraphFont"/>
    <w:uiPriority w:val="21"/>
    <w:qFormat/>
    <w:rsid w:val="009060F2"/>
    <w:rPr>
      <w:i/>
      <w:iCs/>
      <w:color w:val="0F4761" w:themeColor="accent1" w:themeShade="BF"/>
    </w:rPr>
  </w:style>
  <w:style w:type="paragraph" w:styleId="IntenseQuote">
    <w:name w:val="Intense Quote"/>
    <w:basedOn w:val="Normal"/>
    <w:next w:val="Normal"/>
    <w:link w:val="IntenseQuoteChar"/>
    <w:uiPriority w:val="30"/>
    <w:qFormat/>
    <w:rsid w:val="00906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0F2"/>
    <w:rPr>
      <w:i/>
      <w:iCs/>
      <w:color w:val="0F4761" w:themeColor="accent1" w:themeShade="BF"/>
    </w:rPr>
  </w:style>
  <w:style w:type="character" w:styleId="IntenseReference">
    <w:name w:val="Intense Reference"/>
    <w:basedOn w:val="DefaultParagraphFont"/>
    <w:uiPriority w:val="32"/>
    <w:qFormat/>
    <w:rsid w:val="009060F2"/>
    <w:rPr>
      <w:b/>
      <w:bCs/>
      <w:smallCaps/>
      <w:color w:val="0F4761" w:themeColor="accent1" w:themeShade="BF"/>
      <w:spacing w:val="5"/>
    </w:rPr>
  </w:style>
  <w:style w:type="character" w:styleId="Hyperlink">
    <w:name w:val="Hyperlink"/>
    <w:basedOn w:val="DefaultParagraphFont"/>
    <w:uiPriority w:val="99"/>
    <w:unhideWhenUsed/>
    <w:rsid w:val="00176ABC"/>
    <w:rPr>
      <w:color w:val="467886" w:themeColor="hyperlink"/>
      <w:u w:val="single"/>
    </w:rPr>
  </w:style>
  <w:style w:type="character" w:customStyle="1" w:styleId="UnresolvedMention1">
    <w:name w:val="Unresolved Mention1"/>
    <w:basedOn w:val="DefaultParagraphFont"/>
    <w:uiPriority w:val="99"/>
    <w:semiHidden/>
    <w:unhideWhenUsed/>
    <w:rsid w:val="00176ABC"/>
    <w:rPr>
      <w:color w:val="605E5C"/>
      <w:shd w:val="clear" w:color="auto" w:fill="E1DFDD"/>
    </w:rPr>
  </w:style>
  <w:style w:type="paragraph" w:customStyle="1" w:styleId="Default">
    <w:name w:val="Default"/>
    <w:rsid w:val="008F38DA"/>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CC3CDA"/>
    <w:pPr>
      <w:spacing w:after="0" w:line="240" w:lineRule="auto"/>
    </w:pPr>
  </w:style>
  <w:style w:type="character" w:styleId="CommentReference">
    <w:name w:val="annotation reference"/>
    <w:basedOn w:val="DefaultParagraphFont"/>
    <w:uiPriority w:val="99"/>
    <w:semiHidden/>
    <w:unhideWhenUsed/>
    <w:rsid w:val="00F9286B"/>
    <w:rPr>
      <w:sz w:val="16"/>
      <w:szCs w:val="16"/>
    </w:rPr>
  </w:style>
  <w:style w:type="paragraph" w:styleId="CommentText">
    <w:name w:val="annotation text"/>
    <w:basedOn w:val="Normal"/>
    <w:link w:val="CommentTextChar"/>
    <w:uiPriority w:val="99"/>
    <w:unhideWhenUsed/>
    <w:rsid w:val="00F9286B"/>
    <w:pPr>
      <w:spacing w:line="240" w:lineRule="auto"/>
    </w:pPr>
    <w:rPr>
      <w:sz w:val="20"/>
      <w:szCs w:val="20"/>
    </w:rPr>
  </w:style>
  <w:style w:type="character" w:customStyle="1" w:styleId="CommentTextChar">
    <w:name w:val="Comment Text Char"/>
    <w:basedOn w:val="DefaultParagraphFont"/>
    <w:link w:val="CommentText"/>
    <w:uiPriority w:val="99"/>
    <w:rsid w:val="00F9286B"/>
    <w:rPr>
      <w:sz w:val="20"/>
      <w:szCs w:val="20"/>
    </w:rPr>
  </w:style>
  <w:style w:type="paragraph" w:styleId="CommentSubject">
    <w:name w:val="annotation subject"/>
    <w:basedOn w:val="CommentText"/>
    <w:next w:val="CommentText"/>
    <w:link w:val="CommentSubjectChar"/>
    <w:uiPriority w:val="99"/>
    <w:semiHidden/>
    <w:unhideWhenUsed/>
    <w:rsid w:val="00F9286B"/>
    <w:rPr>
      <w:b/>
      <w:bCs/>
    </w:rPr>
  </w:style>
  <w:style w:type="character" w:customStyle="1" w:styleId="CommentSubjectChar">
    <w:name w:val="Comment Subject Char"/>
    <w:basedOn w:val="CommentTextChar"/>
    <w:link w:val="CommentSubject"/>
    <w:uiPriority w:val="99"/>
    <w:semiHidden/>
    <w:rsid w:val="00F9286B"/>
    <w:rPr>
      <w:b/>
      <w:bCs/>
      <w:sz w:val="20"/>
      <w:szCs w:val="20"/>
    </w:rPr>
  </w:style>
  <w:style w:type="character" w:customStyle="1" w:styleId="Mention1">
    <w:name w:val="Mention1"/>
    <w:basedOn w:val="DefaultParagraphFont"/>
    <w:uiPriority w:val="99"/>
    <w:unhideWhenUsed/>
    <w:rsid w:val="007C5ECD"/>
    <w:rPr>
      <w:color w:val="2B579A"/>
      <w:shd w:val="clear" w:color="auto" w:fill="E1DFDD"/>
    </w:rPr>
  </w:style>
  <w:style w:type="paragraph" w:styleId="FootnoteText">
    <w:name w:val="footnote text"/>
    <w:basedOn w:val="Normal"/>
    <w:link w:val="FootnoteTextChar"/>
    <w:uiPriority w:val="99"/>
    <w:semiHidden/>
    <w:unhideWhenUsed/>
    <w:rsid w:val="00C725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511"/>
    <w:rPr>
      <w:sz w:val="20"/>
      <w:szCs w:val="20"/>
    </w:rPr>
  </w:style>
  <w:style w:type="character" w:styleId="FootnoteReference">
    <w:name w:val="footnote reference"/>
    <w:basedOn w:val="DefaultParagraphFont"/>
    <w:uiPriority w:val="99"/>
    <w:semiHidden/>
    <w:unhideWhenUsed/>
    <w:rsid w:val="00C72511"/>
    <w:rPr>
      <w:vertAlign w:val="superscript"/>
    </w:rPr>
  </w:style>
  <w:style w:type="paragraph" w:styleId="NormalWeb">
    <w:name w:val="Normal (Web)"/>
    <w:basedOn w:val="Normal"/>
    <w:uiPriority w:val="99"/>
    <w:semiHidden/>
    <w:unhideWhenUsed/>
    <w:rsid w:val="00F47C4F"/>
    <w:rPr>
      <w:rFonts w:ascii="Times New Roman" w:hAnsi="Times New Roman" w:cs="Times New Roman"/>
    </w:rPr>
  </w:style>
  <w:style w:type="paragraph" w:styleId="NoSpacing">
    <w:name w:val="No Spacing"/>
    <w:uiPriority w:val="1"/>
    <w:qFormat/>
    <w:rsid w:val="00DF1025"/>
    <w:pPr>
      <w:spacing w:after="0" w:line="240" w:lineRule="auto"/>
    </w:pPr>
    <w:rPr>
      <w:rFonts w:eastAsiaTheme="minorEastAsia"/>
      <w:kern w:val="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B5B14-A30A-4F73-B0B3-F7A83BAE6E47}">
  <ds:schemaRefs>
    <ds:schemaRef ds:uri="http://schemas.microsoft.com/office/2006/metadata/properties"/>
    <ds:schemaRef ds:uri="http://schemas.microsoft.com/office/infopath/2007/PartnerControls"/>
    <ds:schemaRef ds:uri="5068bd1e-3f09-4384-ab7e-042ecd9ac6f1"/>
  </ds:schemaRefs>
</ds:datastoreItem>
</file>

<file path=customXml/itemProps2.xml><?xml version="1.0" encoding="utf-8"?>
<ds:datastoreItem xmlns:ds="http://schemas.openxmlformats.org/officeDocument/2006/customXml" ds:itemID="{94930B74-7906-48AB-9F00-424698C55701}">
  <ds:schemaRefs/>
</ds:datastoreItem>
</file>

<file path=customXml/itemProps3.xml><?xml version="1.0" encoding="utf-8"?>
<ds:datastoreItem xmlns:ds="http://schemas.openxmlformats.org/officeDocument/2006/customXml" ds:itemID="{194FD3F5-2ABC-4D93-8A81-ABFFDE94C3C4}">
  <ds:schemaRefs>
    <ds:schemaRef ds:uri="http://schemas.openxmlformats.org/officeDocument/2006/bibliography"/>
  </ds:schemaRefs>
</ds:datastoreItem>
</file>

<file path=customXml/itemProps4.xml><?xml version="1.0" encoding="utf-8"?>
<ds:datastoreItem xmlns:ds="http://schemas.openxmlformats.org/officeDocument/2006/customXml" ds:itemID="{CC18E197-112B-4832-9AFD-8A644FAE1672}">
  <ds:schemaRefs/>
</ds:datastoreItem>
</file>

<file path=customXml/itemProps5.xml><?xml version="1.0" encoding="utf-8"?>
<ds:datastoreItem xmlns:ds="http://schemas.openxmlformats.org/officeDocument/2006/customXml" ds:itemID="{3407808F-9BA0-4C70-B26B-E7C16F26AB89}">
  <ds:schemaRefs>
    <ds:schemaRef ds:uri="http://schemas.microsoft.com/sharepoint/v3/contenttype/forms"/>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CLR0178</dc:title>
  <cp:revision>0</cp:revision>
</cp:coreProperties>
</file>