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39DD" w:rsidRPr="00CC39DD" w:rsidP="00CC39DD">
      <w:pPr>
        <w:pStyle w:val="Heading1"/>
        <w:jc w:val="center"/>
        <w:rPr>
          <w:sz w:val="24"/>
          <w:szCs w:val="24"/>
        </w:rPr>
      </w:pPr>
      <w:r w:rsidRPr="00CC39DD">
        <w:rPr>
          <w:caps w:val="0"/>
          <w:sz w:val="24"/>
          <w:szCs w:val="24"/>
        </w:rPr>
        <w:t xml:space="preserve">Written evidence submitted by </w:t>
      </w:r>
      <w:r w:rsidRPr="00CC39DD">
        <w:rPr>
          <w:caps w:val="0"/>
          <w:sz w:val="24"/>
          <w:szCs w:val="24"/>
        </w:rPr>
        <w:t>R G Kensington Management Company Ltd [CLR 155]</w:t>
      </w:r>
    </w:p>
    <w:p w:rsidR="00CC39DD" w:rsidP="0000405E">
      <w:pPr>
        <w:pStyle w:val="Heading2"/>
      </w:pPr>
    </w:p>
    <w:p w:rsidR="00CC39DD" w:rsidP="0000405E">
      <w:pPr>
        <w:pStyle w:val="Heading2"/>
      </w:pPr>
      <w:r>
        <w:t>Introduction</w:t>
      </w:r>
    </w:p>
    <w:p w:rsidR="00CC39DD" w:rsidP="00493A60">
      <w:r>
        <w:t xml:space="preserve">I became aware of this call for evidence on the day before the deadline, so my </w:t>
      </w:r>
      <w:r>
        <w:t xml:space="preserve">submission </w:t>
      </w:r>
      <w:r>
        <w:t>is necessarily brief and focusses on what I consider to be the issue</w:t>
      </w:r>
      <w:r>
        <w:t xml:space="preserve"> most in need of attention</w:t>
      </w:r>
      <w:r>
        <w:t xml:space="preserve">: </w:t>
      </w:r>
      <w:r>
        <w:rPr>
          <w:b/>
          <w:bCs/>
          <w:i/>
          <w:iCs/>
        </w:rPr>
        <w:t>m</w:t>
      </w:r>
      <w:r w:rsidRPr="003A1494">
        <w:rPr>
          <w:b/>
          <w:bCs/>
          <w:i/>
          <w:iCs/>
        </w:rPr>
        <w:t>aking commonhold work and</w:t>
      </w:r>
      <w:r>
        <w:rPr>
          <w:b/>
          <w:bCs/>
        </w:rPr>
        <w:t xml:space="preserve"> </w:t>
      </w:r>
      <w:r w:rsidRPr="003C3280">
        <w:rPr>
          <w:b/>
          <w:bCs/>
          <w:i/>
          <w:iCs/>
        </w:rPr>
        <w:t>enabling the conversion of existing leasehold blocks</w:t>
      </w:r>
      <w:r>
        <w:t>.</w:t>
      </w:r>
      <w:r w:rsidRPr="008C7363">
        <w:t xml:space="preserve">  </w:t>
      </w:r>
    </w:p>
    <w:p w:rsidR="00CC39DD" w:rsidP="001E3E7F">
      <w:r>
        <w:t xml:space="preserve">I make this submission as Chairman of a company whose members </w:t>
      </w:r>
      <w:r>
        <w:t xml:space="preserve">are </w:t>
      </w:r>
      <w:r>
        <w:t>the leaseholders of the apartment block in which we</w:t>
      </w:r>
      <w:r>
        <w:t xml:space="preserve"> each</w:t>
      </w:r>
      <w:r>
        <w:t xml:space="preserve"> have a lease. The company is both the freeholder of the building </w:t>
      </w:r>
      <w:r>
        <w:t xml:space="preserve">and </w:t>
      </w:r>
      <w:r>
        <w:t>also</w:t>
      </w:r>
      <w:r>
        <w:t xml:space="preserve"> </w:t>
      </w:r>
      <w:r>
        <w:t>the management company</w:t>
      </w:r>
      <w:r>
        <w:t xml:space="preserve"> for the development</w:t>
      </w:r>
      <w:r>
        <w:t xml:space="preserve"> (hence my description of it as a “share of freehold” arrangement)</w:t>
      </w:r>
      <w:r>
        <w:t xml:space="preserve">. </w:t>
      </w:r>
    </w:p>
    <w:p w:rsidR="00CC39DD" w:rsidP="001E3E7F">
      <w:r>
        <w:t>The development has 132 separate units</w:t>
      </w:r>
      <w:r>
        <w:t xml:space="preserve"> (and therefore 132 members entitled to vote)</w:t>
      </w:r>
      <w:r>
        <w:t xml:space="preserve">. </w:t>
      </w:r>
    </w:p>
    <w:p w:rsidR="00CC39DD" w:rsidP="001E3E7F">
      <w:r>
        <w:t>The company was created by the developer</w:t>
      </w:r>
      <w:r>
        <w:t xml:space="preserve">, who marketed the apartments on the basis that ownership and control would be transferred to the leaseholders once the building </w:t>
      </w:r>
      <w:r>
        <w:t xml:space="preserve">was </w:t>
      </w:r>
      <w:r>
        <w:t xml:space="preserve">occupied. </w:t>
      </w:r>
    </w:p>
    <w:p w:rsidR="00CC39DD" w:rsidP="003C3280">
      <w:pPr>
        <w:pStyle w:val="Heading2"/>
      </w:pPr>
      <w:r>
        <w:t>Summary</w:t>
      </w:r>
    </w:p>
    <w:p w:rsidR="00CC39DD" w:rsidP="003C3280">
      <w:r>
        <w:t>For the reasons explained below in this submission, I have formed the view that the Government is actively pursuing objective</w:t>
      </w:r>
      <w:r>
        <w:t>s</w:t>
      </w:r>
      <w:r>
        <w:t xml:space="preserve"> which </w:t>
      </w:r>
      <w:r>
        <w:t>are in conflict with</w:t>
      </w:r>
      <w:r>
        <w:t xml:space="preserve"> each other</w:t>
      </w:r>
      <w:r>
        <w:t>.</w:t>
      </w:r>
    </w:p>
    <w:p w:rsidR="00CC39DD" w:rsidRPr="001A4AE3" w:rsidP="001A4AE3">
      <w:pPr>
        <w:pStyle w:val="Indent1"/>
      </w:pPr>
      <w:r>
        <w:rPr>
          <w:rFonts w:ascii="Symbol" w:hAnsi="Symbol"/>
        </w:rPr>
        <w:sym w:font="Symbol" w:char="F0B7"/>
      </w:r>
      <w:r>
        <w:tab/>
      </w:r>
      <w:r w:rsidRPr="007B2305">
        <w:rPr>
          <w:i/>
          <w:iCs/>
        </w:rPr>
        <w:t>Conflict 1:</w:t>
      </w:r>
      <w:r>
        <w:t xml:space="preserve"> </w:t>
      </w:r>
      <w:r>
        <w:t>The Gov</w:t>
      </w:r>
      <w:r w:rsidRPr="001A4AE3">
        <w:t xml:space="preserve">ernment wishes more residential developments to </w:t>
      </w:r>
      <w:r w:rsidRPr="001A4AE3">
        <w:t xml:space="preserve">be within the leaseholders’ control and yet it imposes </w:t>
      </w:r>
      <w:r w:rsidRPr="001A4AE3">
        <w:t>more and more</w:t>
      </w:r>
      <w:r w:rsidRPr="001A4AE3">
        <w:t xml:space="preserve"> obligations on </w:t>
      </w:r>
      <w:r w:rsidRPr="001A4AE3">
        <w:t xml:space="preserve">those in control, making the role </w:t>
      </w:r>
      <w:r w:rsidRPr="001A4AE3">
        <w:t xml:space="preserve">increasingly </w:t>
      </w:r>
      <w:r w:rsidRPr="001A4AE3">
        <w:t>unattractive</w:t>
      </w:r>
      <w:r w:rsidRPr="001A4AE3">
        <w:t xml:space="preserve"> </w:t>
      </w:r>
      <w:r w:rsidRPr="001A4AE3">
        <w:t>to take on</w:t>
      </w:r>
      <w:r w:rsidRPr="001A4AE3">
        <w:t>.</w:t>
      </w:r>
      <w:r w:rsidRPr="001A4AE3">
        <w:t xml:space="preserve"> It is no answer to say that they can employ a managing agent</w:t>
      </w:r>
      <w:r>
        <w:t xml:space="preserve"> (as explained below)</w:t>
      </w:r>
      <w:r w:rsidRPr="001A4AE3">
        <w:t xml:space="preserve">. </w:t>
      </w:r>
    </w:p>
    <w:p w:rsidR="00CC39DD" w:rsidP="001A4AE3">
      <w:pPr>
        <w:pStyle w:val="Indent1"/>
      </w:pPr>
      <w:r w:rsidRPr="001A4AE3">
        <w:rPr>
          <w:rFonts w:ascii="Symbol" w:hAnsi="Symbol"/>
        </w:rPr>
        <w:sym w:font="Symbol" w:char="F0B7"/>
      </w:r>
      <w:r w:rsidRPr="001A4AE3">
        <w:tab/>
      </w:r>
      <w:r w:rsidRPr="007B2305">
        <w:rPr>
          <w:i/>
          <w:iCs/>
        </w:rPr>
        <w:t>Conflict 2:</w:t>
      </w:r>
      <w:r>
        <w:t xml:space="preserve"> </w:t>
      </w:r>
      <w:r w:rsidRPr="001A4AE3">
        <w:t xml:space="preserve">The Government wishes to make commonhold </w:t>
      </w:r>
      <w:r w:rsidRPr="001A4AE3">
        <w:t>attractive to existing leaseholders (including those und</w:t>
      </w:r>
      <w:r>
        <w:t>er a share of freehold arrangement)</w:t>
      </w:r>
      <w:r>
        <w:t xml:space="preserve"> and yet the White Paper suggests that </w:t>
      </w:r>
      <w:r>
        <w:t xml:space="preserve">the </w:t>
      </w:r>
      <w:r>
        <w:t xml:space="preserve">commonhold </w:t>
      </w:r>
      <w:r>
        <w:t xml:space="preserve">framework </w:t>
      </w:r>
      <w:r>
        <w:t xml:space="preserve">will be </w:t>
      </w:r>
      <w:r>
        <w:t xml:space="preserve">insufficiently </w:t>
      </w:r>
      <w:r>
        <w:t>flexible to accommodate th</w:t>
      </w:r>
      <w:r>
        <w:t>e</w:t>
      </w:r>
      <w:r>
        <w:t xml:space="preserve"> </w:t>
      </w:r>
      <w:r>
        <w:t>vastly different developments</w:t>
      </w:r>
      <w:r>
        <w:t xml:space="preserve"> that Ministers wish to attract into commonhold</w:t>
      </w:r>
      <w:r>
        <w:t>.</w:t>
      </w:r>
    </w:p>
    <w:p w:rsidR="00CC39DD" w:rsidP="007F146A">
      <w:pPr>
        <w:pStyle w:val="Heading2"/>
      </w:pPr>
      <w:r>
        <w:t>Burdens placed on directors</w:t>
      </w:r>
      <w:r>
        <w:t xml:space="preserve"> </w:t>
      </w:r>
    </w:p>
    <w:p w:rsidR="00CC39DD" w:rsidP="004E3416">
      <w:r>
        <w:t xml:space="preserve">It is understandable that </w:t>
      </w:r>
      <w:r>
        <w:t>th</w:t>
      </w:r>
      <w:r>
        <w:t>os</w:t>
      </w:r>
      <w:r>
        <w:t xml:space="preserve">e company directors who control a residential building </w:t>
      </w:r>
      <w:r>
        <w:t xml:space="preserve">must face </w:t>
      </w:r>
      <w:r>
        <w:t>a number of</w:t>
      </w:r>
      <w:r>
        <w:t xml:space="preserve"> duties and responsibilities. It is also understandable that</w:t>
      </w:r>
      <w:r>
        <w:t xml:space="preserve"> </w:t>
      </w:r>
      <w:r>
        <w:t xml:space="preserve">individual leaseholders need to be protected </w:t>
      </w:r>
      <w:r>
        <w:t xml:space="preserve">from both physical and financial harm. </w:t>
      </w:r>
      <w:r>
        <w:t>Events such as t</w:t>
      </w:r>
      <w:r>
        <w:t xml:space="preserve">he tragedy at Grenfell </w:t>
      </w:r>
      <w:r>
        <w:t>Tower</w:t>
      </w:r>
      <w:r>
        <w:t>,</w:t>
      </w:r>
      <w:r>
        <w:t xml:space="preserve"> and emerging stories about excessive service charges</w:t>
      </w:r>
      <w:r>
        <w:t>,</w:t>
      </w:r>
      <w:r>
        <w:t xml:space="preserve"> have </w:t>
      </w:r>
      <w:r>
        <w:t xml:space="preserve">understandably led to </w:t>
      </w:r>
      <w:r>
        <w:t xml:space="preserve">a </w:t>
      </w:r>
      <w:r>
        <w:t xml:space="preserve">fresh look </w:t>
      </w:r>
      <w:r>
        <w:t xml:space="preserve">being </w:t>
      </w:r>
      <w:r>
        <w:t xml:space="preserve">taken at </w:t>
      </w:r>
      <w:r>
        <w:t xml:space="preserve">the legal environment </w:t>
      </w:r>
      <w:r>
        <w:t xml:space="preserve">in which individual </w:t>
      </w:r>
      <w:r>
        <w:t xml:space="preserve">leaseholders </w:t>
      </w:r>
      <w:r>
        <w:t>find themselves</w:t>
      </w:r>
      <w:r>
        <w:t>.</w:t>
      </w:r>
    </w:p>
    <w:p w:rsidR="00CC39DD" w:rsidP="004E3416">
      <w:r>
        <w:t xml:space="preserve">But the emerging law has failed to recognise that, where the leaseholders themselves are in control of the building, </w:t>
      </w:r>
      <w:r>
        <w:t xml:space="preserve">there should be flexibility for them to find their own ways of managing </w:t>
      </w:r>
      <w:r>
        <w:t xml:space="preserve">at least some of those </w:t>
      </w:r>
      <w:r>
        <w:t xml:space="preserve">protections. </w:t>
      </w:r>
      <w:r>
        <w:t xml:space="preserve">For example, the apparent failure of management at Grenfell Tower to listen to residents </w:t>
      </w:r>
      <w:r>
        <w:t xml:space="preserve">expressing safety concerns has </w:t>
      </w:r>
      <w:r>
        <w:t xml:space="preserve">now </w:t>
      </w:r>
      <w:r>
        <w:t>been turned into a requirement for management to actively engage with residents</w:t>
      </w:r>
      <w:r>
        <w:t xml:space="preserve"> on topics that many residents do not wish to respond to. The </w:t>
      </w:r>
      <w:r>
        <w:t xml:space="preserve">current </w:t>
      </w:r>
      <w:r>
        <w:t xml:space="preserve">regulations </w:t>
      </w:r>
      <w:r>
        <w:t xml:space="preserve">place a burden on management to </w:t>
      </w:r>
      <w:r>
        <w:t>encourage residents to respond to matters</w:t>
      </w:r>
      <w:r>
        <w:t xml:space="preserve"> </w:t>
      </w:r>
      <w:r>
        <w:t>that they don’t wish to</w:t>
      </w:r>
      <w:r>
        <w:t xml:space="preserve"> respond to</w:t>
      </w:r>
      <w:r>
        <w:t xml:space="preserve">, </w:t>
      </w:r>
      <w:r>
        <w:t>so that t</w:t>
      </w:r>
      <w:r>
        <w:t xml:space="preserve">he directors can </w:t>
      </w:r>
      <w:r>
        <w:t xml:space="preserve">satisfy </w:t>
      </w:r>
      <w:r>
        <w:t xml:space="preserve">what </w:t>
      </w:r>
      <w:r>
        <w:t xml:space="preserve">the </w:t>
      </w:r>
      <w:r>
        <w:t xml:space="preserve">legislators </w:t>
      </w:r>
      <w:r>
        <w:t xml:space="preserve">believe is </w:t>
      </w:r>
      <w:r>
        <w:t xml:space="preserve">an effective </w:t>
      </w:r>
      <w:r>
        <w:t>Resident Engagement Strategy</w:t>
      </w:r>
      <w:r>
        <w:t xml:space="preserve">. There is no scope at all for </w:t>
      </w:r>
      <w:r>
        <w:t xml:space="preserve">the directors </w:t>
      </w:r>
      <w:r>
        <w:t xml:space="preserve">to </w:t>
      </w:r>
      <w:r>
        <w:t xml:space="preserve">adopt an </w:t>
      </w:r>
      <w:r>
        <w:t xml:space="preserve">engagement strategy that the residents would </w:t>
      </w:r>
      <w:r>
        <w:t xml:space="preserve">actually </w:t>
      </w:r>
      <w:r>
        <w:t>prefer</w:t>
      </w:r>
      <w:r>
        <w:t xml:space="preserve"> management to </w:t>
      </w:r>
      <w:r>
        <w:t>adopt</w:t>
      </w:r>
      <w:r>
        <w:t xml:space="preserve">. </w:t>
      </w:r>
    </w:p>
    <w:p w:rsidR="00CC39DD" w:rsidP="004E3416">
      <w:r>
        <w:t xml:space="preserve">It is tempting to think that </w:t>
      </w:r>
      <w:r>
        <w:t xml:space="preserve">the directors can reduce their workload </w:t>
      </w:r>
      <w:r>
        <w:t xml:space="preserve">to manageable levels </w:t>
      </w:r>
      <w:r>
        <w:t>by retaining a managing agent</w:t>
      </w:r>
      <w:r>
        <w:t xml:space="preserve">. But that is </w:t>
      </w:r>
      <w:r>
        <w:t>completely misguided thinking</w:t>
      </w:r>
      <w:r>
        <w:t>, for at least two reasons:</w:t>
      </w:r>
    </w:p>
    <w:p w:rsidR="00CC39DD" w:rsidP="001A4AE3">
      <w:pPr>
        <w:pStyle w:val="Indent1"/>
      </w:pPr>
      <w:r>
        <w:t>1)</w:t>
      </w:r>
      <w:r>
        <w:tab/>
      </w:r>
      <w:r>
        <w:t xml:space="preserve">Anyone who has ever run a </w:t>
      </w:r>
      <w:r>
        <w:t xml:space="preserve">business-to-business </w:t>
      </w:r>
      <w:r>
        <w:t xml:space="preserve">service company will know that </w:t>
      </w:r>
      <w:r>
        <w:t xml:space="preserve">a good quality service can be delivered only if the </w:t>
      </w:r>
      <w:r>
        <w:t xml:space="preserve">client </w:t>
      </w:r>
      <w:r>
        <w:t xml:space="preserve">has </w:t>
      </w:r>
      <w:r>
        <w:t xml:space="preserve">sufficient information to </w:t>
      </w:r>
      <w:r>
        <w:t xml:space="preserve">understand what is at stake and actively participates in developing </w:t>
      </w:r>
      <w:r>
        <w:t>the strategies and policies</w:t>
      </w:r>
      <w:r>
        <w:t xml:space="preserve"> which the service provider </w:t>
      </w:r>
      <w:r>
        <w:t xml:space="preserve">– </w:t>
      </w:r>
      <w:r>
        <w:t>in</w:t>
      </w:r>
      <w:r>
        <w:t xml:space="preserve"> </w:t>
      </w:r>
      <w:r>
        <w:t>this case, the managing agent</w:t>
      </w:r>
      <w:r>
        <w:t xml:space="preserve"> </w:t>
      </w:r>
      <w:r>
        <w:t>–</w:t>
      </w:r>
      <w:r>
        <w:t xml:space="preserve"> </w:t>
      </w:r>
      <w:r>
        <w:t xml:space="preserve">delivers. </w:t>
      </w:r>
      <w:r>
        <w:t xml:space="preserve">If directors simply leave it to the managing agent to make the </w:t>
      </w:r>
      <w:r>
        <w:t xml:space="preserve">difficult </w:t>
      </w:r>
      <w:r>
        <w:t>decisions</w:t>
      </w:r>
      <w:r>
        <w:t xml:space="preserve">, </w:t>
      </w:r>
      <w:r>
        <w:t xml:space="preserve">all </w:t>
      </w:r>
      <w:r>
        <w:t xml:space="preserve">the </w:t>
      </w:r>
      <w:r>
        <w:t>benefits of resident</w:t>
      </w:r>
      <w:r>
        <w:t>-</w:t>
      </w:r>
      <w:r>
        <w:t xml:space="preserve">control have been lost. </w:t>
      </w:r>
    </w:p>
    <w:p w:rsidR="00CC39DD" w:rsidP="001A4AE3">
      <w:pPr>
        <w:pStyle w:val="Indent1"/>
      </w:pPr>
      <w:r>
        <w:t>2)</w:t>
      </w:r>
      <w:r>
        <w:tab/>
      </w:r>
      <w:r>
        <w:t>Although</w:t>
      </w:r>
      <w:r>
        <w:t>, for the past nine years,</w:t>
      </w:r>
      <w:r>
        <w:t xml:space="preserve"> </w:t>
      </w:r>
      <w:r>
        <w:t xml:space="preserve">this </w:t>
      </w:r>
      <w:r>
        <w:t xml:space="preserve">company has </w:t>
      </w:r>
      <w:r>
        <w:t xml:space="preserve">found </w:t>
      </w:r>
      <w:r>
        <w:t xml:space="preserve">a manging agent that we consider to be very talented </w:t>
      </w:r>
      <w:r>
        <w:t xml:space="preserve">and </w:t>
      </w:r>
      <w:r>
        <w:t xml:space="preserve">well-suited to managing a building of our size and </w:t>
      </w:r>
      <w:r>
        <w:t>nature</w:t>
      </w:r>
      <w:r>
        <w:t xml:space="preserve">, it took us quite </w:t>
      </w:r>
      <w:r>
        <w:t>a number of</w:t>
      </w:r>
      <w:r>
        <w:t xml:space="preserve"> years to </w:t>
      </w:r>
      <w:r>
        <w:t>reach that happy position</w:t>
      </w:r>
      <w:r>
        <w:t xml:space="preserve">. </w:t>
      </w:r>
      <w:r>
        <w:t xml:space="preserve">For most of the previous 15 years, we were struggling with </w:t>
      </w:r>
      <w:r>
        <w:t xml:space="preserve">incompetent </w:t>
      </w:r>
      <w:r>
        <w:t>managers</w:t>
      </w:r>
      <w:r>
        <w:t xml:space="preserve"> – at times not realising how </w:t>
      </w:r>
      <w:r>
        <w:t xml:space="preserve">ineffective </w:t>
      </w:r>
      <w:r>
        <w:t xml:space="preserve">they were because </w:t>
      </w:r>
      <w:r>
        <w:t xml:space="preserve">(with hindsight) </w:t>
      </w:r>
      <w:r>
        <w:t xml:space="preserve">they </w:t>
      </w:r>
      <w:r>
        <w:t xml:space="preserve">had </w:t>
      </w:r>
      <w:r>
        <w:t>g</w:t>
      </w:r>
      <w:r>
        <w:t>i</w:t>
      </w:r>
      <w:r>
        <w:t>ve</w:t>
      </w:r>
      <w:r>
        <w:t>n</w:t>
      </w:r>
      <w:r>
        <w:t xml:space="preserve"> us insufficient information to appreciate what </w:t>
      </w:r>
      <w:r>
        <w:t xml:space="preserve">the reality was. </w:t>
      </w:r>
      <w:r>
        <w:t xml:space="preserve">(I am speaking of </w:t>
      </w:r>
      <w:r>
        <w:t xml:space="preserve">some </w:t>
      </w:r>
      <w:r>
        <w:t xml:space="preserve">well-known names in the industry who </w:t>
      </w:r>
      <w:r>
        <w:t xml:space="preserve">we </w:t>
      </w:r>
      <w:r>
        <w:t xml:space="preserve">ought </w:t>
      </w:r>
      <w:r>
        <w:t xml:space="preserve">to have been able to </w:t>
      </w:r>
      <w:r>
        <w:t>rely upon.)</w:t>
      </w:r>
    </w:p>
    <w:p w:rsidR="00CC39DD" w:rsidP="001A4AE3">
      <w:pPr>
        <w:pStyle w:val="Indent1"/>
      </w:pPr>
      <w:r>
        <w:tab/>
      </w:r>
      <w:r>
        <w:t xml:space="preserve">Fortunately, the legal responsibilities were less </w:t>
      </w:r>
      <w:r>
        <w:t xml:space="preserve">onerous </w:t>
      </w:r>
      <w:r>
        <w:t xml:space="preserve">during the days when we were poorly </w:t>
      </w:r>
      <w:r>
        <w:t>advised</w:t>
      </w:r>
      <w:r>
        <w:t xml:space="preserve">. </w:t>
      </w:r>
      <w:r>
        <w:t xml:space="preserve">I dread to think how we could have </w:t>
      </w:r>
      <w:r>
        <w:t xml:space="preserve">met </w:t>
      </w:r>
      <w:r>
        <w:t xml:space="preserve">our responsibilities under the Building Safety Act 2022 </w:t>
      </w:r>
      <w:r>
        <w:t xml:space="preserve">if we were still reliant on </w:t>
      </w:r>
      <w:r>
        <w:t xml:space="preserve">our </w:t>
      </w:r>
      <w:r>
        <w:t xml:space="preserve">previous </w:t>
      </w:r>
      <w:r>
        <w:t>managing agent</w:t>
      </w:r>
      <w:r>
        <w:t>s</w:t>
      </w:r>
      <w:r>
        <w:t xml:space="preserve">. </w:t>
      </w:r>
    </w:p>
    <w:p w:rsidR="00CC39DD" w:rsidP="00BB1509">
      <w:pPr>
        <w:pStyle w:val="Heading2"/>
      </w:pPr>
      <w:r>
        <w:t xml:space="preserve">The </w:t>
      </w:r>
      <w:r>
        <w:t xml:space="preserve">illusory </w:t>
      </w:r>
      <w:r>
        <w:t>attractiveness of commonhold</w:t>
      </w:r>
    </w:p>
    <w:p w:rsidR="00CC39DD" w:rsidP="002A37EC">
      <w:r>
        <w:t xml:space="preserve">On the face of it, the commonhold framework </w:t>
      </w:r>
      <w:r>
        <w:t xml:space="preserve">has many of the benefits </w:t>
      </w:r>
      <w:r>
        <w:t xml:space="preserve">that can be </w:t>
      </w:r>
      <w:r>
        <w:t xml:space="preserve">achieved through a </w:t>
      </w:r>
      <w:r>
        <w:t>“</w:t>
      </w:r>
      <w:r>
        <w:t>share</w:t>
      </w:r>
      <w:r>
        <w:t xml:space="preserve"> </w:t>
      </w:r>
      <w:r>
        <w:t>of</w:t>
      </w:r>
      <w:r>
        <w:t xml:space="preserve"> </w:t>
      </w:r>
      <w:r>
        <w:t>freehold</w:t>
      </w:r>
      <w:r>
        <w:t>”</w:t>
      </w:r>
      <w:r>
        <w:t xml:space="preserve"> arrangement</w:t>
      </w:r>
      <w:r>
        <w:t xml:space="preserve">, </w:t>
      </w:r>
      <w:r>
        <w:t xml:space="preserve">but with the benefit of </w:t>
      </w:r>
      <w:r>
        <w:t xml:space="preserve">a simpler legal structure. </w:t>
      </w:r>
      <w:r>
        <w:t xml:space="preserve">There are clear advantages in </w:t>
      </w:r>
      <w:r>
        <w:t xml:space="preserve">the development having a single Commonhold Community Statement (“CCS”) which each unit owner signs up to, rather than </w:t>
      </w:r>
      <w:r>
        <w:t xml:space="preserve">having </w:t>
      </w:r>
      <w:r>
        <w:t>a collection of individual leases which</w:t>
      </w:r>
      <w:r>
        <w:t xml:space="preserve">, </w:t>
      </w:r>
      <w:r>
        <w:t>in theory,</w:t>
      </w:r>
      <w:r>
        <w:t xml:space="preserve"> </w:t>
      </w:r>
      <w:r>
        <w:t>ought to be identical</w:t>
      </w:r>
      <w:r>
        <w:t>,</w:t>
      </w:r>
      <w:r>
        <w:t xml:space="preserve"> but may not be.</w:t>
      </w:r>
    </w:p>
    <w:p w:rsidR="00CC39DD" w:rsidP="002A37EC">
      <w:r>
        <w:t xml:space="preserve">But the currently published framework for the CCS is very </w:t>
      </w:r>
      <w:r>
        <w:t xml:space="preserve">worrying. </w:t>
      </w:r>
      <w:r>
        <w:t>For the</w:t>
      </w:r>
      <w:r>
        <w:t xml:space="preserve"> </w:t>
      </w:r>
      <w:r>
        <w:t xml:space="preserve">reasons </w:t>
      </w:r>
      <w:r>
        <w:t>I set out below, t</w:t>
      </w:r>
      <w:r>
        <w:t xml:space="preserve">he imposition of a </w:t>
      </w:r>
      <w:r>
        <w:t>“</w:t>
      </w:r>
      <w:r>
        <w:t xml:space="preserve">core </w:t>
      </w:r>
      <w:r>
        <w:t>CCS” is very troubling</w:t>
      </w:r>
      <w:r>
        <w:t>. The opportunity to have “local rules”</w:t>
      </w:r>
      <w:r>
        <w:t xml:space="preserve"> – but only if they don’t </w:t>
      </w:r>
      <w:r>
        <w:t xml:space="preserve">contradict the “core CCS” – will not undo the damage </w:t>
      </w:r>
      <w:r>
        <w:t xml:space="preserve">done by </w:t>
      </w:r>
      <w:r>
        <w:t>the envisaged “</w:t>
      </w:r>
      <w:r>
        <w:t>core</w:t>
      </w:r>
      <w:r>
        <w:t>”</w:t>
      </w:r>
      <w:r>
        <w:t>.</w:t>
      </w:r>
    </w:p>
    <w:p w:rsidR="00CC39DD" w:rsidP="002A37EC">
      <w:r>
        <w:t xml:space="preserve">As a matter of principle, </w:t>
      </w:r>
      <w:r>
        <w:t xml:space="preserve">it is beyond absurd that Ministers consider </w:t>
      </w:r>
      <w:r>
        <w:t xml:space="preserve">that a core CCS can </w:t>
      </w:r>
      <w:r>
        <w:t xml:space="preserve">possibly be applicable to </w:t>
      </w:r>
      <w:r>
        <w:t xml:space="preserve">every possible </w:t>
      </w:r>
      <w:r>
        <w:t>circumstance from a two-unit building to a tower block with hundreds of unit owners</w:t>
      </w:r>
      <w:r>
        <w:t xml:space="preserve">. </w:t>
      </w:r>
    </w:p>
    <w:p w:rsidR="00CC39DD" w:rsidP="002A37EC">
      <w:r>
        <w:t xml:space="preserve">But even worse are the indications </w:t>
      </w:r>
      <w:r>
        <w:t xml:space="preserve">contained </w:t>
      </w:r>
      <w:r>
        <w:t xml:space="preserve">in </w:t>
      </w:r>
      <w:r w:rsidRPr="00357A3C">
        <w:t>the White Paper</w:t>
      </w:r>
      <w:r>
        <w:t xml:space="preserve"> that the drafters of the core CCS are utterly naïve about how </w:t>
      </w:r>
      <w:r>
        <w:t xml:space="preserve">fractious a </w:t>
      </w:r>
      <w:r>
        <w:t>communit</w:t>
      </w:r>
      <w:r>
        <w:t>y</w:t>
      </w:r>
      <w:r>
        <w:t xml:space="preserve"> of neighbours </w:t>
      </w:r>
      <w:r>
        <w:t xml:space="preserve">can quickly become if those at the head do not manage with skill and care and, above all, with a flexibility that recognises the individuals </w:t>
      </w:r>
      <w:r>
        <w:t>they are dealing with</w:t>
      </w:r>
      <w:r>
        <w:t xml:space="preserve">. </w:t>
      </w:r>
    </w:p>
    <w:p w:rsidR="00CC39DD" w:rsidP="002A37EC">
      <w:r>
        <w:t xml:space="preserve">The </w:t>
      </w:r>
      <w:r>
        <w:fldChar w:fldCharType="begin"/>
      </w:r>
      <w:r>
        <w:instrText xml:space="preserve"> HYPERLINK "https://www.gov.uk/government/publications/commonhold-white-paper/commonhold-white-paper-the-proposed-new-commonhold-model-for-homeownership-in-england-and-wales" \l "commonholds-key-benefits-democracy-and-flexibility" </w:instrText>
      </w:r>
      <w:r>
        <w:fldChar w:fldCharType="separate"/>
      </w:r>
      <w:r w:rsidRPr="007D09C9">
        <w:rPr>
          <w:rStyle w:val="Hyperlink"/>
        </w:rPr>
        <w:t>White Paper</w:t>
      </w:r>
      <w:r>
        <w:fldChar w:fldCharType="end"/>
      </w:r>
      <w:r>
        <w:t xml:space="preserve"> envisages </w:t>
      </w:r>
      <w:r>
        <w:t xml:space="preserve">only </w:t>
      </w:r>
      <w:r>
        <w:t>communit</w:t>
      </w:r>
      <w:r>
        <w:t>ies</w:t>
      </w:r>
      <w:r>
        <w:t xml:space="preserve"> in which </w:t>
      </w:r>
      <w:r>
        <w:t>common sense is on display</w:t>
      </w:r>
      <w:r>
        <w:t xml:space="preserve"> from everyone</w:t>
      </w:r>
      <w:r>
        <w:t>,</w:t>
      </w:r>
      <w:r>
        <w:t xml:space="preserve"> </w:t>
      </w:r>
      <w:r>
        <w:t xml:space="preserve">discussions rapidly reach an agreement </w:t>
      </w:r>
      <w:r>
        <w:t xml:space="preserve">and differences of opinion are resolved at the next meeting </w:t>
      </w:r>
      <w:r>
        <w:t xml:space="preserve">as the result of </w:t>
      </w:r>
      <w:r>
        <w:t xml:space="preserve">new findings </w:t>
      </w:r>
      <w:r>
        <w:t xml:space="preserve">which </w:t>
      </w:r>
      <w:r>
        <w:t xml:space="preserve">are </w:t>
      </w:r>
      <w:r>
        <w:t xml:space="preserve">totally </w:t>
      </w:r>
      <w:r>
        <w:t xml:space="preserve">persuasive. </w:t>
      </w:r>
    </w:p>
    <w:p w:rsidR="00CC39DD" w:rsidP="002A37EC">
      <w:r>
        <w:t xml:space="preserve">Take </w:t>
      </w:r>
      <w:r>
        <w:t xml:space="preserve">for </w:t>
      </w:r>
      <w:r>
        <w:t xml:space="preserve">example </w:t>
      </w:r>
      <w:r>
        <w:t xml:space="preserve">the </w:t>
      </w:r>
      <w:r>
        <w:t xml:space="preserve">White Paper’s </w:t>
      </w:r>
      <w:r>
        <w:t xml:space="preserve">case </w:t>
      </w:r>
      <w:r>
        <w:t xml:space="preserve">study on </w:t>
      </w:r>
      <w:r>
        <w:t xml:space="preserve">setting the </w:t>
      </w:r>
      <w:r>
        <w:t xml:space="preserve">annual </w:t>
      </w:r>
      <w:r>
        <w:t>budget</w:t>
      </w:r>
      <w:r>
        <w:t xml:space="preserve"> which includes</w:t>
      </w:r>
      <w:r>
        <w:t>:</w:t>
      </w:r>
    </w:p>
    <w:p w:rsidR="00CC39DD" w:rsidRPr="00340F19" w:rsidP="00317D4D">
      <w:pPr>
        <w:shd w:val="clear" w:color="auto" w:fill="D9D9D9" w:themeFill="background1" w:themeFillShade="D9"/>
        <w:ind w:left="426"/>
      </w:pPr>
      <w:r w:rsidRPr="00340F19">
        <w:t>The directors agree to seek additional quotes and, and propose the association reconvene next week once he has had chance to revise the budget.</w:t>
      </w:r>
      <w:r>
        <w:t xml:space="preserve"> </w:t>
      </w:r>
    </w:p>
    <w:p w:rsidR="00CC39DD" w:rsidP="00317D4D">
      <w:pPr>
        <w:shd w:val="clear" w:color="auto" w:fill="D9D9D9" w:themeFill="background1" w:themeFillShade="D9"/>
        <w:ind w:left="426"/>
      </w:pPr>
      <w:r w:rsidRPr="00340F19">
        <w:t xml:space="preserve">At the next meeting, the directors present an amended budget which includes a quote from a different garden maintenance contractor, which more closely matches the costs of the previous year. The unit owners are more comfortable with the revised </w:t>
      </w:r>
      <w:r w:rsidRPr="00340F19">
        <w:t>costing</w:t>
      </w:r>
      <w:r w:rsidRPr="00340F19">
        <w:t xml:space="preserve"> and the budget is passed unanimously.</w:t>
      </w:r>
    </w:p>
    <w:p w:rsidR="00CC39DD" w:rsidP="002A37EC">
      <w:r>
        <w:t>Of course, there is unanimous agreement if a new quote is found that</w:t>
      </w:r>
      <w:r>
        <w:t xml:space="preserve"> </w:t>
      </w:r>
      <w:r>
        <w:t>matche</w:t>
      </w:r>
      <w:r>
        <w:t>s</w:t>
      </w:r>
      <w:r>
        <w:t xml:space="preserve"> the </w:t>
      </w:r>
      <w:r>
        <w:t>previous year.</w:t>
      </w:r>
      <w:r>
        <w:t xml:space="preserve"> </w:t>
      </w:r>
      <w:r>
        <w:t>How convenient</w:t>
      </w:r>
      <w:r>
        <w:t xml:space="preserve"> that the directors </w:t>
      </w:r>
      <w:r>
        <w:t xml:space="preserve">who </w:t>
      </w:r>
      <w:r>
        <w:t xml:space="preserve">had </w:t>
      </w:r>
      <w:r>
        <w:t xml:space="preserve">failed to find </w:t>
      </w:r>
      <w:r>
        <w:t xml:space="preserve">a matching quote when they first looked, suddenly discovered </w:t>
      </w:r>
      <w:r>
        <w:t>–</w:t>
      </w:r>
      <w:r>
        <w:t xml:space="preserve"> </w:t>
      </w:r>
      <w:r>
        <w:t xml:space="preserve">within a week! – that there was a </w:t>
      </w:r>
      <w:r>
        <w:t xml:space="preserve">much better </w:t>
      </w:r>
      <w:r>
        <w:t>quote to be had</w:t>
      </w:r>
      <w:r>
        <w:t xml:space="preserve"> after all</w:t>
      </w:r>
      <w:r>
        <w:t xml:space="preserve">. </w:t>
      </w:r>
    </w:p>
    <w:p w:rsidR="00CC39DD" w:rsidP="002A37EC">
      <w:r>
        <w:t>There may be commonhold developments where the leaseholders wish to operate on the basis that individual line items in the budget can be debated</w:t>
      </w:r>
      <w:r>
        <w:t xml:space="preserve"> – and everyone is available to reconvene the following week</w:t>
      </w:r>
      <w:r>
        <w:t xml:space="preserve">. But there will be many, many more where the goal is to develop trust in a group of directors who are willing to put in the time on behalf of the others and make these decisions for them. </w:t>
      </w:r>
      <w:r>
        <w:t xml:space="preserve">The envisaged core CCS </w:t>
      </w:r>
      <w:r>
        <w:t xml:space="preserve">is predicated on that being unacceptable in a commonhold. </w:t>
      </w:r>
    </w:p>
    <w:p w:rsidR="00CC39DD" w:rsidP="00465F7B">
      <w:pPr>
        <w:keepNext/>
      </w:pPr>
      <w:r>
        <w:t>Now, l</w:t>
      </w:r>
      <w:r>
        <w:t xml:space="preserve">ook </w:t>
      </w:r>
      <w:r>
        <w:t xml:space="preserve">at  </w:t>
      </w:r>
      <w:r>
        <w:t>this</w:t>
      </w:r>
      <w:r>
        <w:t xml:space="preserve"> sentence from the case study </w:t>
      </w:r>
      <w:r>
        <w:t xml:space="preserve">about </w:t>
      </w:r>
      <w:r>
        <w:t>setting up a reserve fund:</w:t>
      </w:r>
    </w:p>
    <w:p w:rsidR="00CC39DD" w:rsidP="007562EB">
      <w:pPr>
        <w:shd w:val="clear" w:color="auto" w:fill="D9D9D9" w:themeFill="background1" w:themeFillShade="D9"/>
        <w:ind w:left="426"/>
      </w:pPr>
      <w:r w:rsidRPr="007562EB">
        <w:t>The commonhold association review [the lift company’s] report at their next meeting and agree to set up a dedicated lift reserve fund.</w:t>
      </w:r>
    </w:p>
    <w:p w:rsidR="00CC39DD" w:rsidP="002A37EC">
      <w:r>
        <w:t xml:space="preserve">Has the writer of that case study ever </w:t>
      </w:r>
      <w:r w:rsidRPr="006461B8">
        <w:rPr>
          <w:i/>
          <w:iCs/>
        </w:rPr>
        <w:t>read</w:t>
      </w:r>
      <w:r>
        <w:t xml:space="preserve"> a lift company’s report</w:t>
      </w:r>
      <w:r>
        <w:t>?</w:t>
      </w:r>
      <w:r>
        <w:t xml:space="preserve"> It is almost certain to be technically very complex </w:t>
      </w:r>
      <w:r>
        <w:t xml:space="preserve">and </w:t>
      </w:r>
      <w:r>
        <w:t>borderline incoherent.</w:t>
      </w:r>
      <w:r>
        <w:t xml:space="preserve"> </w:t>
      </w:r>
      <w:r>
        <w:t xml:space="preserve">It will </w:t>
      </w:r>
      <w:r>
        <w:t xml:space="preserve">take a level of dedication and perseverance to comprehend, which few leaseholders will wish </w:t>
      </w:r>
      <w:r>
        <w:t>apply</w:t>
      </w:r>
      <w:r>
        <w:t>.</w:t>
      </w:r>
      <w:r>
        <w:t xml:space="preserve"> They will want their elected directors to do that.</w:t>
      </w:r>
      <w:r>
        <w:t xml:space="preserve"> </w:t>
      </w:r>
    </w:p>
    <w:p w:rsidR="00CC39DD" w:rsidP="002A37EC">
      <w:r>
        <w:t>This next example is about individual behaviour of leaseholders and their guests.</w:t>
      </w:r>
    </w:p>
    <w:p w:rsidR="00CC39DD" w:rsidRPr="006242C2" w:rsidP="006242C2">
      <w:pPr>
        <w:shd w:val="clear" w:color="auto" w:fill="D9D9D9" w:themeFill="background1" w:themeFillShade="D9"/>
        <w:spacing w:after="0"/>
        <w:ind w:left="425"/>
        <w:rPr>
          <w:b/>
          <w:bCs/>
        </w:rPr>
      </w:pPr>
      <w:r w:rsidRPr="006242C2">
        <w:rPr>
          <w:b/>
          <w:bCs/>
        </w:rPr>
        <w:t>Case study: introducing a new local rule</w:t>
      </w:r>
    </w:p>
    <w:p w:rsidR="00CC39DD" w:rsidRPr="00F82284" w:rsidP="006242C2">
      <w:pPr>
        <w:shd w:val="clear" w:color="auto" w:fill="D9D9D9" w:themeFill="background1" w:themeFillShade="D9"/>
        <w:ind w:left="426"/>
      </w:pPr>
      <w:r w:rsidRPr="00F82284">
        <w:t>Unit owner A has recently moved into Horseferry Buildings and is concerned about the number of people coming in and out of the property two doors along from her flat. Although the visitors have been generally quiet and well behaved, there was one incident where some plasterwork was damaged by a large suitcase. Unit owner A speaks to both of her neighbours, unit owners B and C who confirm that they also experiencing some disruption and they think the flat is being used for short holiday lets. They agree to r</w:t>
      </w:r>
      <w:r w:rsidRPr="00F82284">
        <w:t>aise this at the next commonhold association meeting.</w:t>
      </w:r>
    </w:p>
    <w:p w:rsidR="00CC39DD" w:rsidP="006242C2">
      <w:pPr>
        <w:shd w:val="clear" w:color="auto" w:fill="D9D9D9" w:themeFill="background1" w:themeFillShade="D9"/>
        <w:ind w:left="426"/>
      </w:pPr>
      <w:r w:rsidRPr="00F82284">
        <w:t>The issue is discussed at the next general meeting, where Unit owner D (the owner of the flat) apologies for the disruption, agrees to pay for the repair of the corridor and remind visitors of the need to be considerate. Owner D says that she is letting the flat over some weekends and when she is away on holiday. The commonhold association discuss the possibility of amending local rules to ban very short term lets but are conscious of the impact this could have on owner D. They agree to monitor the situatio</w:t>
      </w:r>
      <w:r w:rsidRPr="00F82284">
        <w:t>n and keep the issue of amending the rules under review.</w:t>
      </w:r>
    </w:p>
    <w:p w:rsidR="00CC39DD" w:rsidP="002A37EC">
      <w:r>
        <w:t xml:space="preserve">Notice how </w:t>
      </w:r>
      <w:r>
        <w:t xml:space="preserve">the writer envisages that Unit </w:t>
      </w:r>
      <w:r>
        <w:t>O</w:t>
      </w:r>
      <w:r>
        <w:t xml:space="preserve">wner D, </w:t>
      </w:r>
      <w:r>
        <w:t>who</w:t>
      </w:r>
      <w:r>
        <w:t>se guests</w:t>
      </w:r>
      <w:r>
        <w:t xml:space="preserve"> </w:t>
      </w:r>
      <w:r>
        <w:t>cause</w:t>
      </w:r>
      <w:r>
        <w:t>d</w:t>
      </w:r>
      <w:r>
        <w:t xml:space="preserve"> the disruption, will immediately apologise despite </w:t>
      </w:r>
      <w:r>
        <w:t xml:space="preserve">D </w:t>
      </w:r>
      <w:r>
        <w:t xml:space="preserve">having had their </w:t>
      </w:r>
      <w:r>
        <w:t>(mis)</w:t>
      </w:r>
      <w:r>
        <w:t xml:space="preserve">behaviour aired publicly in front of all the </w:t>
      </w:r>
      <w:r>
        <w:t xml:space="preserve">other </w:t>
      </w:r>
      <w:r>
        <w:t xml:space="preserve">residents. </w:t>
      </w:r>
      <w:r>
        <w:t xml:space="preserve">Notice, too, how Unit </w:t>
      </w:r>
      <w:r>
        <w:t>O</w:t>
      </w:r>
      <w:r>
        <w:t>wner D has turned up</w:t>
      </w:r>
      <w:r>
        <w:t xml:space="preserve"> to the meeting</w:t>
      </w:r>
      <w:r>
        <w:t xml:space="preserve">. Imagine what would have happened if, having waited for the next meeting, Unit </w:t>
      </w:r>
      <w:r>
        <w:t>O</w:t>
      </w:r>
      <w:r>
        <w:t xml:space="preserve">wners A, B and C found that D wasn’t there, but they aired their grievance publicly regardless. What </w:t>
      </w:r>
      <w:r>
        <w:t xml:space="preserve">are the </w:t>
      </w:r>
      <w:r>
        <w:t>chance</w:t>
      </w:r>
      <w:r>
        <w:t>s</w:t>
      </w:r>
      <w:r>
        <w:t xml:space="preserve"> that D </w:t>
      </w:r>
      <w:r>
        <w:t xml:space="preserve">will be </w:t>
      </w:r>
      <w:r>
        <w:t>so quick to apologise and remedy the situati</w:t>
      </w:r>
      <w:r>
        <w:t>on when they find out what was said behind their back!</w:t>
      </w:r>
      <w:r>
        <w:t xml:space="preserve"> </w:t>
      </w:r>
      <w:r>
        <w:t>And w</w:t>
      </w:r>
      <w:r>
        <w:t xml:space="preserve">hat if </w:t>
      </w:r>
      <w:r>
        <w:t>D disputes what was said</w:t>
      </w:r>
      <w:r>
        <w:t>?</w:t>
      </w:r>
      <w:r>
        <w:t xml:space="preserve"> </w:t>
      </w:r>
    </w:p>
    <w:p w:rsidR="00CC39DD" w:rsidP="002A37EC">
      <w:r>
        <w:t xml:space="preserve">These </w:t>
      </w:r>
      <w:r>
        <w:t xml:space="preserve">examples are just </w:t>
      </w:r>
      <w:r>
        <w:t xml:space="preserve">part </w:t>
      </w:r>
      <w:r>
        <w:t xml:space="preserve">of the evidence that </w:t>
      </w:r>
      <w:r>
        <w:t xml:space="preserve">demonstrate that </w:t>
      </w:r>
      <w:r>
        <w:t xml:space="preserve">those who have devised the concept of a core CCS simply do not understand what they are </w:t>
      </w:r>
      <w:r>
        <w:t>addressing</w:t>
      </w:r>
      <w:r>
        <w:t xml:space="preserve">. </w:t>
      </w:r>
      <w:r>
        <w:t xml:space="preserve">If there really </w:t>
      </w:r>
      <w:r>
        <w:t xml:space="preserve">is </w:t>
      </w:r>
      <w:r>
        <w:t>to be a core CCS, it needs a total re-think</w:t>
      </w:r>
      <w:r>
        <w:t xml:space="preserve">. </w:t>
      </w:r>
    </w:p>
    <w:p w:rsidR="00CC39DD" w:rsidP="002A37EC">
      <w:r>
        <w:t xml:space="preserve">More realistically, </w:t>
      </w:r>
      <w:r>
        <w:t>every commonhold should have the opportunity to develop their own rules</w:t>
      </w:r>
      <w:r>
        <w:t xml:space="preserve">. There could still be </w:t>
      </w:r>
      <w:r>
        <w:t xml:space="preserve">a </w:t>
      </w:r>
      <w:r>
        <w:t xml:space="preserve">default (core) CCS for those developments who do not want to spend time </w:t>
      </w:r>
      <w:r>
        <w:t xml:space="preserve">devising their own </w:t>
      </w:r>
      <w:r>
        <w:t>rules</w:t>
      </w:r>
      <w:r>
        <w:t xml:space="preserve"> – or at least those who wish to get started with an “off the peg” option</w:t>
      </w:r>
      <w:r>
        <w:t xml:space="preserve">. </w:t>
      </w:r>
      <w:r>
        <w:t>But</w:t>
      </w:r>
      <w:r>
        <w:t xml:space="preserve">, if commonhold is to have any chance of being a </w:t>
      </w:r>
      <w:r>
        <w:t xml:space="preserve">success, </w:t>
      </w:r>
      <w:r>
        <w:t xml:space="preserve"> there</w:t>
      </w:r>
      <w:r>
        <w:t xml:space="preserve"> </w:t>
      </w:r>
      <w:r>
        <w:t xml:space="preserve">must </w:t>
      </w:r>
      <w:r>
        <w:t xml:space="preserve">be no compulsion to adopt </w:t>
      </w:r>
      <w:r>
        <w:t>a common set of rules</w:t>
      </w:r>
      <w:r>
        <w:t>.</w:t>
      </w:r>
    </w:p>
    <w:p w:rsidR="00CC39DD" w:rsidP="009C1851">
      <w:pPr>
        <w:pStyle w:val="Heading2"/>
      </w:pPr>
      <w:r>
        <w:t>Closing</w:t>
      </w:r>
    </w:p>
    <w:p w:rsidR="00CC39DD" w:rsidRPr="009C1851" w:rsidP="009C1851">
      <w:r>
        <w:t xml:space="preserve">I would be very happy to discuss this </w:t>
      </w:r>
      <w:r>
        <w:t xml:space="preserve">submission </w:t>
      </w:r>
      <w:r>
        <w:t>in more detail if that would assist the Select Committee</w:t>
      </w:r>
      <w:r>
        <w:t xml:space="preserve"> and, of course, to clarify any matters that lack clarity </w:t>
      </w:r>
      <w:r>
        <w:t>as a result of</w:t>
      </w:r>
      <w:r>
        <w:t xml:space="preserve"> the haste in which this submission </w:t>
      </w:r>
      <w:r>
        <w:t xml:space="preserve">had to be </w:t>
      </w:r>
      <w:r>
        <w:t>drawn up</w:t>
      </w:r>
      <w:r>
        <w:t xml:space="preserve">.  </w:t>
      </w:r>
    </w:p>
    <w:p w:rsidR="00CC39DD" w:rsidP="000346C9"/>
    <w:p w:rsidR="00CC39DD" w:rsidRPr="00CC39DD" w:rsidP="000346C9">
      <w:pPr>
        <w:rPr>
          <w:i/>
          <w:iCs/>
        </w:rPr>
      </w:pPr>
      <w:r w:rsidRPr="00CC39DD">
        <w:rPr>
          <w:i/>
          <w:iCs/>
        </w:rPr>
        <w:t>February 2026</w:t>
      </w:r>
      <w:r w:rsidRPr="00CC39DD">
        <w:rPr>
          <w:i/>
          <w:iCs/>
        </w:rPr>
        <w:t xml:space="preserve"> </w:t>
      </w:r>
    </w:p>
    <w:sectPr>
      <w:pgSz w:w="11906" w:h="16838"/>
      <w:pgMar w:top="1418" w:right="1361" w:bottom="709" w:left="1361" w:header="720" w:footer="42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E898BCAA"/>
    <w:lvl w:ilvl="0">
      <w:start w:val="1"/>
      <w:numFmt w:val="decimal"/>
      <w:lvlText w:val="%1."/>
      <w:lvlJc w:val="left"/>
      <w:pPr>
        <w:tabs>
          <w:tab w:val="num" w:pos="1492"/>
        </w:tabs>
        <w:ind w:left="1492" w:hanging="360"/>
      </w:pPr>
    </w:lvl>
  </w:abstractNum>
  <w:abstractNum w:abstractNumId="1">
    <w:nsid w:val="FFFFFF7D"/>
    <w:multiLevelType w:val="singleLevel"/>
    <w:tmpl w:val="59E2949C"/>
    <w:lvl w:ilvl="0">
      <w:start w:val="1"/>
      <w:numFmt w:val="decimal"/>
      <w:lvlText w:val="%1."/>
      <w:lvlJc w:val="left"/>
      <w:pPr>
        <w:tabs>
          <w:tab w:val="num" w:pos="1209"/>
        </w:tabs>
        <w:ind w:left="1209" w:hanging="360"/>
      </w:pPr>
    </w:lvl>
  </w:abstractNum>
  <w:abstractNum w:abstractNumId="2">
    <w:nsid w:val="FFFFFF7E"/>
    <w:multiLevelType w:val="singleLevel"/>
    <w:tmpl w:val="00E8231E"/>
    <w:lvl w:ilvl="0">
      <w:start w:val="1"/>
      <w:numFmt w:val="decimal"/>
      <w:lvlText w:val="%1."/>
      <w:lvlJc w:val="left"/>
      <w:pPr>
        <w:tabs>
          <w:tab w:val="num" w:pos="926"/>
        </w:tabs>
        <w:ind w:left="926" w:hanging="360"/>
      </w:pPr>
    </w:lvl>
  </w:abstractNum>
  <w:abstractNum w:abstractNumId="3">
    <w:nsid w:val="FFFFFF7F"/>
    <w:multiLevelType w:val="singleLevel"/>
    <w:tmpl w:val="673CDA82"/>
    <w:lvl w:ilvl="0">
      <w:start w:val="1"/>
      <w:numFmt w:val="decimal"/>
      <w:lvlText w:val="%1."/>
      <w:lvlJc w:val="left"/>
      <w:pPr>
        <w:tabs>
          <w:tab w:val="num" w:pos="643"/>
        </w:tabs>
        <w:ind w:left="643" w:hanging="360"/>
      </w:pPr>
    </w:lvl>
  </w:abstractNum>
  <w:abstractNum w:abstractNumId="4">
    <w:nsid w:val="FFFFFF80"/>
    <w:multiLevelType w:val="singleLevel"/>
    <w:tmpl w:val="B12699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860F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48DE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6C2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E202C8"/>
    <w:lvl w:ilvl="0">
      <w:start w:val="1"/>
      <w:numFmt w:val="decimal"/>
      <w:lvlText w:val="%1."/>
      <w:lvlJc w:val="left"/>
      <w:pPr>
        <w:tabs>
          <w:tab w:val="num" w:pos="360"/>
        </w:tabs>
        <w:ind w:left="360" w:hanging="360"/>
      </w:pPr>
    </w:lvl>
  </w:abstractNum>
  <w:abstractNum w:abstractNumId="9">
    <w:nsid w:val="FFFFFF89"/>
    <w:multiLevelType w:val="singleLevel"/>
    <w:tmpl w:val="5C3E0B56"/>
    <w:lvl w:ilvl="0">
      <w:start w:val="1"/>
      <w:numFmt w:val="bullet"/>
      <w:lvlText w:val=""/>
      <w:lvlJc w:val="left"/>
      <w:pPr>
        <w:tabs>
          <w:tab w:val="num" w:pos="360"/>
        </w:tabs>
        <w:ind w:left="360" w:hanging="360"/>
      </w:pPr>
      <w:rPr>
        <w:rFonts w:ascii="Symbol" w:hAnsi="Symbol" w:hint="default"/>
      </w:rPr>
    </w:lvl>
  </w:abstractNum>
  <w:abstractNum w:abstractNumId="10">
    <w:nsid w:val="6F322753"/>
    <w:multiLevelType w:val="multilevel"/>
    <w:tmpl w:val="8C52B2F4"/>
    <w:lvl w:ilvl="0">
      <w:start w:val="1"/>
      <w:numFmt w:val="none"/>
      <w:suff w:val="nothing"/>
      <w:lvlText w:val="%1"/>
      <w:lvlJc w:val="left"/>
      <w:pPr>
        <w:ind w:left="0" w:firstLine="0"/>
      </w:pPr>
    </w:lvl>
    <w:lvl w:ilvl="1">
      <w:start w:val="1"/>
      <w:numFmt w:val="lowerLetter"/>
      <w:lvlText w:val="%1%2)"/>
      <w:lvlJc w:val="left"/>
      <w:pPr>
        <w:tabs>
          <w:tab w:val="num" w:pos="360"/>
        </w:tabs>
        <w:ind w:left="0" w:firstLine="0"/>
      </w:pPr>
    </w:lvl>
    <w:lvl w:ilvl="2">
      <w:start w:val="1"/>
      <w:numFmt w:val="bullet"/>
      <w:lvlText w:val=""/>
      <w:lvlJc w:val="left"/>
      <w:pPr>
        <w:tabs>
          <w:tab w:val="num" w:pos="720"/>
        </w:tabs>
        <w:ind w:left="720" w:hanging="432"/>
      </w:pPr>
      <w:rPr>
        <w:rFonts w:ascii="Symbol" w:hAnsi="Symbol" w:hint="default"/>
      </w:rPr>
    </w:lvl>
    <w:lvl w:ilvl="3">
      <w:start w:val="1"/>
      <w:numFmt w:val="none"/>
      <w:lvlRestart w:val="0"/>
      <w:suff w:val="nothing"/>
      <w:lvlJc w:val="left"/>
      <w:pPr>
        <w:ind w:left="0" w:firstLine="0"/>
      </w:pPr>
      <w:rPr>
        <w:rFonts w:hint="default"/>
      </w:rPr>
    </w:lvl>
    <w:lvl w:ilvl="4">
      <w:start w:val="1"/>
      <w:numFmt w:val="none"/>
      <w:lvlRestart w:val="0"/>
      <w:lvlText w:val="%5"/>
      <w:lvlJc w:val="left"/>
      <w:pPr>
        <w:tabs>
          <w:tab w:val="num" w:pos="1008"/>
        </w:tabs>
        <w:ind w:left="1008" w:hanging="432"/>
      </w:pPr>
    </w:lvl>
    <w:lvl w:ilvl="5">
      <w:start w:val="1"/>
      <w:numFmt w:val="none"/>
      <w:lvlRestart w:val="0"/>
      <w:lvlText w:val="%6"/>
      <w:lvlJc w:val="left"/>
      <w:pPr>
        <w:tabs>
          <w:tab w:val="num" w:pos="1152"/>
        </w:tabs>
        <w:ind w:left="1152" w:hanging="432"/>
      </w:pPr>
    </w:lvl>
    <w:lvl w:ilvl="6">
      <w:start w:val="1"/>
      <w:numFmt w:val="none"/>
      <w:lvlRestart w:val="0"/>
      <w:lvlText w:val="%7"/>
      <w:lvlJc w:val="right"/>
      <w:pPr>
        <w:tabs>
          <w:tab w:val="num" w:pos="1296"/>
        </w:tabs>
        <w:ind w:left="1296" w:hanging="288"/>
      </w:pPr>
    </w:lvl>
    <w:lvl w:ilvl="7">
      <w:start w:val="1"/>
      <w:numFmt w:val="none"/>
      <w:lvlRestart w:val="0"/>
      <w:lvlText w:val="%8"/>
      <w:lvlJc w:val="left"/>
      <w:pPr>
        <w:tabs>
          <w:tab w:val="num" w:pos="1440"/>
        </w:tabs>
        <w:ind w:left="1440" w:hanging="432"/>
      </w:pPr>
    </w:lvl>
    <w:lvl w:ilvl="8">
      <w:start w:val="1"/>
      <w:numFmt w:val="none"/>
      <w:lvlRestart w:val="0"/>
      <w:lvlText w:val="%9"/>
      <w:lvlJc w:val="right"/>
      <w:pPr>
        <w:tabs>
          <w:tab w:val="num" w:pos="1584"/>
        </w:tabs>
        <w:ind w:left="1584" w:hanging="144"/>
      </w:pPr>
    </w:lvl>
  </w:abstractNum>
  <w:num w:numId="1">
    <w:abstractNumId w:val="10"/>
  </w:num>
  <w:num w:numId="2">
    <w:abstractNumId w:val="10"/>
  </w:num>
  <w:num w:numId="3">
    <w:abstractNumId w:val="10"/>
  </w:num>
  <w:num w:numId="4">
    <w:abstractNumId w:val="10"/>
  </w:num>
  <w:num w:numId="5">
    <w:abstractNumId w:val="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8"/>
    <w:lsdException w:name="Subtitle" w:uiPriority="98"/>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8"/>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8"/>
    <w:lsdException w:name="Subtle Reference" w:uiPriority="31"/>
    <w:lsdException w:name="Intense Reference" w:uiPriority="98"/>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317D4D"/>
    <w:pPr>
      <w:widowControl w:val="0"/>
      <w:spacing w:after="200" w:line="260" w:lineRule="atLeast"/>
      <w:jc w:val="both"/>
    </w:pPr>
    <w:rPr>
      <w:rFonts w:ascii="Aptos" w:hAnsi="Aptos"/>
      <w:sz w:val="22"/>
      <w:lang w:val="en-GB"/>
    </w:rPr>
  </w:style>
  <w:style w:type="paragraph" w:styleId="Heading1">
    <w:name w:val="heading 1"/>
    <w:basedOn w:val="Normal"/>
    <w:next w:val="Normal"/>
    <w:qFormat/>
    <w:rsid w:val="001E3E7F"/>
    <w:pPr>
      <w:keepNext/>
      <w:keepLines/>
      <w:outlineLvl w:val="0"/>
    </w:pPr>
    <w:rPr>
      <w:b/>
      <w:caps/>
      <w:kern w:val="28"/>
    </w:rPr>
  </w:style>
  <w:style w:type="paragraph" w:styleId="Heading2">
    <w:name w:val="heading 2"/>
    <w:basedOn w:val="Heading1"/>
    <w:next w:val="Normal"/>
    <w:link w:val="Heading2Char"/>
    <w:qFormat/>
    <w:rsid w:val="003A3D27"/>
    <w:pPr>
      <w:spacing w:after="0"/>
      <w:outlineLvl w:val="1"/>
    </w:pPr>
    <w:rPr>
      <w:caps w:val="0"/>
    </w:rPr>
  </w:style>
  <w:style w:type="paragraph" w:styleId="Heading3">
    <w:name w:val="heading 3"/>
    <w:basedOn w:val="Heading2"/>
    <w:next w:val="Normal"/>
    <w:qFormat/>
    <w:rsid w:val="003A3D27"/>
    <w:pPr>
      <w:outlineLvl w:val="2"/>
    </w:pPr>
    <w:rPr>
      <w:b w:val="0"/>
      <w:i/>
    </w:rPr>
  </w:style>
  <w:style w:type="paragraph" w:styleId="Heading4">
    <w:name w:val="heading 4"/>
    <w:basedOn w:val="Normal"/>
    <w:next w:val="Normal"/>
    <w:link w:val="Heading4Char"/>
    <w:semiHidden/>
    <w:unhideWhenUsed/>
    <w:qFormat/>
    <w:rsid w:val="003A3D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3A3D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3A3D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3A3D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3A3D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3A3D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3A3D27"/>
    <w:pPr>
      <w:tabs>
        <w:tab w:val="right" w:pos="9000"/>
      </w:tabs>
      <w:spacing w:after="0"/>
    </w:pPr>
  </w:style>
  <w:style w:type="paragraph" w:styleId="Footer">
    <w:name w:val="footer"/>
    <w:basedOn w:val="Normal"/>
    <w:rsid w:val="003A3D27"/>
    <w:pPr>
      <w:tabs>
        <w:tab w:val="center" w:pos="4500"/>
        <w:tab w:val="right" w:pos="9000"/>
      </w:tabs>
      <w:spacing w:after="0" w:line="240" w:lineRule="auto"/>
    </w:pPr>
  </w:style>
  <w:style w:type="paragraph" w:customStyle="1" w:styleId="Indent1">
    <w:name w:val="Indent 1"/>
    <w:basedOn w:val="Normal"/>
    <w:rsid w:val="001A4AE3"/>
    <w:pPr>
      <w:ind w:left="284" w:hanging="284"/>
    </w:pPr>
    <w:rPr>
      <w:rFonts w:asciiTheme="minorHAnsi" w:hAnsiTheme="minorHAnsi"/>
      <w:szCs w:val="22"/>
    </w:rPr>
  </w:style>
  <w:style w:type="paragraph" w:customStyle="1" w:styleId="Indent2">
    <w:name w:val="Indent 2"/>
    <w:basedOn w:val="Indent1"/>
    <w:rsid w:val="003A3D27"/>
    <w:pPr>
      <w:ind w:left="709" w:hanging="283"/>
    </w:pPr>
  </w:style>
  <w:style w:type="character" w:customStyle="1" w:styleId="Heading4Char">
    <w:name w:val="Heading 4 Char"/>
    <w:basedOn w:val="DefaultParagraphFont"/>
    <w:link w:val="Heading4"/>
    <w:semiHidden/>
    <w:rsid w:val="003A3D27"/>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semiHidden/>
    <w:rsid w:val="003A3D27"/>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semiHidden/>
    <w:rsid w:val="003A3D27"/>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semiHidden/>
    <w:rsid w:val="003A3D27"/>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semiHidden/>
    <w:rsid w:val="003A3D27"/>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semiHidden/>
    <w:rsid w:val="003A3D27"/>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98"/>
    <w:semiHidden/>
    <w:rsid w:val="003A3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8"/>
    <w:semiHidden/>
    <w:rsid w:val="00C54CE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98"/>
    <w:semiHidden/>
    <w:rsid w:val="003A3D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98"/>
    <w:semiHidden/>
    <w:rsid w:val="00C54CE6"/>
    <w:rPr>
      <w:rFonts w:asciiTheme="minorHAnsi" w:eastAsiaTheme="majorEastAsia" w:hAnsiTheme="minorHAnsi" w:cstheme="majorBidi"/>
      <w:color w:val="595959" w:themeColor="text1" w:themeTint="A6"/>
      <w:spacing w:val="15"/>
      <w:sz w:val="28"/>
      <w:szCs w:val="28"/>
      <w:lang w:val="en-GB"/>
    </w:rPr>
  </w:style>
  <w:style w:type="paragraph" w:styleId="ListParagraph">
    <w:name w:val="List Paragraph"/>
    <w:basedOn w:val="Normal"/>
    <w:uiPriority w:val="98"/>
    <w:semiHidden/>
    <w:rsid w:val="003A3D27"/>
    <w:pPr>
      <w:ind w:left="720"/>
      <w:contextualSpacing/>
    </w:pPr>
  </w:style>
  <w:style w:type="paragraph" w:styleId="Quote">
    <w:name w:val="Quote"/>
    <w:basedOn w:val="Normal"/>
    <w:next w:val="Normal"/>
    <w:link w:val="QuoteChar"/>
    <w:uiPriority w:val="98"/>
    <w:semiHidden/>
    <w:rsid w:val="003A3D27"/>
    <w:pPr>
      <w:spacing w:before="160" w:after="160"/>
      <w:jc w:val="center"/>
    </w:pPr>
    <w:rPr>
      <w:i/>
      <w:iCs/>
      <w:color w:val="404040" w:themeColor="text1" w:themeTint="BF"/>
    </w:rPr>
  </w:style>
  <w:style w:type="character" w:customStyle="1" w:styleId="QuoteChar">
    <w:name w:val="Quote Char"/>
    <w:basedOn w:val="DefaultParagraphFont"/>
    <w:link w:val="Quote"/>
    <w:uiPriority w:val="98"/>
    <w:semiHidden/>
    <w:rsid w:val="00C54CE6"/>
    <w:rPr>
      <w:rFonts w:ascii="Arial" w:hAnsi="Arial"/>
      <w:i/>
      <w:iCs/>
      <w:color w:val="404040" w:themeColor="text1" w:themeTint="BF"/>
      <w:lang w:val="en-GB"/>
    </w:rPr>
  </w:style>
  <w:style w:type="paragraph" w:styleId="IntenseQuote">
    <w:name w:val="Intense Quote"/>
    <w:basedOn w:val="Normal"/>
    <w:next w:val="Normal"/>
    <w:link w:val="IntenseQuoteChar"/>
    <w:uiPriority w:val="98"/>
    <w:semiHidden/>
    <w:rsid w:val="003A3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98"/>
    <w:semiHidden/>
    <w:rsid w:val="00C54CE6"/>
    <w:rPr>
      <w:rFonts w:ascii="Arial" w:hAnsi="Arial"/>
      <w:i/>
      <w:iCs/>
      <w:color w:val="0F4761" w:themeColor="accent1" w:themeShade="BF"/>
      <w:lang w:val="en-GB"/>
    </w:rPr>
  </w:style>
  <w:style w:type="character" w:styleId="IntenseEmphasis">
    <w:name w:val="Intense Emphasis"/>
    <w:basedOn w:val="DefaultParagraphFont"/>
    <w:uiPriority w:val="98"/>
    <w:semiHidden/>
    <w:rsid w:val="003A3D27"/>
    <w:rPr>
      <w:i/>
      <w:iCs/>
      <w:color w:val="0F4761" w:themeColor="accent1" w:themeShade="BF"/>
    </w:rPr>
  </w:style>
  <w:style w:type="character" w:styleId="IntenseReference">
    <w:name w:val="Intense Reference"/>
    <w:basedOn w:val="DefaultParagraphFont"/>
    <w:uiPriority w:val="98"/>
    <w:semiHidden/>
    <w:rsid w:val="003A3D27"/>
    <w:rPr>
      <w:b/>
      <w:bCs/>
      <w:smallCaps/>
      <w:color w:val="0F4761" w:themeColor="accent1" w:themeShade="BF"/>
      <w:spacing w:val="5"/>
    </w:rPr>
  </w:style>
  <w:style w:type="character" w:styleId="Hyperlink">
    <w:name w:val="Hyperlink"/>
    <w:basedOn w:val="DefaultParagraphFont"/>
    <w:rsid w:val="007D09C9"/>
    <w:rPr>
      <w:color w:val="467886" w:themeColor="hyperlink"/>
      <w:u w:val="single"/>
    </w:rPr>
  </w:style>
  <w:style w:type="character" w:customStyle="1" w:styleId="UnresolvedMention1">
    <w:name w:val="Unresolved Mention1"/>
    <w:basedOn w:val="DefaultParagraphFont"/>
    <w:uiPriority w:val="99"/>
    <w:semiHidden/>
    <w:unhideWhenUsed/>
    <w:rsid w:val="007D09C9"/>
    <w:rPr>
      <w:color w:val="605E5C"/>
      <w:shd w:val="clear" w:color="auto" w:fill="E1DFDD"/>
    </w:rPr>
  </w:style>
  <w:style w:type="character" w:styleId="FollowedHyperlink">
    <w:name w:val="FollowedHyperlink"/>
    <w:basedOn w:val="DefaultParagraphFont"/>
    <w:rsid w:val="007D09C9"/>
    <w:rPr>
      <w:color w:val="96607D" w:themeColor="followedHyperlink"/>
      <w:u w:val="single"/>
    </w:rPr>
  </w:style>
  <w:style w:type="character" w:customStyle="1" w:styleId="Heading2Char">
    <w:name w:val="Heading 2 Char"/>
    <w:basedOn w:val="DefaultParagraphFont"/>
    <w:link w:val="Heading2"/>
    <w:rsid w:val="006242C2"/>
    <w:rPr>
      <w:rFonts w:ascii="Aptos" w:hAnsi="Aptos"/>
      <w:b/>
      <w:kern w:val="28"/>
      <w:sz w:val="22"/>
      <w:lang w:val="en-GB"/>
    </w:rPr>
  </w:style>
  <w:style w:type="paragraph" w:styleId="Header">
    <w:name w:val="header"/>
    <w:basedOn w:val="Normal"/>
    <w:link w:val="HeaderChar"/>
    <w:rsid w:val="001F7059"/>
    <w:pPr>
      <w:tabs>
        <w:tab w:val="center" w:pos="4513"/>
        <w:tab w:val="right" w:pos="9026"/>
      </w:tabs>
      <w:spacing w:after="0" w:line="240" w:lineRule="auto"/>
    </w:pPr>
  </w:style>
  <w:style w:type="character" w:customStyle="1" w:styleId="HeaderChar">
    <w:name w:val="Header Char"/>
    <w:basedOn w:val="DefaultParagraphFont"/>
    <w:link w:val="Header"/>
    <w:rsid w:val="001F7059"/>
    <w:rPr>
      <w:rFonts w:ascii="Aptos" w:hAnsi="Apto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300D0-0DAF-4B6A-AE4D-60579323802C}">
  <ds:schemaRefs>
    <ds:schemaRef ds:uri="http://schemas.openxmlformats.org/officeDocument/2006/bibliography"/>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CLR0155</dc:title>
  <cp:revision>0</cp:revision>
</cp:coreProperties>
</file>