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71408" w:rsidP="00971408">
      <w:pPr>
        <w:jc w:val="center"/>
      </w:pPr>
      <w:r w:rsidRPr="009E1246">
        <w:rPr>
          <w:b/>
          <w:bCs/>
        </w:rPr>
        <w:t xml:space="preserve">Written </w:t>
      </w:r>
      <w:r>
        <w:rPr>
          <w:b/>
          <w:bCs/>
        </w:rPr>
        <w:t>evidence submitted by Luke Williamson [CLR 149]</w:t>
      </w:r>
    </w:p>
    <w:p w:rsidR="00971408" w:rsidP="009E1246"/>
    <w:p w:rsidR="00971408" w:rsidRPr="009E1246" w:rsidP="009E1246">
      <w:pPr>
        <w:rPr>
          <w:b/>
          <w:bCs/>
          <w:u w:val="single"/>
        </w:rPr>
      </w:pPr>
      <w:r w:rsidRPr="009E1246">
        <w:rPr>
          <w:b/>
          <w:bCs/>
          <w:u w:val="single"/>
        </w:rPr>
        <w:t>Introduction</w:t>
      </w:r>
    </w:p>
    <w:p w:rsidR="00971408" w:rsidP="009E1246"/>
    <w:p w:rsidR="00971408" w:rsidP="009E1246">
      <w:r>
        <w:t>I purchased my leasehold flat ten years ago in what I believed was a secure and sensible investment. It is in a mixed-use building containing both residential flats and commercial premises.</w:t>
      </w:r>
    </w:p>
    <w:p w:rsidR="00971408" w:rsidP="009E1246"/>
    <w:p w:rsidR="00971408" w:rsidP="009E1246">
      <w:r>
        <w:t>At the time of purchase, the service charge was high but manageable. My solicitor, mortgage broker and surveyor raised no red flags. I bought in good faith.</w:t>
      </w:r>
    </w:p>
    <w:p w:rsidR="00971408" w:rsidP="009E1246"/>
    <w:p w:rsidR="00971408" w:rsidP="009E1246">
      <w:r>
        <w:t>Ten years later:</w:t>
      </w:r>
    </w:p>
    <w:p w:rsidR="00971408" w:rsidP="009E1246">
      <w:pPr>
        <w:pStyle w:val="ListParagraph"/>
        <w:numPr>
          <w:ilvl w:val="0"/>
          <w:numId w:val="1"/>
        </w:numPr>
      </w:pPr>
      <w:r>
        <w:t>My service charge has increased by approximately 170%.</w:t>
      </w:r>
    </w:p>
    <w:p w:rsidR="00971408" w:rsidP="009E1246">
      <w:pPr>
        <w:pStyle w:val="ListParagraph"/>
        <w:numPr>
          <w:ilvl w:val="0"/>
          <w:numId w:val="1"/>
        </w:numPr>
      </w:pPr>
      <w:r>
        <w:t>The value of my flat has fallen by roughly 50%.</w:t>
      </w:r>
    </w:p>
    <w:p w:rsidR="00971408" w:rsidP="009E1246">
      <w:pPr>
        <w:pStyle w:val="ListParagraph"/>
        <w:numPr>
          <w:ilvl w:val="0"/>
          <w:numId w:val="1"/>
        </w:numPr>
      </w:pPr>
      <w:r>
        <w:t>The building has been visibly neglected and is approaching serious disrepair.</w:t>
      </w:r>
    </w:p>
    <w:p w:rsidR="00971408" w:rsidP="009E1246"/>
    <w:p w:rsidR="00971408" w:rsidP="009E1246">
      <w:r>
        <w:t>The only consistently positive aspect of living here is the community of residents. We work together constantly to deal with problems that the freeholder and managing agent do not properly address. But we are effectively putting plasters over widening cracks.</w:t>
      </w:r>
    </w:p>
    <w:p w:rsidR="00971408" w:rsidP="009E1246"/>
    <w:p w:rsidR="00971408" w:rsidP="009E1246">
      <w:r>
        <w:t>We do not want conflict and endless disputes. We need the ability to buy the freehold and manage our own building. Under current law, we cannot.</w:t>
      </w:r>
    </w:p>
    <w:p w:rsidR="00971408" w:rsidP="009E1246"/>
    <w:p w:rsidR="00971408" w:rsidRPr="009E1246" w:rsidP="009E1246">
      <w:pPr>
        <w:rPr>
          <w:b/>
          <w:bCs/>
          <w:u w:val="single"/>
        </w:rPr>
      </w:pPr>
      <w:r w:rsidRPr="009E1246">
        <w:rPr>
          <w:b/>
          <w:bCs/>
          <w:u w:val="single"/>
        </w:rPr>
        <w:t>How the 1993 “Shared Services” Rule Traps Us</w:t>
      </w:r>
    </w:p>
    <w:p w:rsidR="00971408" w:rsidP="009E1246"/>
    <w:p w:rsidR="00971408" w:rsidP="009E1246">
      <w:r>
        <w:t>Our building would appear, at first glance, to qualify for collective enfranchisement under recent reforms. The residential element forms the majority of the building.</w:t>
      </w:r>
    </w:p>
    <w:p w:rsidR="00971408" w:rsidP="009E1246"/>
    <w:p w:rsidR="00971408" w:rsidP="009E1246">
      <w:r>
        <w:t>However, because our block shares basic infrastructure with the commercial unit (including pipes, cabling and plant areas), we are excluded from buying the freehold under Section 3 of the Leasehold Reform, Housing and Urban Development Act 1993.</w:t>
      </w:r>
    </w:p>
    <w:p w:rsidR="00971408" w:rsidP="009E1246"/>
    <w:p w:rsidR="00971408" w:rsidP="009E1246">
      <w:r>
        <w:t>The definition of “shared services” is extremely broad. In practice, it means that almost any modern mixed-use building is disqualified.</w:t>
      </w:r>
    </w:p>
    <w:p w:rsidR="00971408" w:rsidP="009E1246"/>
    <w:p w:rsidR="00971408" w:rsidP="009E1246">
      <w:r>
        <w:t>This is not a rare technicality. It is the standard structure of urban development over the past 30 years.</w:t>
      </w:r>
    </w:p>
    <w:p w:rsidR="00971408" w:rsidP="009E1246"/>
    <w:p w:rsidR="00971408" w:rsidP="009E1246">
      <w:r>
        <w:t>The Leasehold and Freehold Reform Act 2024 raised the non-residential threshold from 25% to 50% and introduced leaseback mechanisms intended to make mixed-use enfranchisement workable. But those reforms have not yet been commenced, and even if they are, the shared services exclusion still blocks us.</w:t>
      </w:r>
    </w:p>
    <w:p w:rsidR="00971408" w:rsidP="009E1246"/>
    <w:p w:rsidR="00971408" w:rsidP="009E1246">
      <w:r>
        <w:t>For leaseholders like me, the result is simple: we are trapped.</w:t>
      </w:r>
    </w:p>
    <w:p w:rsidR="00971408" w:rsidRPr="009E1246" w:rsidP="009E1246">
      <w:pPr>
        <w:rPr>
          <w:u w:val="single"/>
        </w:rPr>
      </w:pPr>
    </w:p>
    <w:p w:rsidR="00971408" w:rsidRPr="009E1246" w:rsidP="009E1246">
      <w:pPr>
        <w:rPr>
          <w:b/>
          <w:bCs/>
          <w:u w:val="single"/>
        </w:rPr>
      </w:pPr>
      <w:r w:rsidRPr="009E1246">
        <w:rPr>
          <w:b/>
          <w:bCs/>
          <w:u w:val="single"/>
        </w:rPr>
        <w:t>The Financial and Practical Consequences</w:t>
      </w:r>
    </w:p>
    <w:p w:rsidR="00971408" w:rsidP="009E1246"/>
    <w:p w:rsidR="00971408" w:rsidP="009E1246">
      <w:r>
        <w:t>Being unable to enfranchise has real consequences:</w:t>
      </w:r>
    </w:p>
    <w:p w:rsidR="00971408" w:rsidP="009E1246"/>
    <w:p w:rsidR="00971408" w:rsidP="009E1246">
      <w:r>
        <w:t>1. Service Charges Without Control</w:t>
      </w:r>
    </w:p>
    <w:p w:rsidR="00971408" w:rsidP="009E1246"/>
    <w:p w:rsidR="00971408" w:rsidP="009E1246">
      <w:r w:rsidRPr="009E1246">
        <w:t>My service charge has increased by 170% in ten years. This is not a marginal rise or the effect of general cost pressures. It represents a fundamental loss of control over the costs of living in my own home.</w:t>
      </w:r>
    </w:p>
    <w:p w:rsidR="00971408" w:rsidP="009E1246"/>
    <w:p w:rsidR="00971408" w:rsidP="009E1246">
      <w:r>
        <w:t>2. Building Neglect</w:t>
      </w:r>
    </w:p>
    <w:p w:rsidR="00971408" w:rsidP="009E1246"/>
    <w:p w:rsidR="00971408" w:rsidP="009E1246">
      <w:r>
        <w:t>The freeholder has little incentive to invest in preventative maintenance. Problems are addressed reactively, not strategically. The building now shows visible signs of decline.</w:t>
      </w:r>
    </w:p>
    <w:p w:rsidR="00971408" w:rsidP="009E1246"/>
    <w:p w:rsidR="00971408" w:rsidP="009E1246">
      <w:r>
        <w:t>3. Property Devaluation</w:t>
      </w:r>
    </w:p>
    <w:p w:rsidR="00971408" w:rsidP="009E1246"/>
    <w:p w:rsidR="00971408" w:rsidP="009E1246">
      <w:r>
        <w:t>My flat is now worth approximately half of what I paid. This affects my ability to remortgage or move. Buyers are deterred by rising charges and visible deterioration. Lenders are cautious.</w:t>
      </w:r>
    </w:p>
    <w:p w:rsidR="00971408" w:rsidP="009E1246"/>
    <w:p w:rsidR="00971408" w:rsidP="009E1246">
      <w:r>
        <w:t>4. Potential Cross-Subsidy</w:t>
      </w:r>
    </w:p>
    <w:p w:rsidR="00971408" w:rsidP="009E1246"/>
    <w:p w:rsidR="00971408" w:rsidP="009E1246">
      <w:r w:rsidRPr="00013A62">
        <w:t>Our building shares pipes and essential services with the commercial unit. That makes fair cost allocation essential. Instead, it is used as the legal reason we are denied the right to buy the freehold. The very feature that requires greater accountability is the feature that removes it.</w:t>
      </w:r>
    </w:p>
    <w:p w:rsidR="00971408" w:rsidP="009E1246"/>
    <w:p w:rsidR="00971408" w:rsidRPr="00013A62" w:rsidP="00013A62">
      <w:pPr>
        <w:rPr>
          <w:b/>
          <w:bCs/>
          <w:u w:val="single"/>
        </w:rPr>
      </w:pPr>
      <w:r w:rsidRPr="00013A62">
        <w:rPr>
          <w:b/>
          <w:bCs/>
          <w:u w:val="single"/>
        </w:rPr>
        <w:t>Why This Matters for Commonhold Reform</w:t>
      </w:r>
    </w:p>
    <w:p w:rsidR="00971408" w:rsidP="00013A62"/>
    <w:p w:rsidR="00971408" w:rsidP="00013A62">
      <w:r>
        <w:t>The draft Bill aims to expand commonhold. But under its own framework, collective enfranchisement is a gateway to commonhold conversion.</w:t>
      </w:r>
    </w:p>
    <w:p w:rsidR="00971408" w:rsidP="00013A62"/>
    <w:p w:rsidR="00971408" w:rsidP="00013A62">
      <w:r>
        <w:t>If mixed-use leaseholders cannot enfranchise because of shared pipes or plant rooms, we can never convert.</w:t>
      </w:r>
    </w:p>
    <w:p w:rsidR="00971408" w:rsidP="00013A62"/>
    <w:p w:rsidR="00971408" w:rsidP="00013A62">
      <w:r>
        <w:t>That risks creating a two-tier property market:</w:t>
      </w:r>
    </w:p>
    <w:p w:rsidR="00971408" w:rsidP="00013A62">
      <w:pPr>
        <w:pStyle w:val="ListParagraph"/>
        <w:numPr>
          <w:ilvl w:val="0"/>
          <w:numId w:val="2"/>
        </w:numPr>
      </w:pPr>
      <w:r>
        <w:t>New flats sold as commonhold with democratic control.</w:t>
      </w:r>
    </w:p>
    <w:p w:rsidR="00971408" w:rsidP="00013A62">
      <w:pPr>
        <w:pStyle w:val="ListParagraph"/>
        <w:numPr>
          <w:ilvl w:val="0"/>
          <w:numId w:val="2"/>
        </w:numPr>
      </w:pPr>
      <w:r>
        <w:t xml:space="preserve">Existing mixed-use leaseholders </w:t>
      </w:r>
      <w:r>
        <w:t xml:space="preserve">are </w:t>
      </w:r>
      <w:r>
        <w:t>permanently locked into declining leasehold structures.</w:t>
      </w:r>
    </w:p>
    <w:p w:rsidR="00971408" w:rsidP="00013A62"/>
    <w:p w:rsidR="00971408" w:rsidP="00013A62">
      <w:r>
        <w:t>Many urban buildings fall into this category. Without fixing the 1993 structural dependency rule, reform will exclude a significant cohort of leaseholders.</w:t>
      </w:r>
    </w:p>
    <w:p w:rsidR="00971408" w:rsidP="00013A62"/>
    <w:p w:rsidR="00971408" w:rsidRPr="00013A62" w:rsidP="00013A62">
      <w:pPr>
        <w:rPr>
          <w:b/>
          <w:bCs/>
          <w:u w:val="single"/>
        </w:rPr>
      </w:pPr>
      <w:r w:rsidRPr="00013A62">
        <w:rPr>
          <w:b/>
          <w:bCs/>
          <w:u w:val="single"/>
        </w:rPr>
        <w:t>What I Am Asking the Committee to Recommend</w:t>
      </w:r>
    </w:p>
    <w:p w:rsidR="00971408" w:rsidP="00013A62"/>
    <w:p w:rsidR="00971408" w:rsidP="00013A62">
      <w:r>
        <w:t>I urge the Committee to recommend that the final Bill:</w:t>
      </w:r>
    </w:p>
    <w:p w:rsidR="00971408" w:rsidP="00013A62"/>
    <w:p w:rsidR="00971408" w:rsidP="00013A62">
      <w:r>
        <w:t>1. Repeal or substantially narrow the shared services exclusion in Section 3 of the 1993 Act.</w:t>
      </w:r>
    </w:p>
    <w:p w:rsidR="00971408" w:rsidP="00013A62"/>
    <w:p w:rsidR="00971408" w:rsidP="00013A62">
      <w:r>
        <w:t>Modern leaseback mechanisms already provide a workable way to separate commercial and residential interests. A blanket exclusion based on shared pipes or cables is disproportionate and outdated.</w:t>
      </w:r>
    </w:p>
    <w:p w:rsidR="00971408" w:rsidP="00013A62"/>
    <w:p w:rsidR="00971408" w:rsidP="00013A62">
      <w:r>
        <w:t>2. Ensure enfranchisement is affordable in practice.</w:t>
      </w:r>
    </w:p>
    <w:p w:rsidR="00971408" w:rsidP="00013A62"/>
    <w:p w:rsidR="00971408" w:rsidP="00013A62">
      <w:r>
        <w:t>There remains no clarity on valuation rates, despite previous commitments to consult on this. Without affordability, eligibility alone is meaningless.</w:t>
      </w:r>
    </w:p>
    <w:p w:rsidR="00971408" w:rsidP="00013A62"/>
    <w:p w:rsidR="00971408" w:rsidP="00013A62">
      <w:r>
        <w:t>3. Strengthen and simplify Right to Manage.</w:t>
      </w:r>
    </w:p>
    <w:p w:rsidR="00971408" w:rsidP="00013A62"/>
    <w:p w:rsidR="00971408" w:rsidP="00013A62">
      <w:r>
        <w:t>Where enfranchisement is unaffordable or complex, Right to Manage should provide a realistic alternative. Currently, technical pitfalls still make it vulnerable to obstruction.</w:t>
      </w:r>
    </w:p>
    <w:p w:rsidR="00971408" w:rsidP="00013A62"/>
    <w:p w:rsidR="00971408" w:rsidRPr="00013A62" w:rsidP="00013A62">
      <w:pPr>
        <w:rPr>
          <w:b/>
          <w:bCs/>
          <w:u w:val="single"/>
        </w:rPr>
      </w:pPr>
      <w:r w:rsidRPr="00013A62">
        <w:rPr>
          <w:b/>
          <w:bCs/>
          <w:u w:val="single"/>
        </w:rPr>
        <w:t>A Personal Reflection</w:t>
      </w:r>
    </w:p>
    <w:p w:rsidR="00971408" w:rsidP="00013A62"/>
    <w:p w:rsidR="00971408" w:rsidP="007C33EF">
      <w:r>
        <w:t>I am a homeowner who bought in good faith. I relied on professional advice and assumed the legal framework governing my building was fair and workable.</w:t>
      </w:r>
    </w:p>
    <w:p w:rsidR="00971408" w:rsidP="007C33EF"/>
    <w:p w:rsidR="00971408" w:rsidP="007C33EF">
      <w:r>
        <w:t>The law should not produce outcomes that feel arbitrary and unjust.</w:t>
      </w:r>
    </w:p>
    <w:p w:rsidR="00971408" w:rsidP="007C33EF"/>
    <w:p w:rsidR="00971408" w:rsidP="007C33EF">
      <w:r>
        <w:t>The draft Bill presents a rare opportunity to correct a structural flaw that has trapped thousands of leaseholders in mixed-use buildings. Without addressing the shared services exclusion, that flaw will remain.</w:t>
      </w:r>
    </w:p>
    <w:p w:rsidR="00971408" w:rsidP="007C33EF"/>
    <w:p w:rsidR="00971408" w:rsidP="007C33EF">
      <w:pPr>
        <w:rPr>
          <w:i/>
          <w:iCs/>
        </w:rPr>
      </w:pPr>
    </w:p>
    <w:p w:rsidR="00971408" w:rsidRPr="00971408" w:rsidP="007C33EF">
      <w:pPr>
        <w:rPr>
          <w:i/>
          <w:iCs/>
        </w:rPr>
      </w:pPr>
      <w:r>
        <w:rPr>
          <w:i/>
          <w:iCs/>
        </w:rPr>
        <w:t>February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EC450E1"/>
    <w:multiLevelType w:val="hybridMultilevel"/>
    <w:tmpl w:val="302A3A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6E32687"/>
    <w:multiLevelType w:val="hybridMultilevel"/>
    <w:tmpl w:val="74704A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9E12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12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12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12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12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12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2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2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2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2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12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12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12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12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12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12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12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1246"/>
    <w:rPr>
      <w:rFonts w:eastAsiaTheme="majorEastAsia" w:cstheme="majorBidi"/>
      <w:color w:val="272727" w:themeColor="text1" w:themeTint="D8"/>
    </w:rPr>
  </w:style>
  <w:style w:type="paragraph" w:styleId="Title">
    <w:name w:val="Title"/>
    <w:basedOn w:val="Normal"/>
    <w:next w:val="Normal"/>
    <w:link w:val="TitleChar"/>
    <w:uiPriority w:val="10"/>
    <w:qFormat/>
    <w:rsid w:val="009E12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2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24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12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124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E1246"/>
    <w:rPr>
      <w:i/>
      <w:iCs/>
      <w:color w:val="404040" w:themeColor="text1" w:themeTint="BF"/>
    </w:rPr>
  </w:style>
  <w:style w:type="paragraph" w:styleId="ListParagraph">
    <w:name w:val="List Paragraph"/>
    <w:basedOn w:val="Normal"/>
    <w:uiPriority w:val="34"/>
    <w:qFormat/>
    <w:rsid w:val="009E1246"/>
    <w:pPr>
      <w:ind w:left="720"/>
      <w:contextualSpacing/>
    </w:pPr>
  </w:style>
  <w:style w:type="character" w:styleId="IntenseEmphasis">
    <w:name w:val="Intense Emphasis"/>
    <w:basedOn w:val="DefaultParagraphFont"/>
    <w:uiPriority w:val="21"/>
    <w:qFormat/>
    <w:rsid w:val="009E1246"/>
    <w:rPr>
      <w:i/>
      <w:iCs/>
      <w:color w:val="0F4761" w:themeColor="accent1" w:themeShade="BF"/>
    </w:rPr>
  </w:style>
  <w:style w:type="paragraph" w:styleId="IntenseQuote">
    <w:name w:val="Intense Quote"/>
    <w:basedOn w:val="Normal"/>
    <w:next w:val="Normal"/>
    <w:link w:val="IntenseQuoteChar"/>
    <w:uiPriority w:val="30"/>
    <w:qFormat/>
    <w:rsid w:val="009E12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1246"/>
    <w:rPr>
      <w:i/>
      <w:iCs/>
      <w:color w:val="0F4761" w:themeColor="accent1" w:themeShade="BF"/>
    </w:rPr>
  </w:style>
  <w:style w:type="character" w:styleId="IntenseReference">
    <w:name w:val="Intense Reference"/>
    <w:basedOn w:val="DefaultParagraphFont"/>
    <w:uiPriority w:val="32"/>
    <w:qFormat/>
    <w:rsid w:val="009E12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191</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lcf76f155ced4ddcb4097134ff3c332f xmlns="ca160097-f9a4-47a2-9b12-b18df77a0bea">
      <Terms xmlns="http://schemas.microsoft.com/office/infopath/2007/PartnerControls"/>
    </lcf76f155ced4ddcb4097134ff3c332f>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TobePublished xmlns="ca160097-f9a4-47a2-9b12-b18df77a0be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8" ma:contentTypeDescription="Create a new document." ma:contentTypeScope="" ma:versionID="22edb971044480174c45435b4e572c4b">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21fb6eab2d8c601a077cf9b461354965"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element ref="ns2:MediaServiceObjectDetectorVersions" minOccurs="0"/>
                <xsd:element ref="ns2:lcf76f155ced4ddcb4097134ff3c332f" minOccurs="0"/>
                <xsd:element ref="ns2:MediaServiceOCR" minOccurs="0"/>
                <xsd:element ref="ns2:TobePublished"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element name="MediaServiceObjectDetectorVersions" ma:index="72" nillable="true" ma:displayName="MediaServiceObjectDetectorVersions" ma:hidden="true" ma:indexed="true" ma:internalName="MediaServiceObjectDetectorVersions" ma:readOnly="true">
      <xsd:simpleType>
        <xsd:restriction base="dms:Text"/>
      </xsd:simpleType>
    </xsd:element>
    <xsd:element name="lcf76f155ced4ddcb4097134ff3c332f" ma:index="7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CR" ma:index="75" nillable="true" ma:displayName="Extracted Text" ma:internalName="MediaServiceOCR" ma:readOnly="true">
      <xsd:simpleType>
        <xsd:restriction base="dms:Note">
          <xsd:maxLength value="255"/>
        </xsd:restriction>
      </xsd:simpleType>
    </xsd:element>
    <xsd:element name="TobePublished" ma:index="76" nillable="true" ma:displayName="To be Published" ma:format="Dropdown" ma:internalName="TobePublished">
      <xsd:simpleType>
        <xsd:restriction base="dms:Text">
          <xsd:maxLength value="255"/>
        </xsd:restriction>
      </xsd:simpleType>
    </xsd:element>
    <xsd:element name="MediaServiceSearchProperties" ma:index="77" nillable="true" ma:displayName="MediaServiceSearchProperties" ma:hidden="true" ma:internalName="MediaServiceSearchProperties" ma:readOnly="true">
      <xsd:simpleType>
        <xsd:restriction base="dms:Note"/>
      </xsd:simpleType>
    </xsd:element>
    <xsd:element name="MediaServiceBillingMetadata" ma:index="7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A93D14-8A15-46FA-A424-0396546DD64F}">
  <ds:schemaRefs/>
</ds:datastoreItem>
</file>

<file path=customXml/itemProps2.xml><?xml version="1.0" encoding="utf-8"?>
<ds:datastoreItem xmlns:ds="http://schemas.openxmlformats.org/officeDocument/2006/customXml" ds:itemID="{868C5C38-B59F-47CA-A956-4A3DCDD7074C}">
  <ds:schemaRefs/>
</ds:datastoreItem>
</file>

<file path=customXml/itemProps3.xml><?xml version="1.0" encoding="utf-8"?>
<ds:datastoreItem xmlns:ds="http://schemas.openxmlformats.org/officeDocument/2006/customXml" ds:itemID="{9F2FD08E-317D-4F4C-A610-64EB6D945800}">
  <ds:schemaRefs/>
</ds:datastoreItem>
</file>

<file path=customXml/itemProps4.xml><?xml version="1.0" encoding="utf-8"?>
<ds:datastoreItem xmlns:ds="http://schemas.openxmlformats.org/officeDocument/2006/customXml" ds:itemID="{7CB3C472-FFC1-4F29-B966-FD29B1FB4FC6}">
  <ds:schemaRefs/>
</ds:datastoreItem>
</file>

<file path=docMetadata/LabelInfo.xml><?xml version="1.0" encoding="utf-8"?>
<clbl:labelList xmlns:clbl="http://schemas.microsoft.com/office/2020/mipLabelMetadata">
  <clbl:label id="{698453b5-5ff5-45ea-8b80-71e82b0a288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CLR0149</dc:title>
  <cp:revision>0</cp:revision>
</cp:coreProperties>
</file>