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C3541" w:rsidRPr="005C3541" w:rsidP="005C3541">
      <w:pPr>
        <w:jc w:val="center"/>
        <w:rPr>
          <w:b/>
          <w:bCs/>
          <w:sz w:val="28"/>
          <w:szCs w:val="28"/>
        </w:rPr>
      </w:pPr>
      <w:r w:rsidRPr="005C3541">
        <w:rPr>
          <w:b/>
          <w:bCs/>
          <w:sz w:val="28"/>
          <w:szCs w:val="28"/>
        </w:rPr>
        <w:t xml:space="preserve">Written evidence submitted by </w:t>
      </w: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5C3541">
        <w:rPr>
          <w:b/>
          <w:bCs/>
          <w:sz w:val="28"/>
          <w:szCs w:val="28"/>
        </w:rPr>
        <w:t>Sense (YEET0177)</w:t>
      </w:r>
    </w:p>
    <w:p w:rsidR="005C3541" w:rsidRPr="009F23CE" w:rsidP="005428B3">
      <w:pPr>
        <w:pStyle w:val="Heading1"/>
        <w:numPr>
          <w:ilvl w:val="0"/>
          <w:numId w:val="13"/>
        </w:numPr>
        <w:spacing w:line="360" w:lineRule="auto"/>
      </w:pP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9F23CE">
        <w:t>A</w:t>
      </w:r>
      <w:r w:rsidRPr="009F23CE">
        <w:t>bout Sense</w:t>
      </w:r>
    </w:p>
    <w:p w:rsidR="005C3541" w:rsidRPr="00B16E39" w:rsidP="005428B3">
      <w:r w:rsidRPr="00B16E39">
        <w:t>Sense is a national disability charity with a vision of a world without limits for disabled people with complex needs. We want to break down barriers alongside disabled people with complex needs to achieve this.</w:t>
      </w:r>
    </w:p>
    <w:p w:rsidR="005C3541" w:rsidRPr="00B16E39" w:rsidP="005428B3">
      <w:r w:rsidRPr="00B16E39">
        <w:t>We provide personalised, flexible support to over 30,000 disabled people and families each year. We deliver a wide range of health, care and education services for disabled people with complex needs across England, Northern Ireland and Wales. Our operational portfolio spans all ages and life stages, from early intervention to supported living.</w:t>
      </w:r>
    </w:p>
    <w:p w:rsidR="005C3541" w:rsidP="005428B3">
      <w:pPr>
        <w:pStyle w:val="Heading1"/>
        <w:numPr>
          <w:ilvl w:val="0"/>
          <w:numId w:val="13"/>
        </w:numPr>
        <w:spacing w:line="360" w:lineRule="auto"/>
      </w:pPr>
      <w:r>
        <w:t>Recommendations</w:t>
      </w:r>
    </w:p>
    <w:p w:rsidR="005C3541" w:rsidRPr="006924E8" w:rsidP="005428B3">
      <w:pPr>
        <w:spacing w:before="0" w:after="120"/>
        <w:rPr>
          <w:b/>
          <w:bCs/>
          <w:lang w:eastAsia="en-US"/>
        </w:rPr>
      </w:pPr>
      <w:r w:rsidRPr="006924E8">
        <w:rPr>
          <w:b/>
          <w:bCs/>
          <w:lang w:eastAsia="en-US"/>
        </w:rPr>
        <w:t xml:space="preserve">The Department for Work and Pensions should: </w:t>
      </w:r>
    </w:p>
    <w:p w:rsidR="005C3541" w:rsidP="00A1156D">
      <w:pPr>
        <w:pStyle w:val="Bullet1"/>
        <w:numPr>
          <w:ilvl w:val="0"/>
          <w:numId w:val="4"/>
        </w:numPr>
        <w:spacing w:before="0" w:after="120"/>
      </w:pPr>
      <w:r>
        <w:t xml:space="preserve">Retain the Health Element of Universal Credit for people under the age of 22.  </w:t>
      </w:r>
    </w:p>
    <w:p w:rsidR="005C3541" w:rsidRPr="00C408C4" w:rsidP="005428B3">
      <w:pPr>
        <w:pStyle w:val="Bullet1"/>
        <w:numPr>
          <w:ilvl w:val="0"/>
          <w:numId w:val="4"/>
        </w:numPr>
        <w:spacing w:before="0" w:after="120"/>
      </w:pPr>
      <w:r>
        <w:t xml:space="preserve">Take </w:t>
      </w:r>
      <w:r w:rsidRPr="00C408C4">
        <w:t>specific measures to make sure that every young disabled person with complex needs can access specialist employment support</w:t>
      </w:r>
      <w:r>
        <w:t xml:space="preserve"> for jobseekers</w:t>
      </w:r>
      <w:r w:rsidRPr="00C408C4">
        <w:t xml:space="preserve"> on a voluntary basis, whether that is provided in a Jobcentre or not. </w:t>
      </w:r>
    </w:p>
    <w:p w:rsidR="005C3541" w:rsidP="00A1156D">
      <w:pPr>
        <w:pStyle w:val="Bullet1"/>
      </w:pPr>
      <w:r>
        <w:t>I</w:t>
      </w:r>
      <w:r w:rsidRPr="00776A6E">
        <w:t>nvest in employment support for</w:t>
      </w:r>
      <w:r>
        <w:t xml:space="preserve"> </w:t>
      </w:r>
      <w:r w:rsidRPr="00776A6E">
        <w:t xml:space="preserve">those transitioning out of </w:t>
      </w:r>
      <w:r>
        <w:t xml:space="preserve">specialist </w:t>
      </w:r>
      <w:r w:rsidRPr="00776A6E">
        <w:t xml:space="preserve">education. </w:t>
      </w:r>
    </w:p>
    <w:p w:rsidR="005C3541" w:rsidP="005428B3">
      <w:pPr>
        <w:spacing w:before="0" w:after="120"/>
        <w:rPr>
          <w:rFonts w:ascii="Arial" w:hAnsi="Arial" w:cs="Arial"/>
          <w:b/>
          <w:bCs/>
          <w:color w:val="auto"/>
          <w:lang w:eastAsia="en-US"/>
        </w:rPr>
      </w:pPr>
    </w:p>
    <w:p w:rsidR="005C3541" w:rsidP="005428B3">
      <w:pPr>
        <w:spacing w:before="0" w:after="120"/>
        <w:rPr>
          <w:rFonts w:ascii="Arial" w:hAnsi="Arial" w:cs="Arial"/>
          <w:b/>
          <w:bCs/>
          <w:color w:val="auto"/>
          <w:lang w:eastAsia="en-US"/>
        </w:rPr>
      </w:pPr>
      <w:r w:rsidRPr="006E7571">
        <w:rPr>
          <w:rFonts w:ascii="Arial" w:hAnsi="Arial" w:cs="Arial"/>
          <w:b/>
          <w:bCs/>
          <w:color w:val="auto"/>
          <w:lang w:eastAsia="en-US"/>
        </w:rPr>
        <w:t>The Department for Education should</w:t>
      </w:r>
      <w:r>
        <w:rPr>
          <w:rFonts w:ascii="Arial" w:hAnsi="Arial" w:cs="Arial"/>
          <w:b/>
          <w:bCs/>
          <w:color w:val="auto"/>
          <w:lang w:eastAsia="en-US"/>
        </w:rPr>
        <w:t>:</w:t>
      </w:r>
    </w:p>
    <w:p w:rsidR="005C3541" w:rsidRPr="004B7C32" w:rsidP="00F52C90">
      <w:pPr>
        <w:pStyle w:val="Bullet1"/>
        <w:rPr>
          <w:lang w:eastAsia="en-US"/>
        </w:rPr>
      </w:pPr>
      <w:r w:rsidRPr="004B7C32">
        <w:rPr>
          <w:lang w:eastAsia="en-US"/>
        </w:rPr>
        <w:t>Work with the Department for Health and Social Care to amend the Care Act 2014 to introduce a statutory requirement for transition planning to start at age 14, with professionals working collaboratively with other services including across health, education, and housing.</w:t>
      </w:r>
    </w:p>
    <w:p w:rsidR="005C3541" w:rsidRPr="005E01F7" w:rsidP="005E01F7">
      <w:pPr>
        <w:pStyle w:val="Bullet1"/>
        <w:rPr>
          <w:lang w:eastAsia="en-US"/>
        </w:rPr>
      </w:pPr>
      <w:r>
        <w:rPr>
          <w:lang w:eastAsia="en-US"/>
        </w:rPr>
        <w:t>D</w:t>
      </w:r>
      <w:r w:rsidRPr="00EA6459">
        <w:rPr>
          <w:lang w:eastAsia="en-US"/>
        </w:rPr>
        <w:t>evelop a national transitions framework to ensure the process is better monitored and works well for the child being supported. This should include details on what support a young person is legally entitled to, including support outside of education such as on welfare, continuing healthcare, and social care. This is particularly crucial in the post-16 space. </w:t>
      </w:r>
    </w:p>
    <w:p w:rsidR="005C3541" w:rsidRPr="0000326D" w:rsidP="0000326D">
      <w:pPr>
        <w:pStyle w:val="NumBullet1"/>
        <w:numPr>
          <w:ilvl w:val="0"/>
          <w:numId w:val="0"/>
        </w:numPr>
        <w:spacing w:before="240" w:after="120"/>
        <w:rPr>
          <w:b/>
          <w:bCs/>
        </w:rPr>
      </w:pPr>
      <w:r w:rsidRPr="0000326D">
        <w:rPr>
          <w:rFonts w:asciiTheme="majorHAnsi" w:eastAsiaTheme="minorHAnsi" w:hAnsiTheme="majorHAnsi" w:cs="Arial"/>
          <w:b/>
          <w:color w:val="653279" w:themeColor="accent1"/>
          <w:sz w:val="36"/>
          <w:lang w:eastAsia="en-US"/>
        </w:rPr>
        <w:t>Young people who are NEET</w:t>
      </w:r>
    </w:p>
    <w:p w:rsidR="005C3541" w:rsidRPr="002F2240" w:rsidP="001F394C">
      <w:pPr>
        <w:pStyle w:val="Heading2"/>
        <w:rPr>
          <w:bCs/>
          <w:lang w:eastAsia="zh-CN"/>
        </w:rPr>
      </w:pPr>
      <w:r w:rsidRPr="002F2240">
        <w:t>What factors lead to a young person not being in education, employment or training (NEET)? Are there some young people who are more likely to be NEET than others?</w:t>
      </w:r>
    </w:p>
    <w:p w:rsidR="005C3541" w:rsidP="00290BDF">
      <w:pPr>
        <w:pStyle w:val="Heading3"/>
        <w:numPr>
          <w:ilvl w:val="2"/>
          <w:numId w:val="13"/>
        </w:numPr>
      </w:pPr>
      <w:r>
        <w:t>Background</w:t>
      </w:r>
    </w:p>
    <w:p w:rsidR="005C3541" w:rsidP="00F513E5">
      <w:r>
        <w:t>Disabled people with complex needs of all ages are disproportionately lik</w:t>
      </w:r>
      <w:r>
        <w:t>ely to be out of work</w:t>
      </w:r>
      <w:r>
        <w:t>.</w:t>
      </w:r>
      <w:r>
        <w:t xml:space="preserve"> </w:t>
      </w:r>
      <w:r>
        <w:t>Sense analysis of the Family Resources Survey</w:t>
      </w:r>
      <w:r w:rsidRPr="00F513E5">
        <w:t xml:space="preserve"> in 2022 f</w:t>
      </w:r>
      <w:r>
        <w:t>ound</w:t>
      </w:r>
      <w:r>
        <w:t xml:space="preserve"> </w:t>
      </w:r>
      <w:r w:rsidRPr="00F513E5">
        <w:t xml:space="preserve">that </w:t>
      </w:r>
      <w:r>
        <w:t xml:space="preserve">82% of disabled people with complex needs were out of </w:t>
      </w:r>
      <w:r>
        <w:t xml:space="preserve">work, compared to 23% of non-disabled people. </w:t>
      </w:r>
      <w:r>
        <w:rPr>
          <w:rStyle w:val="FootnoteReference"/>
          <w:lang w:eastAsia="en-US"/>
        </w:rPr>
        <w:footnoteReference w:id="2"/>
      </w:r>
    </w:p>
    <w:p w:rsidR="005C3541" w:rsidRPr="00F513E5" w:rsidP="00F513E5">
      <w:r>
        <w:t>While we do not know the employment rate among young disabled people with complex needs, official figures show that</w:t>
      </w:r>
      <w:r w:rsidRPr="004B0E26">
        <w:t> disabled young people were more than three times as likely to be </w:t>
      </w:r>
      <w:r>
        <w:t>not in education, employment or training</w:t>
      </w:r>
      <w:r>
        <w:t xml:space="preserve"> (NEET)</w:t>
      </w:r>
      <w:r>
        <w:t xml:space="preserve"> as</w:t>
      </w:r>
      <w:r w:rsidRPr="004B0E26">
        <w:t xml:space="preserve"> non-disabled young people</w:t>
      </w:r>
      <w:r>
        <w:t xml:space="preserve">. </w:t>
      </w:r>
      <w:r>
        <w:rPr>
          <w:rStyle w:val="FootnoteReference"/>
        </w:rPr>
        <w:footnoteReference w:id="3"/>
      </w:r>
      <w:r>
        <w:t xml:space="preserve"> </w:t>
      </w:r>
      <w:r>
        <w:t xml:space="preserve">This </w:t>
      </w:r>
      <w:r>
        <w:t>illustrates the need to make sure that</w:t>
      </w:r>
      <w:r>
        <w:t xml:space="preserve"> the Government’s </w:t>
      </w:r>
      <w:r>
        <w:t xml:space="preserve">strategy for reducing the number of people who are NEET </w:t>
      </w:r>
      <w:r>
        <w:t>places</w:t>
      </w:r>
      <w:r>
        <w:t xml:space="preserve"> the barriers faced by disabled people at its heart.</w:t>
      </w:r>
    </w:p>
    <w:p w:rsidR="005C3541" w:rsidRPr="006924E8" w:rsidP="001A339C">
      <w:pPr>
        <w:pStyle w:val="Heading3"/>
      </w:pPr>
      <w:r>
        <w:t>Not every young disabled person with complex needs can work</w:t>
      </w:r>
    </w:p>
    <w:p w:rsidR="005C3541" w:rsidP="00B82FD8">
      <w:pPr>
        <w:pStyle w:val="NumBullet1"/>
        <w:numPr>
          <w:ilvl w:val="0"/>
          <w:numId w:val="0"/>
        </w:numPr>
        <w:spacing w:before="240" w:after="120"/>
        <w:rPr>
          <w:rFonts w:ascii="Arial" w:hAnsi="Arial" w:cs="Arial"/>
          <w:color w:val="auto"/>
        </w:rPr>
      </w:pPr>
      <w:r>
        <w:t>Whil</w:t>
      </w:r>
      <w:r>
        <w:t>e investing in</w:t>
      </w:r>
      <w:r>
        <w:t xml:space="preserve"> effective, specialist support could help more young disabled people with complex needs to enter employment, it is worth emphasising </w:t>
      </w:r>
      <w:r>
        <w:t xml:space="preserve">that </w:t>
      </w:r>
      <w:r>
        <w:t xml:space="preserve">in some cases </w:t>
      </w:r>
      <w:r>
        <w:rPr>
          <w:rFonts w:ascii="Arial" w:hAnsi="Arial" w:cs="Arial"/>
          <w:color w:val="auto"/>
        </w:rPr>
        <w:t xml:space="preserve">the barriers to work are so high </w:t>
      </w:r>
      <w:r w:rsidRPr="00715659">
        <w:rPr>
          <w:rFonts w:ascii="Arial" w:hAnsi="Arial" w:cs="Arial"/>
          <w:color w:val="auto"/>
        </w:rPr>
        <w:t xml:space="preserve">that employment </w:t>
      </w:r>
      <w:r>
        <w:rPr>
          <w:rFonts w:ascii="Arial" w:hAnsi="Arial" w:cs="Arial"/>
          <w:color w:val="auto"/>
        </w:rPr>
        <w:t>would not be a realistic outcome.</w:t>
      </w:r>
      <w:r>
        <w:rPr>
          <w:rFonts w:ascii="Arial" w:hAnsi="Arial" w:cs="Arial"/>
          <w:color w:val="auto"/>
        </w:rPr>
        <w:t xml:space="preserve"> </w:t>
      </w:r>
    </w:p>
    <w:p w:rsidR="005C3541" w:rsidRPr="00B82FD8" w:rsidP="006E1358">
      <w:pPr>
        <w:pStyle w:val="NumBullet1"/>
        <w:numPr>
          <w:ilvl w:val="0"/>
          <w:numId w:val="0"/>
        </w:numPr>
        <w:spacing w:before="240" w:after="120"/>
        <w:rPr>
          <w:rFonts w:cs="Arial"/>
          <w:color w:val="auto"/>
          <w:vertAlign w:val="superscript"/>
        </w:rPr>
      </w:pPr>
      <w:r w:rsidRPr="00715659">
        <w:rPr>
          <w:color w:val="auto"/>
        </w:rPr>
        <w:t xml:space="preserve">Sense polling found that </w:t>
      </w:r>
      <w:r>
        <w:rPr>
          <w:color w:val="auto"/>
        </w:rPr>
        <w:t>40</w:t>
      </w:r>
      <w:r w:rsidRPr="00715659">
        <w:rPr>
          <w:color w:val="auto"/>
        </w:rPr>
        <w:t>% of disabled people with complex needs on out-of-work benefits did not think they could enter employment even with support from employers and the Jobcentre.</w:t>
      </w:r>
      <w:r w:rsidRPr="00715659">
        <w:rPr>
          <w:rStyle w:val="FootnoteReference"/>
          <w:rFonts w:cs="Arial"/>
          <w:color w:val="auto"/>
        </w:rPr>
        <w:t xml:space="preserve"> </w:t>
      </w:r>
      <w:r>
        <w:rPr>
          <w:rStyle w:val="FootnoteReference"/>
          <w:rFonts w:cs="Arial"/>
        </w:rPr>
        <w:footnoteReference w:id="4"/>
      </w:r>
    </w:p>
    <w:p w:rsidR="005C3541" w:rsidP="006E1358">
      <w:pPr>
        <w:pStyle w:val="NumBullet1"/>
        <w:numPr>
          <w:ilvl w:val="0"/>
          <w:numId w:val="0"/>
        </w:numPr>
        <w:spacing w:before="240" w:after="120"/>
        <w:rPr>
          <w:rFonts w:cs="Arial"/>
          <w:color w:val="auto"/>
        </w:rPr>
      </w:pPr>
      <w:r>
        <w:rPr>
          <w:rFonts w:cs="Arial"/>
          <w:color w:val="auto"/>
        </w:rPr>
        <w:t>Although it is understandable that the debate around youth unemployment focuses</w:t>
      </w:r>
      <w:r>
        <w:rPr>
          <w:rFonts w:cs="Arial"/>
          <w:color w:val="auto"/>
        </w:rPr>
        <w:t xml:space="preserve"> on</w:t>
      </w:r>
      <w:r>
        <w:rPr>
          <w:rFonts w:cs="Arial"/>
          <w:color w:val="auto"/>
        </w:rPr>
        <w:t xml:space="preserve"> </w:t>
      </w:r>
      <w:r>
        <w:rPr>
          <w:rFonts w:cs="Arial"/>
          <w:color w:val="auto"/>
        </w:rPr>
        <w:t xml:space="preserve">those who could enter work, </w:t>
      </w:r>
      <w:r>
        <w:rPr>
          <w:rFonts w:cs="Arial"/>
          <w:color w:val="auto"/>
        </w:rPr>
        <w:t xml:space="preserve">there is a risk that policymakers </w:t>
      </w:r>
      <w:r>
        <w:rPr>
          <w:rFonts w:cs="Arial"/>
          <w:color w:val="auto"/>
        </w:rPr>
        <w:t xml:space="preserve">underplay the barriers faced by some young disabled </w:t>
      </w:r>
      <w:r>
        <w:rPr>
          <w:rFonts w:cs="Arial"/>
          <w:color w:val="auto"/>
        </w:rPr>
        <w:t>people with complex need</w:t>
      </w:r>
      <w:r>
        <w:rPr>
          <w:rFonts w:cs="Arial"/>
          <w:color w:val="auto"/>
        </w:rPr>
        <w:t>s</w:t>
      </w:r>
      <w:r>
        <w:rPr>
          <w:rFonts w:cs="Arial"/>
          <w:color w:val="auto"/>
        </w:rPr>
        <w:t>.</w:t>
      </w:r>
    </w:p>
    <w:p w:rsidR="005C3541" w:rsidP="00200D01">
      <w:pPr>
        <w:pStyle w:val="NumBullet1"/>
        <w:numPr>
          <w:ilvl w:val="0"/>
          <w:numId w:val="0"/>
        </w:numPr>
        <w:spacing w:before="240" w:after="120"/>
        <w:rPr>
          <w:rFonts w:cs="Arial"/>
          <w:color w:val="auto"/>
        </w:rPr>
      </w:pPr>
      <w:r>
        <w:rPr>
          <w:rFonts w:cs="Arial"/>
          <w:color w:val="auto"/>
        </w:rPr>
        <w:t xml:space="preserve">Sense research shows that the debate about welfare reform </w:t>
      </w:r>
      <w:r>
        <w:rPr>
          <w:rFonts w:cs="Arial"/>
          <w:color w:val="auto"/>
        </w:rPr>
        <w:t>in recent years</w:t>
      </w:r>
      <w:r>
        <w:rPr>
          <w:rFonts w:cs="Arial"/>
          <w:color w:val="auto"/>
        </w:rPr>
        <w:t xml:space="preserve"> has</w:t>
      </w:r>
      <w:r>
        <w:rPr>
          <w:rFonts w:cs="Arial"/>
          <w:color w:val="auto"/>
        </w:rPr>
        <w:t xml:space="preserve"> left</w:t>
      </w:r>
      <w:r>
        <w:rPr>
          <w:rFonts w:cs="Arial"/>
          <w:color w:val="auto"/>
        </w:rPr>
        <w:t xml:space="preserve"> disabled people who cannot work feeling stigmatised. In 2024, Sense polling found that the public debate had left 59% of disabled people with complex needs in the Limited Capability for Work and Work-Related Activity group feeling pressured into looking for work at the expense of their health.</w:t>
      </w:r>
      <w:r>
        <w:rPr>
          <w:rStyle w:val="FootnoteReference"/>
          <w:rFonts w:cs="Arial"/>
        </w:rPr>
        <w:footnoteReference w:id="5"/>
      </w:r>
      <w:r>
        <w:rPr>
          <w:rFonts w:cs="Arial"/>
          <w:color w:val="auto"/>
        </w:rPr>
        <w:t xml:space="preserve"> While our polling carried out in 2025 did not repeat this question, it did find that 37% of disabled people with complex needs on benefits felt less valued by society as a result of the debate about welfare reform.</w:t>
      </w:r>
      <w:r>
        <w:rPr>
          <w:rStyle w:val="FootnoteReference"/>
          <w:rFonts w:cs="Arial"/>
        </w:rPr>
        <w:footnoteReference w:id="6"/>
      </w:r>
    </w:p>
    <w:p w:rsidR="005C3541" w:rsidP="00200D01">
      <w:pPr>
        <w:pStyle w:val="NumBullet1"/>
        <w:numPr>
          <w:ilvl w:val="0"/>
          <w:numId w:val="0"/>
        </w:numPr>
        <w:spacing w:before="240" w:after="120"/>
        <w:rPr>
          <w:rFonts w:cs="Arial"/>
          <w:color w:val="auto"/>
        </w:rPr>
      </w:pPr>
      <w:r>
        <w:rPr>
          <w:rFonts w:cs="Arial"/>
          <w:color w:val="auto"/>
        </w:rPr>
        <w:t>If policymakers do not recognise that not everyone will ever be able to work, then the measures they propose could financially penalise disabled people who could not reasonably be expected to work. It could also put pressure on them to look for work at the expense of their health.</w:t>
      </w:r>
    </w:p>
    <w:p w:rsidR="005C3541" w:rsidP="00CE28E6">
      <w:pPr>
        <w:rPr>
          <w:rFonts w:cs="Arial"/>
          <w:color w:val="auto"/>
        </w:rPr>
      </w:pPr>
      <w:r>
        <w:rPr>
          <w:rFonts w:cs="Arial"/>
          <w:color w:val="auto"/>
        </w:rPr>
        <w:t>The rhetoric around welfare and reducing unemployment can</w:t>
      </w:r>
      <w:r>
        <w:rPr>
          <w:rFonts w:cs="Arial"/>
          <w:color w:val="auto"/>
        </w:rPr>
        <w:t xml:space="preserve"> also</w:t>
      </w:r>
      <w:r>
        <w:rPr>
          <w:rFonts w:cs="Arial"/>
          <w:color w:val="auto"/>
        </w:rPr>
        <w:t xml:space="preserve"> be counterproductive, further eroding trust in the very services, such as jobcentres, that could help those who can work into employment. </w:t>
      </w:r>
      <w:r>
        <w:rPr>
          <w:rStyle w:val="FootnoteReference"/>
          <w:rFonts w:cs="Arial"/>
        </w:rPr>
        <w:footnoteReference w:id="7"/>
      </w:r>
    </w:p>
    <w:p w:rsidR="005C3541" w:rsidP="00CE28E6">
      <w:pPr>
        <w:rPr>
          <w:rFonts w:cs="Arial"/>
          <w:color w:val="auto"/>
        </w:rPr>
      </w:pPr>
      <w:r>
        <w:rPr>
          <w:rFonts w:cs="Arial"/>
          <w:color w:val="auto"/>
        </w:rPr>
        <w:t>Research carried out by</w:t>
      </w:r>
      <w:r>
        <w:rPr>
          <w:rFonts w:cs="Arial"/>
          <w:color w:val="auto"/>
        </w:rPr>
        <w:t xml:space="preserve"> </w:t>
      </w:r>
      <w:r>
        <w:rPr>
          <w:rFonts w:cs="Arial"/>
          <w:color w:val="auto"/>
        </w:rPr>
        <w:t xml:space="preserve">Turn2us found that </w:t>
      </w:r>
      <w:r w:rsidRPr="00D54877">
        <w:rPr>
          <w:rFonts w:cs="Arial"/>
          <w:color w:val="auto"/>
        </w:rPr>
        <w:t>64% of claimants surveyed felt the system was trying to catch them out.</w:t>
      </w:r>
      <w:r>
        <w:rPr>
          <w:rFonts w:cs="Arial"/>
          <w:color w:val="auto"/>
        </w:rPr>
        <w:t xml:space="preserve"> They conclude that, ‘b</w:t>
      </w:r>
      <w:r w:rsidRPr="004D272A">
        <w:rPr>
          <w:rFonts w:cs="Arial"/>
          <w:color w:val="auto"/>
        </w:rPr>
        <w:t xml:space="preserve">y justifying cuts to eligibility and adequacy by speaking of ‘spiralling inactivity’ and ‘fairness to taxpayers’, the </w:t>
      </w:r>
      <w:r>
        <w:rPr>
          <w:rFonts w:cs="Arial"/>
          <w:color w:val="auto"/>
        </w:rPr>
        <w:t>G</w:t>
      </w:r>
      <w:r w:rsidRPr="004D272A">
        <w:rPr>
          <w:rFonts w:cs="Arial"/>
          <w:color w:val="auto"/>
        </w:rPr>
        <w:t>overnment risks further entrenching the stigma, distrust and fear that has broken our system</w:t>
      </w:r>
      <w:r>
        <w:rPr>
          <w:rFonts w:cs="Arial"/>
          <w:color w:val="auto"/>
        </w:rPr>
        <w:t>’</w:t>
      </w:r>
      <w:r w:rsidRPr="004D272A">
        <w:rPr>
          <w:rFonts w:cs="Arial"/>
          <w:color w:val="auto"/>
        </w:rPr>
        <w:t>. </w:t>
      </w:r>
      <w:r>
        <w:rPr>
          <w:rStyle w:val="FootnoteReference"/>
          <w:rFonts w:cs="Arial"/>
        </w:rPr>
        <w:footnoteReference w:id="8"/>
      </w:r>
    </w:p>
    <w:p w:rsidR="005C3541" w:rsidP="00D63BEE">
      <w:pPr>
        <w:pStyle w:val="Heading4"/>
        <w:spacing w:after="240"/>
      </w:pPr>
      <w:r>
        <w:t>Understanding the reasons why disabled people with complex needs claim the Health Element</w:t>
      </w:r>
    </w:p>
    <w:p w:rsidR="005C3541" w:rsidP="00D63BEE">
      <w:r>
        <w:t>Th</w:t>
      </w:r>
      <w:r>
        <w:t xml:space="preserve">e </w:t>
      </w:r>
      <w:r>
        <w:t xml:space="preserve">tendency to </w:t>
      </w:r>
      <w:r>
        <w:t>underestimate the barriers faced by young disabled people with complex needs has</w:t>
      </w:r>
      <w:r>
        <w:t xml:space="preserve"> formed part of the Government’s approach to the Health Element of Universal Credit. </w:t>
      </w:r>
    </w:p>
    <w:p w:rsidR="005C3541" w:rsidRPr="005B4171" w:rsidP="00D63BEE">
      <w:r w:rsidRPr="00D63BEE">
        <w:t>The press r</w:t>
      </w:r>
      <w:r>
        <w:t xml:space="preserve">elease announcing Alan Milburn’s review of young people and work stated that around </w:t>
      </w:r>
      <w:r w:rsidRPr="00FE6848">
        <w:t xml:space="preserve">80% of people </w:t>
      </w:r>
      <w:r>
        <w:t>receiving the Health Element of Universal Credit</w:t>
      </w:r>
      <w:r w:rsidRPr="00FE6848">
        <w:t xml:space="preserve"> under the age of </w:t>
      </w:r>
      <w:r w:rsidRPr="00FE6848">
        <w:t xml:space="preserve">22 claim benefits because of </w:t>
      </w:r>
      <w:r>
        <w:t>‘</w:t>
      </w:r>
      <w:r w:rsidRPr="00FE6848">
        <w:t>mental health</w:t>
      </w:r>
      <w:r>
        <w:t xml:space="preserve"> conditions</w:t>
      </w:r>
      <w:r w:rsidRPr="00FE6848">
        <w:t xml:space="preserve"> like anxiety or behavioural conditions like ADHD</w:t>
      </w:r>
      <w:r>
        <w:t>’</w:t>
      </w:r>
      <w:r w:rsidRPr="00FE6848">
        <w:t>.</w:t>
      </w:r>
      <w:r>
        <w:rPr>
          <w:rStyle w:val="FootnoteReference"/>
        </w:rPr>
        <w:footnoteReference w:id="9"/>
      </w:r>
      <w:r>
        <w:t xml:space="preserve"> </w:t>
      </w:r>
      <w:r w:rsidRPr="005B4171">
        <w:t>This statistic has been cited widely in the media.</w:t>
      </w:r>
    </w:p>
    <w:p w:rsidR="005C3541" w:rsidRPr="006B6090" w:rsidP="005B4171">
      <w:r w:rsidRPr="005B4171">
        <w:t xml:space="preserve">Yet the Department’s own </w:t>
      </w:r>
      <w:r>
        <w:t>statistical bulletin</w:t>
      </w:r>
      <w:r w:rsidRPr="005B4171">
        <w:t xml:space="preserve"> </w:t>
      </w:r>
      <w:r w:rsidRPr="005B4171">
        <w:t>show</w:t>
      </w:r>
      <w:r>
        <w:t>s</w:t>
      </w:r>
      <w:r w:rsidRPr="005B4171">
        <w:t xml:space="preserve"> that this figure in </w:t>
      </w:r>
      <w:r>
        <w:t>fact refers to</w:t>
      </w:r>
      <w:r>
        <w:t xml:space="preserve"> </w:t>
      </w:r>
      <w:r w:rsidRPr="005B4171">
        <w:t>‘mental and behavioural disorders’</w:t>
      </w:r>
      <w:r>
        <w:t xml:space="preserve"> as defined by </w:t>
      </w:r>
      <w:r>
        <w:t>the World Health Organisation</w:t>
      </w:r>
      <w:r>
        <w:t xml:space="preserve"> (WHO)</w:t>
      </w:r>
      <w:r>
        <w:t>. Th</w:t>
      </w:r>
      <w:r>
        <w:t>is</w:t>
      </w:r>
      <w:r>
        <w:t xml:space="preserve"> definition</w:t>
      </w:r>
      <w:r>
        <w:t xml:space="preserve"> </w:t>
      </w:r>
      <w:r>
        <w:t>includ</w:t>
      </w:r>
      <w:r>
        <w:t>es</w:t>
      </w:r>
      <w:r>
        <w:t xml:space="preserve"> </w:t>
      </w:r>
      <w:r>
        <w:rPr>
          <w:rFonts w:ascii="Arial" w:hAnsi="Arial" w:cs="Arial"/>
        </w:rPr>
        <w:t xml:space="preserve">autistic people and people with learning disabilities, alongside people with a </w:t>
      </w:r>
      <w:r>
        <w:rPr>
          <w:rFonts w:ascii="Arial" w:hAnsi="Arial" w:cs="Arial"/>
        </w:rPr>
        <w:t xml:space="preserve">broad </w:t>
      </w:r>
      <w:r>
        <w:rPr>
          <w:rFonts w:ascii="Arial" w:hAnsi="Arial" w:cs="Arial"/>
        </w:rPr>
        <w:t xml:space="preserve">range of other conditions. </w:t>
      </w:r>
      <w:r>
        <w:rPr>
          <w:rStyle w:val="FootnoteReference"/>
          <w:rFonts w:cs="Arial"/>
        </w:rPr>
        <w:footnoteReference w:id="10"/>
      </w:r>
    </w:p>
    <w:p w:rsidR="005C3541" w:rsidRPr="00DD63AF" w:rsidP="00DD63AF">
      <w:pPr>
        <w:pStyle w:val="NumBullet1"/>
        <w:numPr>
          <w:ilvl w:val="0"/>
          <w:numId w:val="0"/>
        </w:numPr>
        <w:spacing w:before="240" w:after="120"/>
        <w:rPr>
          <w:rFonts w:cs="Arial"/>
          <w:color w:val="auto"/>
        </w:rPr>
      </w:pPr>
      <w:r>
        <w:t xml:space="preserve">Many of the disabled people with complex needs </w:t>
      </w:r>
      <w:r>
        <w:t>receiving</w:t>
      </w:r>
      <w:r>
        <w:t xml:space="preserve"> full-time residential care in Sense’s services </w:t>
      </w:r>
      <w:r>
        <w:t>and</w:t>
      </w:r>
      <w:r>
        <w:t xml:space="preserve"> who</w:t>
      </w:r>
      <w:r>
        <w:t xml:space="preserve"> are eligible for</w:t>
      </w:r>
      <w:r>
        <w:t xml:space="preserve"> the Health Element would therefore be categorised as having a ‘mental and behavioural disorder’.</w:t>
      </w:r>
      <w:r w:rsidRPr="2DE537EE">
        <w:rPr>
          <w:lang w:eastAsia="en-US"/>
        </w:rPr>
        <w:t xml:space="preserve"> </w:t>
      </w:r>
      <w:r w:rsidRPr="00393283">
        <w:rPr>
          <w:lang w:eastAsia="en-US"/>
        </w:rPr>
        <w:t xml:space="preserve">It is therefore likely that a significant number of young people receiving the Health Element may not be able to work, contrary to what </w:t>
      </w:r>
      <w:r>
        <w:rPr>
          <w:lang w:eastAsia="en-US"/>
        </w:rPr>
        <w:t>is often</w:t>
      </w:r>
      <w:r>
        <w:rPr>
          <w:lang w:eastAsia="en-US"/>
        </w:rPr>
        <w:t xml:space="preserve"> implied </w:t>
      </w:r>
      <w:r>
        <w:rPr>
          <w:lang w:eastAsia="en-US"/>
        </w:rPr>
        <w:t>in</w:t>
      </w:r>
      <w:r>
        <w:rPr>
          <w:lang w:eastAsia="en-US"/>
        </w:rPr>
        <w:t xml:space="preserve"> the</w:t>
      </w:r>
      <w:r>
        <w:rPr>
          <w:lang w:eastAsia="en-US"/>
        </w:rPr>
        <w:t xml:space="preserve"> public</w:t>
      </w:r>
      <w:r>
        <w:rPr>
          <w:lang w:eastAsia="en-US"/>
        </w:rPr>
        <w:t xml:space="preserve"> debate.</w:t>
      </w:r>
    </w:p>
    <w:p w:rsidR="005C3541" w:rsidP="006E1358">
      <w:pPr>
        <w:pStyle w:val="NumBullet1"/>
        <w:numPr>
          <w:ilvl w:val="0"/>
          <w:numId w:val="0"/>
        </w:numPr>
        <w:spacing w:before="240" w:after="120"/>
        <w:rPr>
          <w:rFonts w:cs="Arial"/>
          <w:color w:val="auto"/>
        </w:rPr>
      </w:pPr>
      <w:r>
        <w:rPr>
          <w:rFonts w:cs="Arial"/>
          <w:color w:val="auto"/>
        </w:rPr>
        <w:t xml:space="preserve">The proposal to remove the Health Element of Universal Credit from people under the age of 22, set out in the ‘Pathways to Work’ Green Paper, </w:t>
      </w:r>
      <w:r>
        <w:rPr>
          <w:rFonts w:cs="Arial"/>
          <w:color w:val="auto"/>
        </w:rPr>
        <w:t xml:space="preserve">is an example of </w:t>
      </w:r>
      <w:r>
        <w:rPr>
          <w:rFonts w:cs="Arial"/>
          <w:color w:val="auto"/>
        </w:rPr>
        <w:t xml:space="preserve">an approach that fails to recognise the fact that not every disabled person with complex needs can work. </w:t>
      </w:r>
      <w:r>
        <w:rPr>
          <w:rStyle w:val="FootnoteReference"/>
          <w:rFonts w:cs="Arial"/>
        </w:rPr>
        <w:footnoteReference w:id="11"/>
      </w:r>
    </w:p>
    <w:p w:rsidR="005C3541" w:rsidP="006E1358">
      <w:pPr>
        <w:pStyle w:val="NumBullet1"/>
        <w:numPr>
          <w:ilvl w:val="0"/>
          <w:numId w:val="0"/>
        </w:numPr>
        <w:spacing w:before="240" w:after="120"/>
        <w:rPr>
          <w:rFonts w:cs="Arial"/>
          <w:color w:val="auto"/>
        </w:rPr>
      </w:pPr>
      <w:r>
        <w:rPr>
          <w:rFonts w:cs="Arial"/>
          <w:color w:val="auto"/>
        </w:rPr>
        <w:t xml:space="preserve">The </w:t>
      </w:r>
      <w:r>
        <w:rPr>
          <w:rFonts w:cs="Arial"/>
          <w:color w:val="auto"/>
        </w:rPr>
        <w:t>Government has justified the proposal by saying that it would remove the ‘incentive’ to claim disability benefits rather than work.</w:t>
      </w:r>
      <w:r>
        <w:rPr>
          <w:rFonts w:cs="Arial"/>
          <w:color w:val="auto"/>
        </w:rPr>
        <w:t xml:space="preserve"> </w:t>
      </w:r>
      <w:r>
        <w:rPr>
          <w:rStyle w:val="FootnoteReference"/>
          <w:rFonts w:cs="Arial"/>
        </w:rPr>
        <w:footnoteReference w:id="12"/>
      </w:r>
      <w:r>
        <w:rPr>
          <w:rFonts w:cs="Arial"/>
          <w:color w:val="auto"/>
        </w:rPr>
        <w:t xml:space="preserve"> But </w:t>
      </w:r>
      <w:r>
        <w:rPr>
          <w:rFonts w:cs="Arial"/>
          <w:color w:val="auto"/>
        </w:rPr>
        <w:t>cutting a disabled p</w:t>
      </w:r>
      <w:r>
        <w:rPr>
          <w:rFonts w:cs="Arial"/>
          <w:color w:val="auto"/>
        </w:rPr>
        <w:t>erson</w:t>
      </w:r>
      <w:r>
        <w:rPr>
          <w:rFonts w:cs="Arial"/>
          <w:color w:val="auto"/>
        </w:rPr>
        <w:t xml:space="preserve"> with complex needs’ income will do nothing to remove the high barriers to work they face</w:t>
      </w:r>
      <w:r>
        <w:rPr>
          <w:rFonts w:cs="Arial"/>
          <w:color w:val="auto"/>
        </w:rPr>
        <w:t xml:space="preserve">. If those barriers are so high </w:t>
      </w:r>
      <w:r>
        <w:rPr>
          <w:rFonts w:cs="Arial"/>
          <w:color w:val="auto"/>
        </w:rPr>
        <w:t>that work is not a realistic prospect, then removing th</w:t>
      </w:r>
      <w:r>
        <w:rPr>
          <w:rFonts w:cs="Arial"/>
          <w:color w:val="auto"/>
        </w:rPr>
        <w:t xml:space="preserve">e opportunity to claim the Health Element will simply leave them less able to get by. </w:t>
      </w:r>
    </w:p>
    <w:p w:rsidR="005C3541" w:rsidP="00A76498">
      <w:pPr>
        <w:pStyle w:val="NumBullet1"/>
        <w:numPr>
          <w:ilvl w:val="0"/>
          <w:numId w:val="0"/>
        </w:numPr>
        <w:spacing w:before="240" w:after="120"/>
      </w:pPr>
      <w:r w:rsidRPr="330FE3BA">
        <w:rPr>
          <w:rFonts w:cs="Arial"/>
          <w:color w:val="auto"/>
        </w:rPr>
        <w:t>Families with disabled children have already contacted Sense to express concern about the impact of the proposal.</w:t>
      </w:r>
      <w:r w:rsidRPr="330FE3BA">
        <w:rPr>
          <w:rFonts w:cs="Arial"/>
          <w:color w:val="auto"/>
        </w:rPr>
        <w:t xml:space="preserve"> </w:t>
      </w:r>
      <w:r>
        <w:rPr>
          <w:rFonts w:cs="Arial"/>
          <w:color w:val="auto"/>
        </w:rPr>
        <w:t>As things stand, it is unclear whether the proposal would exempt disabled people who could not work at all. As a result, the removal of £50 a week in support would only make it harder for young disabled people with complex needs to get by.</w:t>
      </w:r>
      <w:r w:rsidRPr="005F7315">
        <w:t xml:space="preserve"> </w:t>
      </w:r>
    </w:p>
    <w:p w:rsidR="005C3541" w:rsidP="00A76498">
      <w:pPr>
        <w:pStyle w:val="NumBullet1"/>
        <w:numPr>
          <w:ilvl w:val="0"/>
          <w:numId w:val="0"/>
        </w:numPr>
        <w:spacing w:before="240" w:after="120"/>
      </w:pPr>
    </w:p>
    <w:p w:rsidR="005C3541" w:rsidRPr="003364AB" w:rsidP="003364AB">
      <w:pPr>
        <w:pStyle w:val="Bullet1"/>
        <w:numPr>
          <w:ilvl w:val="0"/>
          <w:numId w:val="0"/>
        </w:numPr>
        <w:spacing w:before="0" w:after="120"/>
        <w:rPr>
          <w:b/>
          <w:bCs/>
        </w:rPr>
      </w:pPr>
      <w:r w:rsidRPr="00D82234">
        <w:rPr>
          <w:b/>
          <w:bCs/>
        </w:rPr>
        <w:t xml:space="preserve">The Department for Work and Pensions should retain the Health Element of Universal Credit for people under the age of 22.  </w:t>
      </w:r>
    </w:p>
    <w:p w:rsidR="005C3541" w:rsidRPr="006E1358" w:rsidP="00C87058">
      <w:pPr>
        <w:pStyle w:val="Heading3"/>
      </w:pPr>
      <w:r>
        <w:t>Barriers faced by young disabled people with complex needs who are NEET</w:t>
      </w:r>
    </w:p>
    <w:p w:rsidR="005C3541" w:rsidP="00C87058">
      <w:pPr>
        <w:pStyle w:val="Heading4"/>
      </w:pPr>
      <w:r>
        <w:t>Barriers to education and training</w:t>
      </w:r>
    </w:p>
    <w:p w:rsidR="005C3541" w:rsidP="00290BDF">
      <w:pPr>
        <w:spacing w:after="120"/>
      </w:pPr>
      <w:r w:rsidRPr="0058619F">
        <w:t>The barriers to employment for disabled people start in our education system, with disabled people being nearly three times as likely as non-disabled people to lack qualifications. Research by the University of Sheffield on behalf of the Nuffield Foundation found that 12% of the Disability Employment Gap is the result of lower educational achievement among disabled people.</w:t>
      </w:r>
      <w:r>
        <w:t xml:space="preserve"> The barriers to education and training continue after young disabled people with complex needs leave education, with </w:t>
      </w:r>
      <w:r w:rsidRPr="00694892">
        <w:rPr>
          <w:color w:val="auto"/>
        </w:rPr>
        <w:t xml:space="preserve">55% of disabled people with complex needs on benefits between the ages of 18 and 34 would like to take part in training but cannot find courses that meet their needs. </w:t>
      </w:r>
      <w:r>
        <w:rPr>
          <w:rStyle w:val="FootnoteReference"/>
        </w:rPr>
        <w:footnoteReference w:id="13"/>
      </w:r>
      <w:r w:rsidRPr="006924E8">
        <w:rPr>
          <w:color w:val="E57200" w:themeColor="accent2"/>
        </w:rPr>
        <w:t xml:space="preserve">  </w:t>
      </w:r>
    </w:p>
    <w:p w:rsidR="005C3541" w:rsidP="00290BDF">
      <w:pPr>
        <w:spacing w:after="120"/>
      </w:pPr>
      <w:r>
        <w:t>Reform of the Special Educational Needs and Disabilities system</w:t>
      </w:r>
      <w:r>
        <w:t xml:space="preserve"> in England</w:t>
      </w:r>
      <w:r>
        <w:t xml:space="preserve">, alongside steps to make sure training opportunities are accessible to disabled people, should therefore be a key part of efforts to tackle youth unemployment. </w:t>
      </w:r>
    </w:p>
    <w:p w:rsidR="005C3541" w:rsidRPr="008A4A9D" w:rsidP="00C87058">
      <w:pPr>
        <w:pStyle w:val="Heading4"/>
      </w:pPr>
      <w:r w:rsidRPr="008A4A9D">
        <w:t>Lack of suitable job opportunities</w:t>
      </w:r>
    </w:p>
    <w:p w:rsidR="005C3541" w:rsidP="00290BDF">
      <w:pPr>
        <w:pStyle w:val="Bullet1"/>
        <w:numPr>
          <w:ilvl w:val="0"/>
          <w:numId w:val="0"/>
        </w:numPr>
        <w:spacing w:before="240" w:after="120"/>
        <w:rPr>
          <w:color w:val="auto"/>
          <w:lang w:eastAsia="en-US"/>
        </w:rPr>
      </w:pPr>
      <w:r>
        <w:rPr>
          <w:color w:val="auto"/>
          <w:lang w:eastAsia="en-US"/>
        </w:rPr>
        <w:t>The debate around youth unemployment often does not take into account</w:t>
      </w:r>
      <w:r>
        <w:rPr>
          <w:color w:val="auto"/>
          <w:lang w:eastAsia="en-US"/>
        </w:rPr>
        <w:t xml:space="preserve"> the fact that not all jobs meet the needs of disabled people. But d</w:t>
      </w:r>
      <w:r w:rsidRPr="00EC3D4F">
        <w:rPr>
          <w:color w:val="auto"/>
          <w:lang w:eastAsia="en-US"/>
        </w:rPr>
        <w:t xml:space="preserve">isabled people’s ability to work often depends on the availability of jobs that are appropriate for them. </w:t>
      </w:r>
    </w:p>
    <w:p w:rsidR="005C3541" w:rsidP="00290BDF">
      <w:pPr>
        <w:pStyle w:val="Bullet1"/>
        <w:numPr>
          <w:ilvl w:val="0"/>
          <w:numId w:val="0"/>
        </w:numPr>
        <w:spacing w:before="240" w:after="120"/>
        <w:rPr>
          <w:color w:val="auto"/>
          <w:lang w:eastAsia="en-US"/>
        </w:rPr>
      </w:pPr>
      <w:r w:rsidRPr="00EC3D4F">
        <w:rPr>
          <w:color w:val="auto"/>
          <w:lang w:eastAsia="en-US"/>
        </w:rPr>
        <w:t>40% of disabled people with complex needs on benefits said it was hard to look for work as there were few jobs that met their needs as a disabled person – a figure that rises to 57% among those aged between 18 and 34.</w:t>
      </w:r>
      <w:r>
        <w:rPr>
          <w:rStyle w:val="FootnoteReference"/>
          <w:lang w:eastAsia="en-US"/>
        </w:rPr>
        <w:footnoteReference w:id="14"/>
      </w:r>
      <w:r w:rsidRPr="00DA01B5">
        <w:rPr>
          <w:color w:val="E57200" w:themeColor="accent2"/>
          <w:lang w:eastAsia="en-US"/>
        </w:rPr>
        <w:t xml:space="preserve"> </w:t>
      </w:r>
      <w:r>
        <w:rPr>
          <w:color w:val="auto"/>
          <w:lang w:eastAsia="en-US"/>
        </w:rPr>
        <w:t xml:space="preserve">This emphasises the role that employers have to play in offering jobs that are suitable for disabled people, for example, by offering more flexible roles and jobs which offer a significant amount of support for disabled employees. </w:t>
      </w:r>
    </w:p>
    <w:p w:rsidR="005C3541" w:rsidP="00290BDF">
      <w:pPr>
        <w:pStyle w:val="Bullet1"/>
        <w:numPr>
          <w:ilvl w:val="0"/>
          <w:numId w:val="0"/>
        </w:numPr>
        <w:spacing w:before="240" w:after="120"/>
        <w:rPr>
          <w:color w:val="auto"/>
          <w:lang w:eastAsia="en-US"/>
        </w:rPr>
      </w:pPr>
      <w:r>
        <w:rPr>
          <w:color w:val="auto"/>
          <w:lang w:eastAsia="en-US"/>
        </w:rPr>
        <w:t xml:space="preserve">It also </w:t>
      </w:r>
      <w:r w:rsidRPr="00EC3D4F">
        <w:rPr>
          <w:color w:val="auto"/>
          <w:lang w:eastAsia="en-US"/>
        </w:rPr>
        <w:t>highlights a major flaw in the Government’s decision to cut the Health Element of Universal Credit to encourage people into work; disabled people cannot take up opportunities that do not exist.</w:t>
      </w:r>
    </w:p>
    <w:p w:rsidR="005C3541" w:rsidRPr="00BB0B0C" w:rsidP="00C87058">
      <w:pPr>
        <w:pStyle w:val="Heading4"/>
      </w:pPr>
      <w:r w:rsidRPr="00BB0B0C">
        <w:t>Lack of experience</w:t>
      </w:r>
    </w:p>
    <w:p w:rsidR="005C3541" w:rsidP="00290BDF">
      <w:pPr>
        <w:spacing w:after="120"/>
        <w:rPr>
          <w:color w:val="auto"/>
          <w:lang w:eastAsia="en-US"/>
        </w:rPr>
      </w:pPr>
      <w:r w:rsidRPr="00BB0B0C">
        <w:rPr>
          <w:color w:val="auto"/>
          <w:lang w:eastAsia="en-US"/>
        </w:rPr>
        <w:t xml:space="preserve">Disabled people with complex needs often lack experience in the workplace. Sense polling </w:t>
      </w:r>
      <w:r>
        <w:rPr>
          <w:color w:val="auto"/>
          <w:lang w:eastAsia="en-US"/>
        </w:rPr>
        <w:t xml:space="preserve">found that </w:t>
      </w:r>
      <w:r>
        <w:rPr>
          <w:color w:val="auto"/>
          <w:lang w:eastAsia="en-US"/>
        </w:rPr>
        <w:t>39</w:t>
      </w:r>
      <w:r w:rsidRPr="00BB0B0C">
        <w:rPr>
          <w:color w:val="auto"/>
          <w:lang w:eastAsia="en-US"/>
        </w:rPr>
        <w:t>% of disabled jobseekers with complex needs between the ages of 18 and 34 have never had a paid job.</w:t>
      </w:r>
      <w:r w:rsidRPr="00DA01B5">
        <w:rPr>
          <w:rStyle w:val="FootnoteReference"/>
          <w:lang w:eastAsia="en-US"/>
        </w:rPr>
        <w:t xml:space="preserve"> </w:t>
      </w:r>
      <w:r>
        <w:rPr>
          <w:rStyle w:val="FootnoteReference"/>
          <w:lang w:eastAsia="en-US"/>
        </w:rPr>
        <w:footnoteReference w:id="15"/>
      </w:r>
      <w:r w:rsidRPr="00DA01B5">
        <w:rPr>
          <w:color w:val="E57200" w:themeColor="accent2"/>
          <w:lang w:eastAsia="en-US"/>
        </w:rPr>
        <w:t xml:space="preserve"> </w:t>
      </w:r>
      <w:r w:rsidRPr="00BB0B0C">
        <w:rPr>
          <w:color w:val="auto"/>
          <w:lang w:eastAsia="en-US"/>
        </w:rPr>
        <w:t xml:space="preserve"> The barriers young disabled people face while trying to get their first job can have a lifelong impact, as the longer they go without experience, the harder it becomes for them to enter work.</w:t>
      </w:r>
      <w:r>
        <w:rPr>
          <w:color w:val="auto"/>
          <w:lang w:eastAsia="en-US"/>
        </w:rPr>
        <w:t xml:space="preserve"> </w:t>
      </w:r>
    </w:p>
    <w:p w:rsidR="005C3541" w:rsidP="00290BDF">
      <w:pPr>
        <w:spacing w:after="120"/>
        <w:rPr>
          <w:color w:val="auto"/>
          <w:lang w:eastAsia="en-US"/>
        </w:rPr>
      </w:pPr>
      <w:r>
        <w:rPr>
          <w:color w:val="auto"/>
          <w:lang w:eastAsia="en-US"/>
        </w:rPr>
        <w:t xml:space="preserve">Greater access to work experience, particularly ahead of the transition out of education, could help to address this. Sense College in Loughborough, for example, arranges work experience opportunities for its disabled students through local employers, including the public sector. This better prepares students who can work for the transition from education to employment.  </w:t>
      </w:r>
    </w:p>
    <w:p w:rsidR="005C3541" w:rsidRPr="00BB0B0C" w:rsidP="00C87058">
      <w:pPr>
        <w:pStyle w:val="Heading4"/>
      </w:pPr>
      <w:r>
        <w:t>Discrimination and lack of support from employers</w:t>
      </w:r>
    </w:p>
    <w:p w:rsidR="005C3541" w:rsidRPr="0073266B" w:rsidP="00290BDF">
      <w:pPr>
        <w:spacing w:after="120"/>
        <w:rPr>
          <w:color w:val="auto"/>
          <w:lang w:eastAsia="en-US"/>
        </w:rPr>
      </w:pPr>
      <w:r w:rsidRPr="0073266B">
        <w:rPr>
          <w:color w:val="auto"/>
          <w:lang w:eastAsia="en-US"/>
        </w:rPr>
        <w:t>Sense polling shows that 5</w:t>
      </w:r>
      <w:r>
        <w:rPr>
          <w:color w:val="auto"/>
          <w:lang w:eastAsia="en-US"/>
        </w:rPr>
        <w:t>2</w:t>
      </w:r>
      <w:r w:rsidRPr="0073266B">
        <w:rPr>
          <w:color w:val="auto"/>
          <w:lang w:eastAsia="en-US"/>
        </w:rPr>
        <w:t>%</w:t>
      </w:r>
      <w:r>
        <w:rPr>
          <w:color w:val="auto"/>
          <w:lang w:eastAsia="en-US"/>
        </w:rPr>
        <w:t xml:space="preserve"> of </w:t>
      </w:r>
      <w:r w:rsidRPr="0073266B">
        <w:rPr>
          <w:color w:val="auto"/>
          <w:lang w:eastAsia="en-US"/>
        </w:rPr>
        <w:t>18- to 34-year-olds with complex needs receiving benefits felt that employer attitudes made it difficult for them to enter and remain in work.</w:t>
      </w:r>
      <w:r>
        <w:rPr>
          <w:rStyle w:val="FootnoteReference"/>
          <w:lang w:eastAsia="en-US"/>
        </w:rPr>
        <w:footnoteReference w:id="16"/>
      </w:r>
      <w:r w:rsidRPr="00DA01B5">
        <w:rPr>
          <w:color w:val="E57200" w:themeColor="accent2"/>
          <w:lang w:eastAsia="en-US"/>
        </w:rPr>
        <w:t xml:space="preserve"> </w:t>
      </w:r>
      <w:r w:rsidRPr="0073266B">
        <w:rPr>
          <w:color w:val="auto"/>
          <w:lang w:eastAsia="en-US"/>
        </w:rPr>
        <w:t xml:space="preserve">They can also make it harder for those who find a job to progress in the workplace. </w:t>
      </w:r>
    </w:p>
    <w:p w:rsidR="005C3541" w:rsidRPr="0073266B" w:rsidP="00290BDF">
      <w:pPr>
        <w:spacing w:after="120"/>
        <w:rPr>
          <w:color w:val="auto"/>
          <w:lang w:eastAsia="en-US"/>
        </w:rPr>
      </w:pPr>
      <w:r w:rsidRPr="0073266B">
        <w:rPr>
          <w:color w:val="auto"/>
          <w:lang w:eastAsia="en-US"/>
        </w:rPr>
        <w:t>Employers’ negative attitudes often manifest in outright hostility, with over half</w:t>
      </w:r>
      <w:r>
        <w:rPr>
          <w:color w:val="auto"/>
          <w:lang w:eastAsia="en-US"/>
        </w:rPr>
        <w:t xml:space="preserve"> (51%) </w:t>
      </w:r>
      <w:r w:rsidRPr="0073266B">
        <w:rPr>
          <w:color w:val="auto"/>
          <w:lang w:eastAsia="en-US"/>
        </w:rPr>
        <w:t xml:space="preserve">of disabled employees with complex needs between the ages of 18 and 24 saying they had been bullied or harassed at work, according to Sense research. </w:t>
      </w:r>
      <w:r>
        <w:rPr>
          <w:rStyle w:val="FootnoteReference"/>
          <w:lang w:eastAsia="en-US"/>
        </w:rPr>
        <w:footnoteReference w:id="17"/>
      </w:r>
    </w:p>
    <w:p w:rsidR="005C3541" w:rsidRPr="0073266B" w:rsidP="00290BDF">
      <w:pPr>
        <w:spacing w:after="120"/>
        <w:rPr>
          <w:color w:val="auto"/>
          <w:lang w:eastAsia="en-US"/>
        </w:rPr>
      </w:pPr>
      <w:r w:rsidRPr="0073266B">
        <w:rPr>
          <w:color w:val="auto"/>
          <w:lang w:eastAsia="en-US"/>
        </w:rPr>
        <w:t xml:space="preserve">But discrimination can also come in the form of employers failing to give disabled people the support they need. Fewer than two thirds (64%) of disabled employees with complex </w:t>
      </w:r>
      <w:r w:rsidRPr="0073266B">
        <w:rPr>
          <w:color w:val="auto"/>
          <w:lang w:eastAsia="en-US"/>
        </w:rPr>
        <w:t xml:space="preserve">needs said their employer had been willing to make reasonable adjustments - despite this being a legal requirement under the Equality Act. </w:t>
      </w:r>
      <w:r>
        <w:rPr>
          <w:rStyle w:val="FootnoteReference"/>
          <w:lang w:eastAsia="en-US"/>
        </w:rPr>
        <w:footnoteReference w:id="18"/>
      </w:r>
    </w:p>
    <w:p w:rsidR="005C3541" w:rsidRPr="0073266B" w:rsidP="00290BDF">
      <w:pPr>
        <w:spacing w:after="120"/>
        <w:rPr>
          <w:color w:val="auto"/>
        </w:rPr>
      </w:pPr>
      <w:r w:rsidRPr="0073266B">
        <w:rPr>
          <w:color w:val="auto"/>
        </w:rPr>
        <w:t>Discrimination and a lack of support partly explain why, on average, between 2014 and 2023, disabled workers moved out of work at a higher rate (8.6%) than non-disabled workers (4.9%).</w:t>
      </w:r>
      <w:r>
        <w:rPr>
          <w:rStyle w:val="FootnoteReference"/>
        </w:rPr>
        <w:footnoteReference w:id="19"/>
      </w:r>
    </w:p>
    <w:p w:rsidR="005C3541" w:rsidP="00AA3D54">
      <w:pPr>
        <w:pStyle w:val="Heading1"/>
      </w:pPr>
      <w:r w:rsidRPr="00CE08B6">
        <w:t>Preventing young people from becoming NEET</w:t>
      </w:r>
    </w:p>
    <w:p w:rsidR="005C3541" w:rsidP="004E635E">
      <w:pPr>
        <w:pStyle w:val="Heading2"/>
      </w:pPr>
      <w:r>
        <w:t>How can the Government, and the DWP, help to prevent young people becoming NEET in the first place?</w:t>
      </w:r>
    </w:p>
    <w:p w:rsidR="005C3541" w:rsidP="00CF1EF7">
      <w:pPr>
        <w:spacing w:after="120"/>
        <w:rPr>
          <w:rFonts w:cs="Arial"/>
          <w:color w:val="auto"/>
        </w:rPr>
      </w:pPr>
      <w:r>
        <w:rPr>
          <w:rFonts w:cs="Arial"/>
          <w:color w:val="auto"/>
        </w:rPr>
        <w:t xml:space="preserve">While Sense welcomes the Government’s increased emphasis on offering support to help disabled people to find or stay in work, we are concerned that not enough attention is being paid to disabled people with complex needs, who often face the greatest barriers to employment. </w:t>
      </w:r>
    </w:p>
    <w:p w:rsidR="005C3541" w:rsidP="00CF1EF7">
      <w:pPr>
        <w:spacing w:after="120"/>
        <w:rPr>
          <w:rFonts w:cs="Arial"/>
          <w:color w:val="auto"/>
        </w:rPr>
      </w:pPr>
      <w:r>
        <w:rPr>
          <w:rFonts w:cs="Arial"/>
          <w:color w:val="auto"/>
        </w:rPr>
        <w:t>The Keep Britain Working Review, for example, focused mainly on enabling disabled people to stay in work through occupational health.</w:t>
      </w:r>
      <w:r>
        <w:rPr>
          <w:rStyle w:val="FootnoteReference"/>
          <w:rFonts w:cs="Arial"/>
        </w:rPr>
        <w:footnoteReference w:id="20"/>
      </w:r>
      <w:r>
        <w:rPr>
          <w:rFonts w:cs="Arial"/>
          <w:color w:val="auto"/>
        </w:rPr>
        <w:t xml:space="preserve"> The </w:t>
      </w:r>
      <w:r w:rsidRPr="0090434E">
        <w:rPr>
          <w:rFonts w:cs="Arial"/>
        </w:rPr>
        <w:t>WorkWell</w:t>
      </w:r>
      <w:r>
        <w:rPr>
          <w:rFonts w:cs="Arial"/>
          <w:color w:val="auto"/>
        </w:rPr>
        <w:t xml:space="preserve"> scheme adopts a similar focus, enabling people with health conditions to stay or return to work by linking them to services such as physiotherapy and counselling. </w:t>
      </w:r>
      <w:r>
        <w:rPr>
          <w:rStyle w:val="FootnoteReference"/>
          <w:rFonts w:cs="Arial"/>
        </w:rPr>
        <w:footnoteReference w:id="21"/>
      </w:r>
    </w:p>
    <w:p w:rsidR="005C3541" w:rsidP="00CF1EF7">
      <w:pPr>
        <w:pStyle w:val="NumBullet1"/>
        <w:numPr>
          <w:ilvl w:val="0"/>
          <w:numId w:val="0"/>
        </w:numPr>
        <w:spacing w:before="240" w:after="120"/>
        <w:rPr>
          <w:rFonts w:cs="Arial"/>
          <w:color w:val="auto"/>
        </w:rPr>
      </w:pPr>
      <w:r>
        <w:rPr>
          <w:rFonts w:cs="Arial"/>
          <w:color w:val="auto"/>
        </w:rPr>
        <w:t>While these measures are positive, they are not targeted at people who face the greatest barriers to employment.</w:t>
      </w:r>
      <w:r w:rsidRPr="00987D00">
        <w:rPr>
          <w:rFonts w:cs="Arial"/>
          <w:color w:val="auto"/>
        </w:rPr>
        <w:t xml:space="preserve"> </w:t>
      </w:r>
      <w:r>
        <w:rPr>
          <w:rFonts w:cs="Arial"/>
          <w:color w:val="auto"/>
        </w:rPr>
        <w:t xml:space="preserve">In many cases, disabled people with complex needs have not been given the chance to work at all, with </w:t>
      </w:r>
      <w:r>
        <w:rPr>
          <w:rFonts w:cs="Arial"/>
          <w:color w:val="auto"/>
        </w:rPr>
        <w:t>39</w:t>
      </w:r>
      <w:r>
        <w:rPr>
          <w:rFonts w:cs="Arial"/>
          <w:color w:val="auto"/>
        </w:rPr>
        <w:t xml:space="preserve">% of </w:t>
      </w:r>
      <w:r w:rsidRPr="00715659">
        <w:rPr>
          <w:rFonts w:cs="Arial"/>
          <w:color w:val="auto"/>
        </w:rPr>
        <w:t xml:space="preserve">disabled </w:t>
      </w:r>
      <w:r>
        <w:rPr>
          <w:rFonts w:cs="Arial"/>
          <w:color w:val="auto"/>
        </w:rPr>
        <w:t>18-to-34-year-olds</w:t>
      </w:r>
      <w:r w:rsidRPr="00715659">
        <w:rPr>
          <w:rFonts w:cs="Arial"/>
          <w:color w:val="auto"/>
        </w:rPr>
        <w:t xml:space="preserve"> with complex needs on benefits</w:t>
      </w:r>
      <w:r>
        <w:rPr>
          <w:rFonts w:cs="Arial"/>
          <w:color w:val="auto"/>
        </w:rPr>
        <w:t xml:space="preserve"> saying they have never had a paid job.</w:t>
      </w:r>
      <w:r>
        <w:rPr>
          <w:rStyle w:val="FootnoteReference"/>
          <w:rFonts w:cs="Arial"/>
        </w:rPr>
        <w:footnoteReference w:id="22"/>
      </w:r>
      <w:r w:rsidRPr="0090434E">
        <w:rPr>
          <w:rFonts w:cs="Arial"/>
          <w:color w:val="E57200" w:themeColor="accent2"/>
        </w:rPr>
        <w:t xml:space="preserve"> </w:t>
      </w:r>
    </w:p>
    <w:p w:rsidR="005C3541" w:rsidRPr="0017268E" w:rsidP="00CF1EF7">
      <w:pPr>
        <w:pStyle w:val="NumBullet1"/>
        <w:numPr>
          <w:ilvl w:val="0"/>
          <w:numId w:val="0"/>
        </w:numPr>
        <w:spacing w:before="240" w:after="120"/>
      </w:pPr>
      <w:r>
        <w:rPr>
          <w:rFonts w:cs="Arial"/>
          <w:color w:val="auto"/>
        </w:rPr>
        <w:t>Steps to reduce unemployment among young disabled people with complex needs will therefore not be effective if they focus only on those who have already been in work, or those who are at risk of dropping out of work.</w:t>
      </w:r>
    </w:p>
    <w:p w:rsidR="005C3541" w:rsidP="00CF1EF7">
      <w:pPr>
        <w:spacing w:after="120"/>
        <w:rPr>
          <w:rFonts w:cs="Arial"/>
          <w:color w:val="auto"/>
        </w:rPr>
      </w:pPr>
      <w:r>
        <w:rPr>
          <w:rFonts w:cs="Arial"/>
          <w:color w:val="auto"/>
        </w:rPr>
        <w:t xml:space="preserve">While not all young disabled people with complex needs could enter employment, there are many disabled jobseekers with complex needs who struggle to get all the support they need from Jobcentres. </w:t>
      </w:r>
    </w:p>
    <w:p w:rsidR="005C3541" w:rsidP="00CF1EF7">
      <w:pPr>
        <w:pStyle w:val="NumBullet1"/>
        <w:numPr>
          <w:ilvl w:val="0"/>
          <w:numId w:val="0"/>
        </w:numPr>
        <w:spacing w:before="240" w:after="120"/>
      </w:pPr>
      <w:r>
        <w:t>Given the high barriers they face, non-specialist employment support is less likely to be effective at supporting them into work. Yet many young disabled people struggle to access specialist support, with our research finding that</w:t>
      </w:r>
      <w:r>
        <w:rPr>
          <w:rFonts w:cs="Arial"/>
          <w:color w:val="auto"/>
        </w:rPr>
        <w:t xml:space="preserve"> </w:t>
      </w:r>
      <w:r>
        <w:rPr>
          <w:lang w:eastAsia="en-US"/>
        </w:rPr>
        <w:t xml:space="preserve">half </w:t>
      </w:r>
      <w:r>
        <w:rPr>
          <w:lang w:eastAsia="en-US"/>
        </w:rPr>
        <w:t xml:space="preserve">(51%) </w:t>
      </w:r>
      <w:r>
        <w:rPr>
          <w:lang w:eastAsia="en-US"/>
        </w:rPr>
        <w:t>of disabled 18-to-34-year-olds with complex needs on benefits say that Jobcentres do not give them enough specialist support to look for work.</w:t>
      </w:r>
      <w:r>
        <w:rPr>
          <w:rStyle w:val="FootnoteReference"/>
          <w:rFonts w:cs="Arial"/>
          <w:color w:val="auto"/>
        </w:rPr>
        <w:footnoteReference w:id="23"/>
      </w:r>
      <w:r>
        <w:rPr>
          <w:lang w:eastAsia="en-US"/>
        </w:rPr>
        <w:t xml:space="preserve"> In 2023, 44% of disabled people with complex needs between the ages of 18 and 24 said the welfare system does not help them to access opportunities for further education and training</w:t>
      </w:r>
      <w:r>
        <w:t>.</w:t>
      </w:r>
      <w:r>
        <w:rPr>
          <w:rStyle w:val="FootnoteReference"/>
        </w:rPr>
        <w:footnoteReference w:id="24"/>
      </w:r>
    </w:p>
    <w:p w:rsidR="005C3541" w:rsidP="00CF1EF7">
      <w:pPr>
        <w:pStyle w:val="NumBullet1"/>
        <w:numPr>
          <w:ilvl w:val="0"/>
          <w:numId w:val="0"/>
        </w:numPr>
        <w:spacing w:before="240" w:after="120"/>
      </w:pPr>
      <w:r>
        <w:t xml:space="preserve">The Government’s approach to tackling youth unemployment cannot therefore focus only on offering non-specialist schemes that fail to address the barriers to employment faced by young disabled people. </w:t>
      </w:r>
    </w:p>
    <w:p w:rsidR="005C3541" w:rsidRPr="00B11A9F" w:rsidP="00B11A9F">
      <w:pPr>
        <w:rPr>
          <w:color w:val="auto"/>
          <w:lang w:eastAsia="en-US"/>
        </w:rPr>
      </w:pPr>
      <w:r w:rsidRPr="00776A6E">
        <w:rPr>
          <w:color w:val="auto"/>
          <w:lang w:eastAsia="en-US"/>
        </w:rPr>
        <w:t>Our polling shows that young disabled people are more likely to want additional support to look for work. 6</w:t>
      </w:r>
      <w:r>
        <w:rPr>
          <w:color w:val="auto"/>
          <w:lang w:eastAsia="en-US"/>
        </w:rPr>
        <w:t>1</w:t>
      </w:r>
      <w:r w:rsidRPr="00776A6E">
        <w:rPr>
          <w:color w:val="auto"/>
          <w:lang w:eastAsia="en-US"/>
        </w:rPr>
        <w:t>% of disabled people with complex needs on benefits between the ages of 18 and 34 would like more specialist careers advice and support to help them understand their options, compared with 41% of people of all ages.</w:t>
      </w:r>
      <w:r>
        <w:rPr>
          <w:rStyle w:val="FootnoteReference"/>
          <w:lang w:eastAsia="en-US"/>
        </w:rPr>
        <w:footnoteReference w:id="25"/>
      </w:r>
      <w:r w:rsidRPr="00B11A9F">
        <w:rPr>
          <w:color w:val="E57200" w:themeColor="accent2"/>
          <w:lang w:eastAsia="en-US"/>
        </w:rPr>
        <w:t xml:space="preserve"> </w:t>
      </w:r>
    </w:p>
    <w:p w:rsidR="005C3541" w:rsidP="00CF1EF7">
      <w:pPr>
        <w:pStyle w:val="NumBullet1"/>
        <w:numPr>
          <w:ilvl w:val="0"/>
          <w:numId w:val="0"/>
        </w:numPr>
        <w:spacing w:before="240" w:after="120"/>
        <w:rPr>
          <w:b/>
          <w:bCs/>
        </w:rPr>
      </w:pPr>
      <w:r>
        <w:rPr>
          <w:b/>
          <w:bCs/>
        </w:rPr>
        <w:t>T</w:t>
      </w:r>
      <w:r w:rsidRPr="00C408C4">
        <w:rPr>
          <w:b/>
          <w:bCs/>
        </w:rPr>
        <w:t xml:space="preserve">he Department for Work and Pensions </w:t>
      </w:r>
      <w:r>
        <w:rPr>
          <w:b/>
          <w:bCs/>
        </w:rPr>
        <w:t>should take</w:t>
      </w:r>
      <w:r w:rsidRPr="00C408C4">
        <w:rPr>
          <w:b/>
          <w:bCs/>
        </w:rPr>
        <w:t xml:space="preserve"> specific measures to make sure that every young disabled person with complex needs can access specialist employment support on a voluntary basis, whether that is provided in a Jobcentre or not. </w:t>
      </w:r>
    </w:p>
    <w:p w:rsidR="005C3541" w:rsidP="0069639D">
      <w:pPr>
        <w:pStyle w:val="Heading1"/>
      </w:pPr>
      <w:r w:rsidRPr="0069639D">
        <w:t>Support for young people who are NEET</w:t>
      </w:r>
    </w:p>
    <w:p w:rsidR="005C3541" w:rsidP="00D5633D">
      <w:pPr>
        <w:pStyle w:val="Bullet1"/>
        <w:numPr>
          <w:ilvl w:val="0"/>
          <w:numId w:val="0"/>
        </w:numPr>
        <w:rPr>
          <w:lang w:eastAsia="en-US"/>
        </w:rPr>
      </w:pPr>
      <w:r w:rsidRPr="00D5633D">
        <w:rPr>
          <w:rStyle w:val="Heading2Char"/>
        </w:rPr>
        <w:t>How well supported are young people as they move from school to college and into education?</w:t>
      </w:r>
      <w:r>
        <w:rPr>
          <w:lang w:eastAsia="en-US"/>
        </w:rPr>
        <w:t xml:space="preserve"> </w:t>
      </w:r>
    </w:p>
    <w:p w:rsidR="005C3541" w:rsidRPr="00EA6459" w:rsidP="00EA6459">
      <w:pPr>
        <w:rPr>
          <w:lang w:eastAsia="en-US"/>
        </w:rPr>
      </w:pPr>
      <w:r w:rsidRPr="00EA6459">
        <w:rPr>
          <w:lang w:eastAsia="en-US"/>
        </w:rPr>
        <w:t>Disabled children</w:t>
      </w:r>
      <w:r>
        <w:rPr>
          <w:lang w:eastAsia="en-US"/>
        </w:rPr>
        <w:t xml:space="preserve"> and young people </w:t>
      </w:r>
      <w:r w:rsidRPr="00EA6459">
        <w:rPr>
          <w:lang w:eastAsia="en-US"/>
        </w:rPr>
        <w:t xml:space="preserve">with complex needs face significant challenges in their transitions between secondary school </w:t>
      </w:r>
      <w:r>
        <w:rPr>
          <w:lang w:eastAsia="en-US"/>
        </w:rPr>
        <w:t xml:space="preserve">and </w:t>
      </w:r>
      <w:r w:rsidRPr="00EA6459">
        <w:rPr>
          <w:lang w:eastAsia="en-US"/>
        </w:rPr>
        <w:t>Further Education (FE), and from FE into adulthood.  </w:t>
      </w:r>
      <w:r>
        <w:rPr>
          <w:lang w:eastAsia="en-US"/>
        </w:rPr>
        <w:t>This makes it harder for those who can work to get the support they need to enter employment.</w:t>
      </w:r>
    </w:p>
    <w:p w:rsidR="005C3541" w:rsidRPr="00EA6459" w:rsidP="00492297">
      <w:r w:rsidRPr="00EA6459">
        <w:rPr>
          <w:lang w:eastAsia="en-US"/>
        </w:rPr>
        <w:t xml:space="preserve">Like much of the </w:t>
      </w:r>
      <w:r w:rsidRPr="00D2734D">
        <w:t>Special Educational Needs and Disabilities (</w:t>
      </w:r>
      <w:r w:rsidRPr="00EA6459">
        <w:rPr>
          <w:lang w:eastAsia="en-US"/>
        </w:rPr>
        <w:t>SEND</w:t>
      </w:r>
      <w:r w:rsidRPr="00D2734D">
        <w:t xml:space="preserve">) </w:t>
      </w:r>
      <w:r>
        <w:t>system</w:t>
      </w:r>
      <w:r>
        <w:t xml:space="preserve">, </w:t>
      </w:r>
      <w:r w:rsidRPr="00EA6459">
        <w:rPr>
          <w:lang w:eastAsia="en-US"/>
        </w:rPr>
        <w:t>the transitions </w:t>
      </w:r>
      <w:r>
        <w:rPr>
          <w:lang w:eastAsia="en-US"/>
        </w:rPr>
        <w:t xml:space="preserve">process </w:t>
      </w:r>
      <w:r w:rsidRPr="00EA6459">
        <w:rPr>
          <w:lang w:eastAsia="en-US"/>
        </w:rPr>
        <w:t>often leaves young people and their families unprepared and unsupported. There are widespread gaps in support and services</w:t>
      </w:r>
      <w:r w:rsidRPr="00D2734D">
        <w:t>. T</w:t>
      </w:r>
      <w:r w:rsidRPr="00EA6459">
        <w:rPr>
          <w:lang w:eastAsia="en-US"/>
        </w:rPr>
        <w:t>his is especially true for young people with the most complex needs, where family involvement will remain particularly close and for who</w:t>
      </w:r>
      <w:r w:rsidRPr="00D2734D">
        <w:t>m employment</w:t>
      </w:r>
      <w:r>
        <w:rPr>
          <w:lang w:eastAsia="en-US"/>
        </w:rPr>
        <w:t xml:space="preserve"> </w:t>
      </w:r>
      <w:r w:rsidRPr="00EA6459">
        <w:rPr>
          <w:lang w:eastAsia="en-US"/>
        </w:rPr>
        <w:t>is not always a realistic option</w:t>
      </w:r>
      <w:r>
        <w:rPr>
          <w:lang w:eastAsia="en-US"/>
        </w:rPr>
        <w:t>.</w:t>
      </w:r>
      <w:r>
        <w:rPr>
          <w:rStyle w:val="FootnoteReference"/>
          <w:lang w:eastAsia="en-US"/>
        </w:rPr>
        <w:footnoteReference w:id="26"/>
      </w:r>
    </w:p>
    <w:p w:rsidR="005C3541" w:rsidRPr="00EA6459" w:rsidP="008957CD">
      <w:pPr>
        <w:rPr>
          <w:lang w:eastAsia="en-US"/>
        </w:rPr>
      </w:pPr>
      <w:r w:rsidRPr="00EA6459">
        <w:rPr>
          <w:lang w:eastAsia="en-US"/>
        </w:rPr>
        <w:t>Recent research has shown 4 in 5 (80%) of parents did not know what was supposed to happen when their disabled child left education, and 3 in 4 (76%) said all organisations did not work well together on this</w:t>
      </w:r>
      <w:r>
        <w:rPr>
          <w:lang w:eastAsia="en-US"/>
        </w:rPr>
        <w:t>.</w:t>
      </w:r>
      <w:r>
        <w:rPr>
          <w:rStyle w:val="FootnoteReference"/>
          <w:lang w:eastAsia="en-US"/>
        </w:rPr>
        <w:footnoteReference w:id="27"/>
      </w:r>
    </w:p>
    <w:p w:rsidR="005C3541" w:rsidRPr="001D6A51" w:rsidP="00751C3B">
      <w:pPr>
        <w:rPr>
          <w:color w:val="auto"/>
          <w:lang w:eastAsia="en-US"/>
        </w:rPr>
      </w:pPr>
      <w:r w:rsidRPr="00EA6459">
        <w:rPr>
          <w:lang w:eastAsia="en-US"/>
        </w:rPr>
        <w:t>Families in Sense’s services have reported challenges in navigating the transition from secondary school to a specialist F</w:t>
      </w:r>
      <w:r>
        <w:rPr>
          <w:lang w:eastAsia="en-US"/>
        </w:rPr>
        <w:t xml:space="preserve">urther </w:t>
      </w:r>
      <w:r w:rsidRPr="00EA6459">
        <w:rPr>
          <w:lang w:eastAsia="en-US"/>
        </w:rPr>
        <w:t>E</w:t>
      </w:r>
      <w:r>
        <w:rPr>
          <w:lang w:eastAsia="en-US"/>
        </w:rPr>
        <w:t>ducation</w:t>
      </w:r>
      <w:r w:rsidRPr="00EA6459">
        <w:rPr>
          <w:lang w:eastAsia="en-US"/>
        </w:rPr>
        <w:t xml:space="preserve"> college. </w:t>
      </w:r>
      <w:r>
        <w:rPr>
          <w:lang w:eastAsia="en-US"/>
        </w:rPr>
        <w:t>Sense</w:t>
      </w:r>
      <w:r>
        <w:rPr>
          <w:lang w:eastAsia="en-US"/>
        </w:rPr>
        <w:t xml:space="preserve">’s </w:t>
      </w:r>
      <w:r>
        <w:rPr>
          <w:lang w:eastAsia="en-US"/>
        </w:rPr>
        <w:t xml:space="preserve">services for adults </w:t>
      </w:r>
      <w:r>
        <w:rPr>
          <w:lang w:eastAsia="en-US"/>
        </w:rPr>
        <w:t>have also</w:t>
      </w:r>
      <w:r w:rsidRPr="00776A6E">
        <w:rPr>
          <w:color w:val="auto"/>
          <w:lang w:eastAsia="en-US"/>
        </w:rPr>
        <w:t xml:space="preserve"> f</w:t>
      </w:r>
      <w:r>
        <w:rPr>
          <w:color w:val="auto"/>
          <w:lang w:eastAsia="en-US"/>
        </w:rPr>
        <w:t>ound</w:t>
      </w:r>
      <w:r w:rsidRPr="00776A6E">
        <w:rPr>
          <w:color w:val="auto"/>
          <w:lang w:eastAsia="en-US"/>
        </w:rPr>
        <w:t xml:space="preserve"> that support </w:t>
      </w:r>
      <w:r>
        <w:rPr>
          <w:color w:val="auto"/>
          <w:lang w:eastAsia="en-US"/>
        </w:rPr>
        <w:t xml:space="preserve">often </w:t>
      </w:r>
      <w:r w:rsidRPr="00776A6E">
        <w:rPr>
          <w:color w:val="auto"/>
          <w:lang w:eastAsia="en-US"/>
        </w:rPr>
        <w:t>ends once someone leaves school or college, meaning they regularly come across disabled people who have still not been able to gain any experience a decade after they</w:t>
      </w:r>
      <w:r>
        <w:rPr>
          <w:color w:val="auto"/>
          <w:lang w:eastAsia="en-US"/>
        </w:rPr>
        <w:t xml:space="preserve"> hav</w:t>
      </w:r>
      <w:r w:rsidRPr="00776A6E">
        <w:rPr>
          <w:color w:val="auto"/>
          <w:lang w:eastAsia="en-US"/>
        </w:rPr>
        <w:t xml:space="preserve">e finished formal education. </w:t>
      </w:r>
      <w:r>
        <w:rPr>
          <w:color w:val="auto"/>
          <w:lang w:eastAsia="en-US"/>
        </w:rPr>
        <w:t xml:space="preserve">This is reflected in Sense’s </w:t>
      </w:r>
      <w:r>
        <w:rPr>
          <w:color w:val="auto"/>
          <w:lang w:eastAsia="en-US"/>
        </w:rPr>
        <w:t xml:space="preserve">polling of disabled people with complex needs on benefits, which found that </w:t>
      </w:r>
      <w:r>
        <w:t>39</w:t>
      </w:r>
      <w:r>
        <w:t>% of those aged 18 to 34 said that they had never had a paid job.</w:t>
      </w:r>
      <w:r w:rsidRPr="009C0B13">
        <w:rPr>
          <w:rStyle w:val="FootnoteReference"/>
        </w:rPr>
        <w:t xml:space="preserve"> </w:t>
      </w:r>
      <w:r>
        <w:rPr>
          <w:rStyle w:val="FootnoteReference"/>
        </w:rPr>
        <w:footnoteReference w:id="28"/>
      </w:r>
    </w:p>
    <w:p w:rsidR="005C3541" w:rsidP="00604622">
      <w:pPr>
        <w:rPr>
          <w:lang w:eastAsia="en-US"/>
        </w:rPr>
      </w:pPr>
      <w:r>
        <w:t xml:space="preserve">Sense research shows that young disabled people with complex needs </w:t>
      </w:r>
      <w:r>
        <w:t xml:space="preserve">themselves </w:t>
      </w:r>
      <w:r>
        <w:t>often feel that the</w:t>
      </w:r>
      <w:r>
        <w:t xml:space="preserve"> education system does not </w:t>
      </w:r>
      <w:r>
        <w:t>always do enough to support</w:t>
      </w:r>
      <w:r>
        <w:t xml:space="preserve"> </w:t>
      </w:r>
      <w:r>
        <w:t>disabled children during the move to adulthood</w:t>
      </w:r>
      <w:r>
        <w:t>.</w:t>
      </w:r>
      <w:r>
        <w:t xml:space="preserve"> </w:t>
      </w:r>
      <w:r>
        <w:t>46%</w:t>
      </w:r>
      <w:r>
        <w:t xml:space="preserve"> </w:t>
      </w:r>
      <w:r>
        <w:rPr>
          <w:lang w:eastAsia="en-US"/>
        </w:rPr>
        <w:t xml:space="preserve">of disabled people with complex needs on benefits </w:t>
      </w:r>
      <w:r>
        <w:rPr>
          <w:lang w:eastAsia="en-US"/>
        </w:rPr>
        <w:t xml:space="preserve">between the ages of 18 and 34 say the education system does not prepare disabled people well enough to enter work and training. </w:t>
      </w:r>
      <w:r>
        <w:rPr>
          <w:rStyle w:val="FootnoteReference"/>
        </w:rPr>
        <w:footnoteReference w:id="29"/>
      </w:r>
    </w:p>
    <w:p w:rsidR="005C3541" w:rsidRPr="00776A6E" w:rsidP="00751C3B">
      <w:pPr>
        <w:rPr>
          <w:b/>
          <w:bCs/>
          <w:color w:val="auto"/>
        </w:rPr>
      </w:pPr>
      <w:r w:rsidRPr="00776A6E">
        <w:rPr>
          <w:b/>
          <w:bCs/>
          <w:color w:val="auto"/>
        </w:rPr>
        <w:t xml:space="preserve">The Department for Work and Pensions should invest in employment support for those transitioning out of </w:t>
      </w:r>
      <w:r>
        <w:rPr>
          <w:b/>
          <w:bCs/>
          <w:color w:val="auto"/>
        </w:rPr>
        <w:t xml:space="preserve">specialist </w:t>
      </w:r>
      <w:r w:rsidRPr="00776A6E">
        <w:rPr>
          <w:b/>
          <w:bCs/>
          <w:color w:val="auto"/>
        </w:rPr>
        <w:t xml:space="preserve">education. </w:t>
      </w:r>
    </w:p>
    <w:p w:rsidR="005C3541" w:rsidRPr="00EA6459" w:rsidP="00ED18E4">
      <w:pPr>
        <w:rPr>
          <w:b/>
          <w:bCs/>
          <w:lang w:eastAsia="en-US"/>
        </w:rPr>
      </w:pPr>
      <w:r w:rsidRPr="0010472A">
        <w:rPr>
          <w:b/>
          <w:bCs/>
          <w:lang w:eastAsia="en-US"/>
        </w:rPr>
        <w:t xml:space="preserve">The Department for </w:t>
      </w:r>
      <w:r w:rsidRPr="0010472A">
        <w:rPr>
          <w:b/>
          <w:bCs/>
          <w:lang w:eastAsia="en-US"/>
        </w:rPr>
        <w:t>Ed</w:t>
      </w:r>
      <w:r w:rsidRPr="0010472A">
        <w:rPr>
          <w:b/>
          <w:bCs/>
          <w:lang w:eastAsia="en-US"/>
        </w:rPr>
        <w:t>ucation should:</w:t>
      </w:r>
    </w:p>
    <w:p w:rsidR="005C3541" w:rsidRPr="0010472A" w:rsidP="00343950">
      <w:pPr>
        <w:pStyle w:val="Bullet1"/>
        <w:rPr>
          <w:b/>
          <w:bCs/>
          <w:lang w:eastAsia="en-US"/>
        </w:rPr>
      </w:pPr>
      <w:r>
        <w:rPr>
          <w:b/>
          <w:bCs/>
          <w:lang w:eastAsia="en-US"/>
        </w:rPr>
        <w:t>Work with the Department for Health and Social Care to a</w:t>
      </w:r>
      <w:r w:rsidRPr="0010472A">
        <w:rPr>
          <w:b/>
          <w:bCs/>
          <w:lang w:eastAsia="en-US"/>
        </w:rPr>
        <w:t>mend the Care Act 2014 to introduce a statutory requirement for transition planning to start at age 14</w:t>
      </w:r>
      <w:r w:rsidRPr="0010472A">
        <w:rPr>
          <w:b/>
          <w:bCs/>
          <w:lang w:eastAsia="en-US"/>
        </w:rPr>
        <w:t>, with professionals</w:t>
      </w:r>
      <w:r w:rsidRPr="0010472A">
        <w:rPr>
          <w:b/>
          <w:bCs/>
          <w:lang w:eastAsia="en-US"/>
        </w:rPr>
        <w:t> </w:t>
      </w:r>
      <w:r w:rsidRPr="0010472A">
        <w:rPr>
          <w:b/>
          <w:bCs/>
          <w:lang w:eastAsia="en-US"/>
        </w:rPr>
        <w:t xml:space="preserve">working </w:t>
      </w:r>
      <w:r w:rsidRPr="0010472A">
        <w:rPr>
          <w:b/>
          <w:bCs/>
          <w:lang w:eastAsia="en-US"/>
        </w:rPr>
        <w:t>collaboratively with other services including across health, education, and housing. </w:t>
      </w:r>
    </w:p>
    <w:p w:rsidR="005C3541" w:rsidRPr="0010472A" w:rsidP="00343950">
      <w:pPr>
        <w:pStyle w:val="Bullet1"/>
        <w:rPr>
          <w:b/>
          <w:bCs/>
          <w:lang w:eastAsia="en-US"/>
        </w:rPr>
      </w:pPr>
      <w:r w:rsidRPr="0010472A">
        <w:rPr>
          <w:b/>
          <w:bCs/>
          <w:lang w:eastAsia="en-US"/>
        </w:rPr>
        <w:t>D</w:t>
      </w:r>
      <w:r w:rsidRPr="0010472A">
        <w:rPr>
          <w:b/>
          <w:bCs/>
          <w:lang w:eastAsia="en-US"/>
        </w:rPr>
        <w:t>evelop a national transitions framework to ensure the process is better monitored and works well for the child being supported. This should include details on what support a young person is legally entitled to, including support outside of education such as on welfare, continuing healthcare, and social care. This is particularly crucial in the post-16 space. </w:t>
      </w:r>
    </w:p>
    <w:p w:rsidR="005C3541" w:rsidP="0045620E">
      <w:pPr>
        <w:pStyle w:val="Heading1"/>
      </w:pPr>
      <w:r>
        <w:t>Case study</w:t>
      </w:r>
    </w:p>
    <w:p w:rsidR="005C3541" w:rsidP="00D12286">
      <w:pPr>
        <w:pStyle w:val="NumBullet1"/>
        <w:numPr>
          <w:ilvl w:val="0"/>
          <w:numId w:val="0"/>
        </w:numPr>
        <w:spacing w:before="240" w:after="120"/>
        <w:rPr>
          <w:rFonts w:cs="Arial"/>
          <w:color w:val="auto"/>
        </w:rPr>
      </w:pPr>
      <w:r w:rsidRPr="330FE3BA">
        <w:rPr>
          <w:rFonts w:cs="Arial"/>
          <w:color w:val="auto"/>
        </w:rPr>
        <w:t>Lorraine, whose children Ben and Sam are both disabled, is worried the cuts could make it harder for her to afford the extra costs she faces:</w:t>
      </w:r>
    </w:p>
    <w:p w:rsidR="005C3541" w:rsidP="00D12286">
      <w:pPr>
        <w:pStyle w:val="NumBullet1"/>
        <w:numPr>
          <w:ilvl w:val="0"/>
          <w:numId w:val="0"/>
        </w:numPr>
        <w:spacing w:before="240" w:after="120"/>
        <w:ind w:left="720"/>
        <w:rPr>
          <w:rFonts w:cs="Arial"/>
          <w:color w:val="auto"/>
        </w:rPr>
      </w:pPr>
      <w:r w:rsidRPr="2DE537EE">
        <w:rPr>
          <w:rFonts w:cs="Arial"/>
          <w:color w:val="auto"/>
        </w:rPr>
        <w:t>“Given their needs are so high, I expect we’ll live together for many more years to come – if not forever. I hope Sam will one day be able to enter further education and work, but I don’t think Ben would cope, as his needs are so high and his behaviour can be so destructive.”</w:t>
      </w:r>
    </w:p>
    <w:p w:rsidR="005C3541" w:rsidP="00D12286">
      <w:pPr>
        <w:pStyle w:val="NumBullet1"/>
        <w:numPr>
          <w:ilvl w:val="0"/>
          <w:numId w:val="0"/>
        </w:numPr>
        <w:spacing w:before="240" w:after="120"/>
        <w:ind w:left="720"/>
        <w:rPr>
          <w:rFonts w:cs="Arial"/>
          <w:color w:val="auto"/>
        </w:rPr>
      </w:pPr>
      <w:r>
        <w:rPr>
          <w:rFonts w:cs="Arial"/>
          <w:color w:val="auto"/>
        </w:rPr>
        <w:t>“</w:t>
      </w:r>
      <w:r w:rsidRPr="008A7137">
        <w:rPr>
          <w:rFonts w:cs="Arial"/>
          <w:color w:val="auto"/>
        </w:rPr>
        <w:t xml:space="preserve">At home, we have to have cameras all over the house so I can keep </w:t>
      </w:r>
      <w:r>
        <w:rPr>
          <w:rFonts w:cs="Arial"/>
          <w:color w:val="auto"/>
        </w:rPr>
        <w:t>Ben</w:t>
      </w:r>
      <w:r w:rsidRPr="008A7137">
        <w:rPr>
          <w:rFonts w:cs="Arial"/>
          <w:color w:val="auto"/>
        </w:rPr>
        <w:t xml:space="preserve"> and his brother safe</w:t>
      </w:r>
      <w:r>
        <w:rPr>
          <w:rFonts w:cs="Arial"/>
          <w:color w:val="auto"/>
        </w:rPr>
        <w:t>…</w:t>
      </w:r>
      <w:r w:rsidRPr="0036133E">
        <w:rPr>
          <w:rFonts w:cs="Arial"/>
          <w:color w:val="auto"/>
        </w:rPr>
        <w:t>It's things like the cameras, specialist clothing for Ben and hand gel for Sam’s OCD, that my budget has got to go on. In our house, these extra costs are a ‘got to,’ just like bread and milk</w:t>
      </w:r>
      <w:r>
        <w:rPr>
          <w:rFonts w:cs="Arial"/>
          <w:color w:val="auto"/>
        </w:rPr>
        <w:t>…</w:t>
      </w:r>
      <w:r w:rsidRPr="2DE537EE">
        <w:rPr>
          <w:rFonts w:cs="Arial"/>
          <w:color w:val="auto"/>
        </w:rPr>
        <w:t xml:space="preserve">My boys depend on me, and will continue to into adulthood, so the money we receive in welfare benefits means everything to us. </w:t>
      </w:r>
      <w:r w:rsidRPr="2DE537EE">
        <w:rPr>
          <w:rFonts w:cs="Arial"/>
          <w:color w:val="auto"/>
        </w:rPr>
        <w:t>If the government takes that away, it wouldn’t just be difficult – it would be impossible.”   </w:t>
      </w:r>
    </w:p>
    <w:p w:rsidR="005C3541" w:rsidP="00D12286">
      <w:pPr>
        <w:pStyle w:val="NumBullet1"/>
        <w:numPr>
          <w:ilvl w:val="0"/>
          <w:numId w:val="0"/>
        </w:numPr>
        <w:spacing w:before="240" w:after="120"/>
        <w:ind w:left="720"/>
        <w:rPr>
          <w:rFonts w:cs="Arial"/>
          <w:color w:val="auto"/>
        </w:rPr>
      </w:pPr>
    </w:p>
    <w:p w:rsidR="005C3541" w:rsidRPr="005C3541" w:rsidP="00D12286">
      <w:pPr>
        <w:pStyle w:val="NumBullet1"/>
        <w:numPr>
          <w:ilvl w:val="0"/>
          <w:numId w:val="0"/>
        </w:numPr>
        <w:spacing w:before="240" w:after="120"/>
        <w:ind w:left="720"/>
        <w:rPr>
          <w:rFonts w:cs="Arial"/>
          <w:b/>
          <w:bCs/>
          <w:i/>
          <w:iCs/>
          <w:color w:val="auto"/>
        </w:rPr>
      </w:pPr>
      <w:r w:rsidRPr="005C3541">
        <w:rPr>
          <w:rFonts w:cs="Arial"/>
          <w:b/>
          <w:bCs/>
          <w:i/>
          <w:iCs/>
          <w:color w:val="auto"/>
        </w:rPr>
        <w:t>February 2026</w:t>
      </w:r>
    </w:p>
    <w:p w:rsidR="005C3541" w:rsidRPr="00965590" w:rsidP="00965590">
      <w:pPr>
        <w:rPr>
          <w:lang w:eastAsia="en-US"/>
        </w:rPr>
      </w:pPr>
    </w:p>
    <w:sectPr w:rsidSect="005C3541">
      <w:pgSz w:w="11906" w:h="16838" w:code="9"/>
      <w:pgMar w:top="1135" w:right="1134" w:bottom="1701" w:left="1134" w:header="1134"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C3541" w:rsidRPr="00C214E1" w:rsidP="00C214E1">
      <w:pPr>
        <w:pStyle w:val="NoSpacing"/>
        <w:rPr>
          <w:color w:val="888B8D" w:themeColor="text2"/>
        </w:rPr>
      </w:pPr>
      <w:r w:rsidRPr="00C214E1">
        <w:rPr>
          <w:color w:val="888B8D" w:themeColor="text2"/>
        </w:rPr>
        <w:separator/>
      </w:r>
    </w:p>
  </w:footnote>
  <w:footnote w:type="continuationSeparator" w:id="1">
    <w:p w:rsidR="005C3541" w:rsidRPr="00C214E1" w:rsidP="00C214E1">
      <w:pPr>
        <w:pStyle w:val="NoSpacing"/>
        <w:rPr>
          <w:color w:val="888B8D" w:themeColor="text2"/>
        </w:rPr>
      </w:pPr>
      <w:r w:rsidRPr="00C214E1">
        <w:rPr>
          <w:color w:val="888B8D" w:themeColor="text2"/>
        </w:rPr>
        <w:continuationSeparator/>
      </w:r>
    </w:p>
  </w:footnote>
  <w:footnote w:id="2">
    <w:p w:rsidR="005C3541" w:rsidP="00BD0377">
      <w:pPr>
        <w:pStyle w:val="FootnoteText"/>
        <w:numPr>
          <w:ilvl w:val="0"/>
          <w:numId w:val="21"/>
        </w:numPr>
      </w:pPr>
      <w:r>
        <w:rPr>
          <w:rStyle w:val="FootnoteReference"/>
        </w:rPr>
        <w:footnoteRef/>
      </w:r>
      <w:r w:rsidRPr="000C783E">
        <w:t>Sense, Briefing: Complex needs and the cost of living</w:t>
      </w:r>
      <w:r>
        <w:t xml:space="preserve">, 2022, available at  </w:t>
      </w:r>
      <w:r w:rsidRPr="00BB1122">
        <w:t>https://www.sense.org.uk/about-us/research/complex-needs-cost-of-living-sense-natcen-research-briefing/#benefits</w:t>
      </w:r>
    </w:p>
  </w:footnote>
  <w:footnote w:id="3">
    <w:p w:rsidR="005C3541">
      <w:pPr>
        <w:pStyle w:val="FootnoteText"/>
      </w:pPr>
      <w:r>
        <w:rPr>
          <w:rStyle w:val="FootnoteReference"/>
        </w:rPr>
        <w:footnoteRef/>
      </w:r>
      <w:r>
        <w:t xml:space="preserve"> </w:t>
      </w:r>
      <w:r>
        <w:t xml:space="preserve">Department for Work and Pensions, </w:t>
      </w:r>
      <w:r w:rsidRPr="00407E80">
        <w:t>The employment of disabled people 2025</w:t>
      </w:r>
      <w:r>
        <w:t>,</w:t>
      </w:r>
      <w:r>
        <w:t xml:space="preserve"> November 2025</w:t>
      </w:r>
      <w:r>
        <w:t>,</w:t>
      </w:r>
      <w:r>
        <w:t xml:space="preserve"> available at</w:t>
      </w:r>
      <w:r>
        <w:t xml:space="preserve"> </w:t>
      </w:r>
      <w:r w:rsidRPr="004C5EEB">
        <w:t>https://www.gov.uk/government/statistics/the-employment-of-disabled-people-2025/the-employment-of-disabled-people-2025</w:t>
      </w:r>
    </w:p>
  </w:footnote>
  <w:footnote w:id="4">
    <w:p w:rsidR="005C3541" w:rsidRPr="0055052C" w:rsidP="00B82FD8">
      <w:pPr>
        <w:pStyle w:val="FootnoteText"/>
        <w:rPr>
          <w:color w:val="auto"/>
          <w:szCs w:val="18"/>
        </w:rPr>
      </w:pPr>
      <w:r w:rsidRPr="00361BFC">
        <w:rPr>
          <w:rStyle w:val="FootnoteReference"/>
          <w:szCs w:val="18"/>
        </w:rPr>
        <w:footnoteRef/>
      </w:r>
      <w:r w:rsidRPr="00361BFC">
        <w:rPr>
          <w:color w:val="E57200" w:themeColor="accent2"/>
          <w:szCs w:val="18"/>
        </w:rPr>
        <w:t xml:space="preserve"> </w:t>
      </w:r>
      <w:r w:rsidRPr="0055052C">
        <w:rPr>
          <w:color w:val="auto"/>
          <w:szCs w:val="18"/>
        </w:rPr>
        <w:t>Sense polling of 1000 disabled people with complex needs in receipt of benefits conducted by Censuswide between 7 May and 16 May 2025.</w:t>
      </w:r>
    </w:p>
  </w:footnote>
  <w:footnote w:id="5">
    <w:p w:rsidR="005C3541">
      <w:pPr>
        <w:pStyle w:val="FootnoteText"/>
      </w:pPr>
      <w:r>
        <w:rPr>
          <w:rStyle w:val="FootnoteReference"/>
        </w:rPr>
        <w:footnoteRef/>
      </w:r>
      <w:r>
        <w:t xml:space="preserve"> Sense polling of 1000 people with complex disabilities in receipt of benefits conducted by Censuswide between 24 May and 30 May 2024</w:t>
      </w:r>
      <w:r>
        <w:t>.</w:t>
      </w:r>
    </w:p>
  </w:footnote>
  <w:footnote w:id="6">
    <w:p w:rsidR="005C3541" w:rsidRPr="0055052C" w:rsidP="000D1635">
      <w:pPr>
        <w:pStyle w:val="FootnoteText"/>
        <w:rPr>
          <w:color w:val="auto"/>
          <w:szCs w:val="18"/>
        </w:rPr>
      </w:pPr>
      <w:r w:rsidRPr="00361BFC">
        <w:rPr>
          <w:rStyle w:val="FootnoteReference"/>
          <w:szCs w:val="18"/>
        </w:rPr>
        <w:footnoteRef/>
      </w:r>
      <w:r w:rsidRPr="0055052C">
        <w:rPr>
          <w:color w:val="auto"/>
          <w:szCs w:val="18"/>
        </w:rPr>
        <w:t xml:space="preserve"> Sense polling of 1000 disabled people with complex needs in receipt of benefits conducted by Censuswide between 7 May and 16 May 2025.</w:t>
      </w:r>
    </w:p>
  </w:footnote>
  <w:footnote w:id="7">
    <w:p w:rsidR="005C3541" w:rsidP="009F4A48">
      <w:pPr>
        <w:pStyle w:val="FootnoteText"/>
        <w:numPr>
          <w:ilvl w:val="0"/>
          <w:numId w:val="21"/>
        </w:numPr>
      </w:pPr>
      <w:r>
        <w:rPr>
          <w:rStyle w:val="FootnoteReference"/>
        </w:rPr>
        <w:footnoteRef/>
      </w:r>
      <w:r>
        <w:t xml:space="preserve"> </w:t>
      </w:r>
      <w:r>
        <w:rPr>
          <w:color w:val="auto"/>
          <w:szCs w:val="18"/>
        </w:rPr>
        <w:t>Turn2us, From Stigma to Support</w:t>
      </w:r>
      <w:r w:rsidRPr="00CE28E6">
        <w:rPr>
          <w:color w:val="auto"/>
          <w:szCs w:val="18"/>
        </w:rPr>
        <w:t>, 202</w:t>
      </w:r>
      <w:r>
        <w:rPr>
          <w:color w:val="auto"/>
          <w:szCs w:val="18"/>
        </w:rPr>
        <w:t>5</w:t>
      </w:r>
      <w:r w:rsidRPr="00CE28E6">
        <w:rPr>
          <w:color w:val="auto"/>
          <w:szCs w:val="18"/>
        </w:rPr>
        <w:t>, available at</w:t>
      </w:r>
      <w:r>
        <w:rPr>
          <w:color w:val="auto"/>
          <w:szCs w:val="18"/>
        </w:rPr>
        <w:t>:</w:t>
      </w:r>
      <w:r w:rsidRPr="00CE28E6">
        <w:rPr>
          <w:color w:val="auto"/>
          <w:szCs w:val="18"/>
        </w:rPr>
        <w:t xml:space="preserve"> </w:t>
      </w:r>
      <w:r>
        <w:fldChar w:fldCharType="begin"/>
      </w:r>
      <w:r>
        <w:instrText xml:space="preserve"> HYPERLINK "https://www.turn2us.org.uk/policy-campaigns-and-research/policy/tackling-stigma-in-the-social-security-system/from-stigma-to-support" </w:instrText>
      </w:r>
      <w:r>
        <w:fldChar w:fldCharType="separate"/>
      </w:r>
      <w:r w:rsidRPr="00666491">
        <w:rPr>
          <w:rStyle w:val="Hyperlink"/>
          <w:szCs w:val="18"/>
        </w:rPr>
        <w:t>https://www.turn2us.org.uk/policy-campaigns-and-research/policy/tackling-stigma-in-the-social-security-system/from-stigma-to-support</w:t>
      </w:r>
      <w:r>
        <w:fldChar w:fldCharType="end"/>
      </w:r>
      <w:r>
        <w:rPr>
          <w:color w:val="auto"/>
          <w:szCs w:val="18"/>
        </w:rPr>
        <w:t xml:space="preserve"> </w:t>
      </w:r>
    </w:p>
  </w:footnote>
  <w:footnote w:id="8">
    <w:p w:rsidR="005C3541" w:rsidP="002E31A9">
      <w:pPr>
        <w:pStyle w:val="FootnoteText"/>
        <w:numPr>
          <w:ilvl w:val="0"/>
          <w:numId w:val="21"/>
        </w:numPr>
      </w:pPr>
      <w:r>
        <w:rPr>
          <w:rStyle w:val="FootnoteReference"/>
        </w:rPr>
        <w:footnoteRef/>
      </w:r>
      <w:r>
        <w:t xml:space="preserve"> </w:t>
      </w:r>
      <w:r>
        <w:rPr>
          <w:color w:val="auto"/>
          <w:szCs w:val="18"/>
        </w:rPr>
        <w:t>Turn2us, From Stigma to Support</w:t>
      </w:r>
      <w:r w:rsidRPr="00CE28E6">
        <w:rPr>
          <w:color w:val="auto"/>
          <w:szCs w:val="18"/>
        </w:rPr>
        <w:t>, 202</w:t>
      </w:r>
      <w:r>
        <w:rPr>
          <w:color w:val="auto"/>
          <w:szCs w:val="18"/>
        </w:rPr>
        <w:t>5</w:t>
      </w:r>
      <w:r w:rsidRPr="00CE28E6">
        <w:rPr>
          <w:color w:val="auto"/>
          <w:szCs w:val="18"/>
        </w:rPr>
        <w:t>, available at</w:t>
      </w:r>
      <w:r>
        <w:rPr>
          <w:color w:val="auto"/>
          <w:szCs w:val="18"/>
        </w:rPr>
        <w:t>:</w:t>
      </w:r>
      <w:r w:rsidRPr="00CE28E6">
        <w:rPr>
          <w:color w:val="auto"/>
          <w:szCs w:val="18"/>
        </w:rPr>
        <w:t xml:space="preserve"> </w:t>
      </w:r>
      <w:r>
        <w:fldChar w:fldCharType="begin"/>
      </w:r>
      <w:r>
        <w:instrText xml:space="preserve"> HYPERLINK "https://www.turn2us.org.uk/policy-campaigns-and-research/policy/tackling-stigma-in-the-social-security-system/from-stigma-to-support" </w:instrText>
      </w:r>
      <w:r>
        <w:fldChar w:fldCharType="separate"/>
      </w:r>
      <w:r w:rsidRPr="00666491">
        <w:rPr>
          <w:rStyle w:val="Hyperlink"/>
          <w:szCs w:val="18"/>
        </w:rPr>
        <w:t>https://www.turn2us.org.uk/policy-campaigns-and-research/policy/tackling-stigma-in-the-social-security-system/from-stigma-to-support</w:t>
      </w:r>
      <w:r>
        <w:fldChar w:fldCharType="end"/>
      </w:r>
      <w:r>
        <w:rPr>
          <w:color w:val="auto"/>
          <w:szCs w:val="18"/>
        </w:rPr>
        <w:t xml:space="preserve"> </w:t>
      </w:r>
    </w:p>
  </w:footnote>
  <w:footnote w:id="9">
    <w:p w:rsidR="005C3541" w:rsidP="00C459DC">
      <w:pPr>
        <w:pStyle w:val="FootnoteText"/>
      </w:pPr>
      <w:r>
        <w:rPr>
          <w:rStyle w:val="FootnoteReference"/>
        </w:rPr>
        <w:footnoteRef/>
      </w:r>
      <w:r>
        <w:t xml:space="preserve"> </w:t>
      </w:r>
      <w:r w:rsidRPr="004B3506">
        <w:t>https://www.gov.uk/government/news/independent-investigation-to-be-launched-to-tackle-rising-youth-inactivity</w:t>
      </w:r>
    </w:p>
  </w:footnote>
  <w:footnote w:id="10">
    <w:p w:rsidR="005C3541" w:rsidP="003227DC">
      <w:pPr>
        <w:pStyle w:val="FootnoteText"/>
      </w:pPr>
      <w:r>
        <w:rPr>
          <w:rStyle w:val="FootnoteReference"/>
        </w:rPr>
        <w:footnoteRef/>
      </w:r>
      <w:r>
        <w:t xml:space="preserve"> </w:t>
      </w:r>
      <w:r>
        <w:t>World Health Organisation, I</w:t>
      </w:r>
      <w:r w:rsidRPr="00415951">
        <w:t>nternational Statistical Classification of Diseases and Related Health Problems 10th Revision</w:t>
      </w:r>
      <w:r>
        <w:t>,</w:t>
      </w:r>
      <w:r>
        <w:t xml:space="preserve"> 2019,</w:t>
      </w:r>
      <w:r w:rsidRPr="00C45BBD">
        <w:t xml:space="preserve"> </w:t>
      </w:r>
      <w:r>
        <w:t>available at</w:t>
      </w:r>
      <w:r w:rsidRPr="00415951">
        <w:t xml:space="preserve"> </w:t>
      </w:r>
      <w:r>
        <w:fldChar w:fldCharType="begin"/>
      </w:r>
      <w:r>
        <w:instrText xml:space="preserve"> HYPERLINK "https://icd.who.int/browse10/2019/en" \l "/Vm" </w:instrText>
      </w:r>
      <w:r>
        <w:fldChar w:fldCharType="separate"/>
      </w:r>
      <w:r w:rsidRPr="00875BDD">
        <w:rPr>
          <w:rStyle w:val="Hyperlink"/>
        </w:rPr>
        <w:t>https://icd.who.int/browse10/2019/en#/Vm</w:t>
      </w:r>
      <w:r>
        <w:fldChar w:fldCharType="end"/>
      </w:r>
      <w:r>
        <w:t xml:space="preserve">, </w:t>
      </w:r>
    </w:p>
  </w:footnote>
  <w:footnote w:id="11">
    <w:p w:rsidR="005C3541" w:rsidP="00991592">
      <w:pPr>
        <w:pStyle w:val="FootnoteText"/>
      </w:pPr>
      <w:r>
        <w:rPr>
          <w:rStyle w:val="FootnoteReference"/>
        </w:rPr>
        <w:footnoteRef/>
      </w:r>
      <w:r>
        <w:t xml:space="preserve"> </w:t>
      </w:r>
      <w:r w:rsidRPr="00E31FA9">
        <w:t>https://www.gov.uk/government/consultations/pathways-to-work-reforming-benefits-and-support-to-get-britain-working-green-paper/pathways-to-work-reforming-benefits-and-support-to-get-britain-working-green-paper</w:t>
      </w:r>
    </w:p>
  </w:footnote>
  <w:footnote w:id="12">
    <w:p w:rsidR="005C3541" w:rsidP="004E635E">
      <w:pPr>
        <w:pStyle w:val="FootnoteText"/>
      </w:pPr>
      <w:r>
        <w:rPr>
          <w:rStyle w:val="FootnoteReference"/>
        </w:rPr>
        <w:footnoteRef/>
      </w:r>
      <w:r>
        <w:t xml:space="preserve"> </w:t>
      </w:r>
      <w:r w:rsidRPr="00E31FA9">
        <w:t>https://www.gov.uk/government/consultations/pathways-to-work-reforming-benefits-and-support-to-get-britain-working-green-paper/pathways-to-work-reforming-benefits-and-support-to-get-britain-working-green-paper</w:t>
      </w:r>
    </w:p>
  </w:footnote>
  <w:footnote w:id="13">
    <w:p w:rsidR="005C3541" w:rsidRPr="0055052C" w:rsidP="00290BDF">
      <w:pPr>
        <w:pStyle w:val="FootnoteText"/>
        <w:rPr>
          <w:color w:val="auto"/>
          <w:szCs w:val="18"/>
        </w:rPr>
      </w:pPr>
      <w:r w:rsidRPr="00E06887">
        <w:rPr>
          <w:rStyle w:val="FootnoteReference"/>
          <w:szCs w:val="18"/>
        </w:rPr>
        <w:footnoteRef/>
      </w:r>
      <w:r w:rsidRPr="0055052C">
        <w:rPr>
          <w:color w:val="auto"/>
          <w:szCs w:val="18"/>
        </w:rPr>
        <w:t xml:space="preserve"> Sense polling of 1000 disabled people with complex needs in receipt of benefits conducted by Censuswide between 7 May and 16 May 2025.</w:t>
      </w:r>
    </w:p>
  </w:footnote>
  <w:footnote w:id="14">
    <w:p w:rsidR="005C3541" w:rsidRPr="0055052C" w:rsidP="00290BDF">
      <w:pPr>
        <w:pStyle w:val="FootnoteText"/>
        <w:rPr>
          <w:color w:val="auto"/>
          <w:szCs w:val="18"/>
        </w:rPr>
      </w:pPr>
      <w:r w:rsidRPr="00E06887">
        <w:rPr>
          <w:rStyle w:val="FootnoteReference"/>
          <w:szCs w:val="18"/>
        </w:rPr>
        <w:footnoteRef/>
      </w:r>
      <w:r w:rsidRPr="0055052C">
        <w:rPr>
          <w:color w:val="auto"/>
          <w:szCs w:val="18"/>
        </w:rPr>
        <w:t xml:space="preserve"> Sense polling of 1000 disabled people with complex needs in receipt of benefits conducted by Censuswide between 7 May and 16 May 2025.</w:t>
      </w:r>
    </w:p>
  </w:footnote>
  <w:footnote w:id="15">
    <w:p w:rsidR="005C3541" w:rsidRPr="0055052C" w:rsidP="00290BDF">
      <w:pPr>
        <w:pStyle w:val="FootnoteText"/>
        <w:rPr>
          <w:color w:val="auto"/>
          <w:szCs w:val="18"/>
        </w:rPr>
      </w:pPr>
      <w:r w:rsidRPr="00E06887">
        <w:rPr>
          <w:rStyle w:val="FootnoteReference"/>
          <w:szCs w:val="18"/>
        </w:rPr>
        <w:footnoteRef/>
      </w:r>
      <w:r w:rsidRPr="00E06887">
        <w:rPr>
          <w:color w:val="E57200" w:themeColor="accent2"/>
          <w:szCs w:val="18"/>
        </w:rPr>
        <w:t xml:space="preserve"> </w:t>
      </w:r>
      <w:r w:rsidRPr="0055052C">
        <w:rPr>
          <w:color w:val="auto"/>
          <w:szCs w:val="18"/>
        </w:rPr>
        <w:t>Sense polling of 1000 disabled people with complex needs in receipt of benefits conducted by Censuswide between 7 May and 16 May 2025.</w:t>
      </w:r>
    </w:p>
  </w:footnote>
  <w:footnote w:id="16">
    <w:p w:rsidR="005C3541" w:rsidRPr="0055052C" w:rsidP="00290BDF">
      <w:pPr>
        <w:pStyle w:val="FootnoteText"/>
        <w:rPr>
          <w:color w:val="auto"/>
          <w:szCs w:val="18"/>
        </w:rPr>
      </w:pPr>
      <w:r w:rsidRPr="00E06887">
        <w:rPr>
          <w:rStyle w:val="FootnoteReference"/>
          <w:szCs w:val="18"/>
        </w:rPr>
        <w:footnoteRef/>
      </w:r>
      <w:r w:rsidRPr="00E06887">
        <w:rPr>
          <w:color w:val="E57200" w:themeColor="accent2"/>
          <w:szCs w:val="18"/>
        </w:rPr>
        <w:t xml:space="preserve"> </w:t>
      </w:r>
      <w:r w:rsidRPr="0055052C">
        <w:rPr>
          <w:color w:val="auto"/>
          <w:szCs w:val="18"/>
        </w:rPr>
        <w:t>Sense polling of 1000 disabled people with complex needs in receipt of benefits conducted by Censuswide between 7 May and 16 May 2025.</w:t>
      </w:r>
    </w:p>
  </w:footnote>
  <w:footnote w:id="17">
    <w:p w:rsidR="005C3541" w:rsidRPr="00E06887" w:rsidP="00E06887">
      <w:pPr>
        <w:pStyle w:val="FootnoteText"/>
        <w:numPr>
          <w:ilvl w:val="0"/>
          <w:numId w:val="21"/>
        </w:numPr>
        <w:rPr>
          <w:b/>
          <w:bCs/>
          <w:color w:val="auto"/>
          <w:szCs w:val="18"/>
        </w:rPr>
      </w:pPr>
      <w:r w:rsidRPr="00E06887">
        <w:rPr>
          <w:rStyle w:val="FootnoteReference"/>
          <w:szCs w:val="18"/>
        </w:rPr>
        <w:footnoteRef/>
      </w:r>
      <w:r w:rsidRPr="0055052C">
        <w:rPr>
          <w:color w:val="auto"/>
          <w:szCs w:val="18"/>
        </w:rPr>
        <w:t xml:space="preserve"> </w:t>
      </w:r>
      <w:r>
        <w:rPr>
          <w:color w:val="auto"/>
          <w:szCs w:val="18"/>
        </w:rPr>
        <w:t xml:space="preserve">Sense, </w:t>
      </w:r>
      <w:r w:rsidRPr="006253A7">
        <w:rPr>
          <w:color w:val="auto"/>
          <w:szCs w:val="18"/>
        </w:rPr>
        <w:t>Research on the employment support available to people with complex disabilities</w:t>
      </w:r>
      <w:r w:rsidRPr="00E06887">
        <w:rPr>
          <w:color w:val="auto"/>
          <w:szCs w:val="18"/>
        </w:rPr>
        <w:t xml:space="preserve">, 2023, available at   </w:t>
      </w:r>
      <w:r>
        <w:fldChar w:fldCharType="begin"/>
      </w:r>
      <w:r>
        <w:instrText xml:space="preserve"> HYPERLINK "https://www.sense.org.uk/about-us/research/employment-support-for-people-with-complex-disabilities/full-research-report/" </w:instrText>
      </w:r>
      <w:r>
        <w:fldChar w:fldCharType="separate"/>
      </w:r>
      <w:r w:rsidRPr="00E06887">
        <w:rPr>
          <w:rStyle w:val="Hyperlink"/>
          <w:szCs w:val="18"/>
        </w:rPr>
        <w:t>https://www.sense.org.uk/about-us/research/employment-support-for-people-with-complex-disabilities/full-research-report/</w:t>
      </w:r>
      <w:r>
        <w:fldChar w:fldCharType="end"/>
      </w:r>
      <w:r w:rsidRPr="00E06887">
        <w:rPr>
          <w:color w:val="auto"/>
          <w:szCs w:val="18"/>
        </w:rPr>
        <w:t xml:space="preserve"> </w:t>
      </w:r>
      <w:r w:rsidRPr="00E06887">
        <w:rPr>
          <w:color w:val="auto"/>
          <w:szCs w:val="18"/>
        </w:rPr>
        <w:t xml:space="preserve"> </w:t>
      </w:r>
    </w:p>
  </w:footnote>
  <w:footnote w:id="18">
    <w:p w:rsidR="005C3541" w:rsidRPr="00E06887" w:rsidP="00E06887">
      <w:pPr>
        <w:pStyle w:val="FootnoteText"/>
        <w:numPr>
          <w:ilvl w:val="0"/>
          <w:numId w:val="21"/>
        </w:numPr>
        <w:rPr>
          <w:b/>
          <w:bCs/>
          <w:color w:val="auto"/>
          <w:szCs w:val="18"/>
        </w:rPr>
      </w:pPr>
      <w:r w:rsidRPr="00E06887">
        <w:rPr>
          <w:rStyle w:val="FootnoteReference"/>
          <w:szCs w:val="18"/>
        </w:rPr>
        <w:footnoteRef/>
      </w:r>
      <w:r w:rsidRPr="00E06887">
        <w:rPr>
          <w:color w:val="E57200" w:themeColor="accent2"/>
          <w:szCs w:val="18"/>
        </w:rPr>
        <w:t xml:space="preserve"> </w:t>
      </w:r>
      <w:r>
        <w:rPr>
          <w:color w:val="auto"/>
          <w:szCs w:val="18"/>
        </w:rPr>
        <w:t xml:space="preserve">Sense, </w:t>
      </w:r>
      <w:r w:rsidRPr="006253A7">
        <w:rPr>
          <w:color w:val="auto"/>
          <w:szCs w:val="18"/>
        </w:rPr>
        <w:t>Research on the employment support available to people with complex disabilities</w:t>
      </w:r>
      <w:r w:rsidRPr="00E06887">
        <w:rPr>
          <w:color w:val="auto"/>
          <w:szCs w:val="18"/>
        </w:rPr>
        <w:t xml:space="preserve">, 2023, available at   </w:t>
      </w:r>
      <w:r>
        <w:fldChar w:fldCharType="begin"/>
      </w:r>
      <w:r>
        <w:instrText xml:space="preserve"> HYPERLINK "https://www.sense.org.uk/about-us/research/employment-support-for-people-with-complex-disabilities/full-research-report/" </w:instrText>
      </w:r>
      <w:r>
        <w:fldChar w:fldCharType="separate"/>
      </w:r>
      <w:r w:rsidRPr="00E06887">
        <w:rPr>
          <w:rStyle w:val="Hyperlink"/>
          <w:szCs w:val="18"/>
        </w:rPr>
        <w:t>https://www.sense.org.uk/about-us/research/employment-support-for-people-with-complex-disabilities/full-research-report/</w:t>
      </w:r>
      <w:r>
        <w:fldChar w:fldCharType="end"/>
      </w:r>
      <w:r w:rsidRPr="00E06887">
        <w:rPr>
          <w:color w:val="auto"/>
          <w:szCs w:val="18"/>
        </w:rPr>
        <w:t xml:space="preserve">  </w:t>
      </w:r>
    </w:p>
  </w:footnote>
  <w:footnote w:id="19">
    <w:p w:rsidR="005C3541" w:rsidRPr="0042418C" w:rsidP="0042418C">
      <w:pPr>
        <w:numPr>
          <w:ilvl w:val="0"/>
          <w:numId w:val="21"/>
        </w:numPr>
        <w:spacing w:line="276" w:lineRule="auto"/>
        <w:rPr>
          <w:b/>
          <w:bCs/>
          <w:color w:val="E57200" w:themeColor="accent2"/>
          <w:sz w:val="18"/>
          <w:szCs w:val="18"/>
        </w:rPr>
      </w:pPr>
      <w:r w:rsidRPr="00E06887">
        <w:rPr>
          <w:rStyle w:val="FootnoteReference"/>
          <w:sz w:val="18"/>
          <w:szCs w:val="18"/>
        </w:rPr>
        <w:footnoteRef/>
      </w:r>
      <w:r>
        <w:rPr>
          <w:sz w:val="18"/>
          <w:szCs w:val="18"/>
        </w:rPr>
        <w:t xml:space="preserve"> </w:t>
      </w:r>
      <w:r w:rsidRPr="0042418C">
        <w:rPr>
          <w:sz w:val="18"/>
          <w:szCs w:val="18"/>
        </w:rPr>
        <w:t>Department for Work and Pensions, The employment of disabled people 2024,</w:t>
      </w:r>
      <w:r w:rsidRPr="0042418C">
        <w:rPr>
          <w:sz w:val="18"/>
          <w:szCs w:val="18"/>
        </w:rPr>
        <w:t xml:space="preserve"> available at: https://www.gov.uk/government/statistics/the-employment-of-disabled-people-2024/the-employment-of-disabled-people-2024#main-points</w:t>
      </w:r>
    </w:p>
  </w:footnote>
  <w:footnote w:id="20">
    <w:p w:rsidR="005C3541" w:rsidRPr="00967721" w:rsidP="00967721">
      <w:pPr>
        <w:pStyle w:val="FootnoteText"/>
        <w:numPr>
          <w:ilvl w:val="0"/>
          <w:numId w:val="21"/>
        </w:numPr>
        <w:rPr>
          <w:b/>
          <w:bCs/>
        </w:rPr>
      </w:pPr>
      <w:r>
        <w:rPr>
          <w:rStyle w:val="FootnoteReference"/>
        </w:rPr>
        <w:footnoteRef/>
      </w:r>
      <w:r>
        <w:t xml:space="preserve"> </w:t>
      </w:r>
      <w:r>
        <w:t xml:space="preserve">Department of Work and Pensions and Department for Business and Trads, </w:t>
      </w:r>
      <w:r w:rsidRPr="006253A7">
        <w:t>Keep Britain Working: Final report</w:t>
      </w:r>
      <w:r>
        <w:t xml:space="preserve">, November 2025, available at </w:t>
      </w:r>
    </w:p>
    <w:p w:rsidR="005C3541" w:rsidP="00CF1EF7">
      <w:pPr>
        <w:pStyle w:val="FootnoteText"/>
      </w:pPr>
      <w:r w:rsidRPr="0090434E">
        <w:t>https://www.gov.uk/government/publications/keep-britain-working-review-final-report/keep-britain-working-final-report</w:t>
      </w:r>
    </w:p>
  </w:footnote>
  <w:footnote w:id="21">
    <w:p w:rsidR="005C3541" w:rsidRPr="006253A7" w:rsidP="0043714C">
      <w:pPr>
        <w:pStyle w:val="FootnoteText"/>
        <w:numPr>
          <w:ilvl w:val="0"/>
          <w:numId w:val="21"/>
        </w:numPr>
      </w:pPr>
      <w:r>
        <w:rPr>
          <w:rStyle w:val="FootnoteReference"/>
        </w:rPr>
        <w:footnoteRef/>
      </w:r>
      <w:r>
        <w:t xml:space="preserve"> Department of Work and Pensions, Press Release:</w:t>
      </w:r>
      <w:r>
        <w:t xml:space="preserve"> </w:t>
      </w:r>
      <w:r w:rsidRPr="006253A7">
        <w:t>Expansion of support scheme to help thousands of people back into work</w:t>
      </w:r>
      <w:r>
        <w:t xml:space="preserve">, January 2026, available at </w:t>
      </w:r>
    </w:p>
    <w:p w:rsidR="005C3541" w:rsidP="00CF1EF7">
      <w:pPr>
        <w:pStyle w:val="FootnoteText"/>
      </w:pPr>
      <w:r w:rsidRPr="0090434E">
        <w:t>https://www.gov.uk/government/news/expansion-of-support-scheme-to-help-thousands-of-people-back-into-work</w:t>
      </w:r>
    </w:p>
  </w:footnote>
  <w:footnote w:id="22">
    <w:p w:rsidR="005C3541" w:rsidRPr="0055052C" w:rsidP="00CF1EF7">
      <w:pPr>
        <w:pStyle w:val="FootnoteText"/>
        <w:rPr>
          <w:color w:val="auto"/>
          <w:szCs w:val="18"/>
        </w:rPr>
      </w:pPr>
      <w:r w:rsidRPr="00A15015">
        <w:rPr>
          <w:rStyle w:val="FootnoteReference"/>
          <w:szCs w:val="18"/>
        </w:rPr>
        <w:footnoteRef/>
      </w:r>
      <w:r w:rsidRPr="0055052C">
        <w:rPr>
          <w:color w:val="auto"/>
          <w:szCs w:val="18"/>
        </w:rPr>
        <w:t xml:space="preserve"> Sense polling of 1000 disabled people with complex needs in receipt of benefits conducted by Censuswide between 7 May and 16 May 2025.</w:t>
      </w:r>
    </w:p>
  </w:footnote>
  <w:footnote w:id="23">
    <w:p w:rsidR="005C3541" w:rsidRPr="0055052C" w:rsidP="00CF1EF7">
      <w:pPr>
        <w:pStyle w:val="FootnoteText"/>
        <w:rPr>
          <w:color w:val="auto"/>
          <w:szCs w:val="18"/>
        </w:rPr>
      </w:pPr>
      <w:r w:rsidRPr="00CC6491">
        <w:rPr>
          <w:rStyle w:val="FootnoteReference"/>
          <w:szCs w:val="18"/>
        </w:rPr>
        <w:footnoteRef/>
      </w:r>
      <w:r w:rsidRPr="00CC6491">
        <w:rPr>
          <w:color w:val="E57200" w:themeColor="accent2"/>
          <w:szCs w:val="18"/>
        </w:rPr>
        <w:t xml:space="preserve"> </w:t>
      </w:r>
      <w:r w:rsidRPr="0055052C">
        <w:rPr>
          <w:color w:val="auto"/>
          <w:szCs w:val="18"/>
        </w:rPr>
        <w:t>Sense polling of 1000 disabled people with complex needs in receipt of benefits conducted by Censuswide between 7 May and 16 May 2025.</w:t>
      </w:r>
      <w:r>
        <w:rPr>
          <w:color w:val="auto"/>
          <w:szCs w:val="18"/>
        </w:rPr>
        <w:t xml:space="preserve"> </w:t>
      </w:r>
    </w:p>
  </w:footnote>
  <w:footnote w:id="24">
    <w:p w:rsidR="005C3541" w:rsidRPr="00C943D9" w:rsidP="00C943D9">
      <w:pPr>
        <w:pStyle w:val="FootnoteText"/>
        <w:ind w:left="0" w:firstLine="0"/>
        <w:rPr>
          <w:b/>
          <w:bCs/>
          <w:color w:val="auto"/>
          <w:szCs w:val="18"/>
        </w:rPr>
      </w:pPr>
      <w:r>
        <w:rPr>
          <w:rStyle w:val="FootnoteReference"/>
        </w:rPr>
        <w:footnoteRef/>
      </w:r>
      <w:r>
        <w:rPr>
          <w:color w:val="auto"/>
          <w:szCs w:val="18"/>
        </w:rPr>
        <w:t xml:space="preserve"> </w:t>
      </w:r>
      <w:r>
        <w:rPr>
          <w:color w:val="auto"/>
          <w:szCs w:val="18"/>
        </w:rPr>
        <w:t xml:space="preserve">Sense, </w:t>
      </w:r>
      <w:r w:rsidRPr="004D065A">
        <w:rPr>
          <w:color w:val="auto"/>
          <w:szCs w:val="18"/>
        </w:rPr>
        <w:t>Research on the employment support available to people with complex disabilities</w:t>
      </w:r>
      <w:r>
        <w:rPr>
          <w:b/>
          <w:bCs/>
          <w:color w:val="auto"/>
          <w:szCs w:val="18"/>
        </w:rPr>
        <w:t xml:space="preserve">, </w:t>
      </w:r>
      <w:r>
        <w:rPr>
          <w:color w:val="auto"/>
          <w:szCs w:val="18"/>
        </w:rPr>
        <w:t xml:space="preserve">2023, available at   </w:t>
      </w:r>
      <w:r>
        <w:fldChar w:fldCharType="begin"/>
      </w:r>
      <w:r>
        <w:instrText xml:space="preserve"> HYPERLINK "https://www.sense.org.uk/about-us/research/employment-support-for-people-with-complex-disabilities/full-research-report/" </w:instrText>
      </w:r>
      <w:r>
        <w:fldChar w:fldCharType="separate"/>
      </w:r>
      <w:r w:rsidRPr="001A7B21">
        <w:rPr>
          <w:rStyle w:val="Hyperlink"/>
          <w:szCs w:val="18"/>
        </w:rPr>
        <w:t>https://www.sense.org.uk/about-us/research/employment-support-for-people-with-complex-disabilities/full-research-report/</w:t>
      </w:r>
      <w:r>
        <w:fldChar w:fldCharType="end"/>
      </w:r>
    </w:p>
  </w:footnote>
  <w:footnote w:id="25">
    <w:p w:rsidR="005C3541" w:rsidRPr="0055052C" w:rsidP="00174095">
      <w:pPr>
        <w:pStyle w:val="FootnoteText"/>
        <w:rPr>
          <w:color w:val="auto"/>
          <w:szCs w:val="18"/>
        </w:rPr>
      </w:pPr>
      <w:r w:rsidRPr="00CC6491">
        <w:rPr>
          <w:rStyle w:val="FootnoteReference"/>
          <w:szCs w:val="18"/>
        </w:rPr>
        <w:footnoteRef/>
      </w:r>
      <w:r w:rsidRPr="0055052C">
        <w:rPr>
          <w:color w:val="auto"/>
          <w:szCs w:val="18"/>
        </w:rPr>
        <w:t xml:space="preserve"> Sense polling of 1000 disabled people with complex needs in receipt of benefits conducted by Censuswide between 7 May and 16 May 2025.</w:t>
      </w:r>
    </w:p>
  </w:footnote>
  <w:footnote w:id="26">
    <w:p w:rsidR="005C3541">
      <w:pPr>
        <w:pStyle w:val="FootnoteText"/>
      </w:pPr>
      <w:r>
        <w:rPr>
          <w:rStyle w:val="FootnoteReference"/>
        </w:rPr>
        <w:footnoteRef/>
      </w:r>
      <w:r>
        <w:t xml:space="preserve"> </w:t>
      </w:r>
      <w:r>
        <w:t>Kids</w:t>
      </w:r>
      <w:r>
        <w:t xml:space="preserve">, On </w:t>
      </w:r>
      <w:r>
        <w:t>t</w:t>
      </w:r>
      <w:r>
        <w:t xml:space="preserve">he </w:t>
      </w:r>
      <w:r>
        <w:t>c</w:t>
      </w:r>
      <w:r>
        <w:t xml:space="preserve">liff </w:t>
      </w:r>
      <w:r>
        <w:t>e</w:t>
      </w:r>
      <w:r>
        <w:t xml:space="preserve">dge, </w:t>
      </w:r>
      <w:r>
        <w:t>2024</w:t>
      </w:r>
      <w:r>
        <w:t>, available at:</w:t>
      </w:r>
      <w:r>
        <w:t xml:space="preserve"> </w:t>
      </w:r>
      <w:r w:rsidRPr="00A82050">
        <w:t>https://www.kids.org.uk/on-the-cliff-edge-report/</w:t>
      </w:r>
    </w:p>
  </w:footnote>
  <w:footnote w:id="27">
    <w:p w:rsidR="005C3541">
      <w:pPr>
        <w:pStyle w:val="FootnoteText"/>
      </w:pPr>
      <w:r>
        <w:rPr>
          <w:rStyle w:val="FootnoteReference"/>
        </w:rPr>
        <w:footnoteRef/>
      </w:r>
      <w:r>
        <w:t xml:space="preserve"> Together Trust, </w:t>
      </w:r>
      <w:r w:rsidRPr="004F2E5A">
        <w:t>What comes after education? Transitions to adulthood for disabled young people</w:t>
      </w:r>
      <w:r>
        <w:t xml:space="preserve">, </w:t>
      </w:r>
      <w:r>
        <w:t xml:space="preserve">2025, </w:t>
      </w:r>
      <w:r>
        <w:fldChar w:fldCharType="begin"/>
      </w:r>
      <w:r>
        <w:instrText xml:space="preserve"> HYPERLINK "https://www.togethertrust.org.uk/sites/default/files/Transitions%20report%20-%20digital.pdf" </w:instrText>
      </w:r>
      <w:r>
        <w:fldChar w:fldCharType="separate"/>
      </w:r>
      <w:r w:rsidRPr="00666491">
        <w:rPr>
          <w:rStyle w:val="Hyperlink"/>
        </w:rPr>
        <w:t>https://www.togethertrust.org.uk/sites/default/files/Transitions%20report%20-%20digital.pdf</w:t>
      </w:r>
      <w:r>
        <w:fldChar w:fldCharType="end"/>
      </w:r>
    </w:p>
  </w:footnote>
  <w:footnote w:id="28">
    <w:p w:rsidR="005C3541" w:rsidP="009C0B13">
      <w:pPr>
        <w:pStyle w:val="FootnoteText"/>
      </w:pPr>
      <w:r>
        <w:rPr>
          <w:rStyle w:val="FootnoteReference"/>
        </w:rPr>
        <w:footnoteRef/>
      </w:r>
      <w:r>
        <w:t xml:space="preserve"> </w:t>
      </w:r>
      <w:r w:rsidRPr="0055052C">
        <w:rPr>
          <w:color w:val="auto"/>
          <w:szCs w:val="18"/>
        </w:rPr>
        <w:t>Sense polling of 1000 disabled people with complex needs in receipt of benefits conducted by Censuswide between 7 May and 16 May 2025.</w:t>
      </w:r>
    </w:p>
  </w:footnote>
  <w:footnote w:id="29">
    <w:p w:rsidR="005C3541" w:rsidP="008F4F3F">
      <w:pPr>
        <w:pStyle w:val="FootnoteText"/>
      </w:pPr>
      <w:r>
        <w:rPr>
          <w:rStyle w:val="FootnoteReference"/>
        </w:rPr>
        <w:footnoteRef/>
      </w:r>
      <w:r>
        <w:t xml:space="preserve"> </w:t>
      </w:r>
      <w:r w:rsidRPr="0055052C">
        <w:rPr>
          <w:color w:val="auto"/>
          <w:szCs w:val="18"/>
        </w:rPr>
        <w:t>Sense polling of 1000 disabled people with complex needs in receipt of benefits conducted by Censuswide between 7 May and 16 May 2025.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5395D"/>
    <w:multiLevelType w:val="hybridMultilevel"/>
    <w:tmpl w:val="5EC40888"/>
    <w:lvl w:ilvl="0">
      <w:start w:val="0"/>
      <w:numFmt w:val="bullet"/>
      <w:lvlText w:val="-"/>
      <w:lvlJc w:val="left"/>
      <w:pPr>
        <w:ind w:left="720" w:hanging="36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97199"/>
    <w:multiLevelType w:val="multilevel"/>
    <w:tmpl w:val="7BC4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3">
    <w:nsid w:val="14F935F8"/>
    <w:multiLevelType w:val="multilevel"/>
    <w:tmpl w:val="6B10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25616E"/>
    <w:multiLevelType w:val="multilevel"/>
    <w:tmpl w:val="F91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177925"/>
    <w:multiLevelType w:val="multilevel"/>
    <w:tmpl w:val="CACA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A8199B"/>
    <w:multiLevelType w:val="multilevel"/>
    <w:tmpl w:val="1C26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160F6B"/>
    <w:multiLevelType w:val="multilevel"/>
    <w:tmpl w:val="48C29B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5B7542"/>
    <w:multiLevelType w:val="multilevel"/>
    <w:tmpl w:val="87CC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2A5F6C"/>
    <w:multiLevelType w:val="multilevel"/>
    <w:tmpl w:val="FF74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6171DC"/>
    <w:multiLevelType w:val="multilevel"/>
    <w:tmpl w:val="87FE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D13B67"/>
    <w:multiLevelType w:val="multilevel"/>
    <w:tmpl w:val="0C52EEA2"/>
    <w:lvl w:ilvl="0">
      <w:start w:val="1"/>
      <w:numFmt w:val="none"/>
      <w:isLgl/>
      <w:suff w:val="space"/>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Jc w:val="left"/>
      <w:pPr>
        <w:tabs>
          <w:tab w:val="num" w:pos="0"/>
        </w:tabs>
        <w:ind w:left="0" w:firstLine="0"/>
      </w:pPr>
      <w:rPr>
        <w:rFonts w:hint="default"/>
      </w:rPr>
    </w:lvl>
    <w:lvl w:ilvl="4">
      <w:start w:val="1"/>
      <w:numFmt w:val="none"/>
      <w:lvlJc w:val="left"/>
      <w:pPr>
        <w:ind w:left="0" w:firstLine="0"/>
      </w:pPr>
      <w:rPr>
        <w:rFonts w:asciiTheme="majorHAnsi" w:hAnsiTheme="majorHAnsi" w:hint="default"/>
      </w:rPr>
    </w:lvl>
    <w:lvl w:ilvl="5">
      <w:start w:val="1"/>
      <w:numFmt w:val="none"/>
      <w:lvlJc w:val="left"/>
      <w:pPr>
        <w:ind w:left="0" w:firstLine="0"/>
      </w:pPr>
      <w:rPr>
        <w:rFonts w:asciiTheme="majorHAnsi" w:hAnsiTheme="majorHAnsi" w:hint="default"/>
      </w:rPr>
    </w:lvl>
    <w:lvl w:ilvl="6">
      <w:start w:val="1"/>
      <w:numFmt w:val="none"/>
      <w:lvlJc w:val="left"/>
      <w:pPr>
        <w:ind w:left="0" w:firstLine="0"/>
      </w:pPr>
      <w:rPr>
        <w:rFonts w:asciiTheme="majorHAnsi" w:hAnsiTheme="majorHAnsi" w:hint="default"/>
      </w:rPr>
    </w:lvl>
    <w:lvl w:ilvl="7">
      <w:start w:val="1"/>
      <w:numFmt w:val="none"/>
      <w:lvlJc w:val="left"/>
      <w:pPr>
        <w:ind w:left="0" w:firstLine="0"/>
      </w:pPr>
      <w:rPr>
        <w:rFonts w:asciiTheme="majorHAnsi" w:hAnsiTheme="majorHAnsi" w:hint="default"/>
      </w:rPr>
    </w:lvl>
    <w:lvl w:ilvl="8">
      <w:start w:val="1"/>
      <w:numFmt w:val="none"/>
      <w:lvlJc w:val="left"/>
      <w:pPr>
        <w:ind w:left="0" w:firstLine="0"/>
      </w:pPr>
      <w:rPr>
        <w:rFonts w:asciiTheme="majorHAnsi" w:hAnsiTheme="majorHAnsi" w:hint="default"/>
      </w:rPr>
    </w:lvl>
  </w:abstractNum>
  <w:abstractNum w:abstractNumId="12">
    <w:nsid w:val="280876C5"/>
    <w:multiLevelType w:val="multilevel"/>
    <w:tmpl w:val="FAF67472"/>
    <w:lvl w:ilvl="0">
      <w:start w:val="1"/>
      <w:numFmt w:val="decimal"/>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Jc w:val="left"/>
      <w:pPr>
        <w:tabs>
          <w:tab w:val="num" w:pos="0"/>
        </w:tabs>
        <w:ind w:left="0" w:firstLine="0"/>
      </w:pPr>
      <w:rPr>
        <w:rFonts w:hint="default"/>
      </w:rPr>
    </w:lvl>
    <w:lvl w:ilvl="4">
      <w:start w:val="1"/>
      <w:numFmt w:val="none"/>
      <w:lvlJc w:val="left"/>
      <w:pPr>
        <w:ind w:left="0" w:firstLine="0"/>
      </w:pPr>
      <w:rPr>
        <w:rFonts w:asciiTheme="majorHAnsi" w:hAnsiTheme="majorHAnsi" w:hint="default"/>
      </w:rPr>
    </w:lvl>
    <w:lvl w:ilvl="5">
      <w:start w:val="1"/>
      <w:numFmt w:val="none"/>
      <w:lvlJc w:val="left"/>
      <w:pPr>
        <w:ind w:left="0" w:firstLine="0"/>
      </w:pPr>
      <w:rPr>
        <w:rFonts w:asciiTheme="majorHAnsi" w:hAnsiTheme="majorHAnsi" w:hint="default"/>
      </w:rPr>
    </w:lvl>
    <w:lvl w:ilvl="6">
      <w:start w:val="1"/>
      <w:numFmt w:val="none"/>
      <w:lvlJc w:val="left"/>
      <w:pPr>
        <w:ind w:left="0" w:firstLine="0"/>
      </w:pPr>
      <w:rPr>
        <w:rFonts w:asciiTheme="majorHAnsi" w:hAnsiTheme="majorHAnsi" w:hint="default"/>
      </w:rPr>
    </w:lvl>
    <w:lvl w:ilvl="7">
      <w:start w:val="1"/>
      <w:numFmt w:val="none"/>
      <w:lvlJc w:val="left"/>
      <w:pPr>
        <w:ind w:left="0" w:firstLine="0"/>
      </w:pPr>
      <w:rPr>
        <w:rFonts w:asciiTheme="majorHAnsi" w:hAnsiTheme="majorHAnsi" w:hint="default"/>
      </w:rPr>
    </w:lvl>
    <w:lvl w:ilvl="8">
      <w:start w:val="1"/>
      <w:numFmt w:val="none"/>
      <w:lvlJc w:val="left"/>
      <w:pPr>
        <w:ind w:left="0" w:firstLine="0"/>
      </w:pPr>
      <w:rPr>
        <w:rFonts w:asciiTheme="majorHAnsi" w:hAnsiTheme="majorHAnsi" w:hint="default"/>
      </w:rPr>
    </w:lvl>
  </w:abstractNum>
  <w:abstractNum w:abstractNumId="13">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4">
    <w:nsid w:val="303357B3"/>
    <w:multiLevelType w:val="multilevel"/>
    <w:tmpl w:val="4A66ACEE"/>
    <w:lvl w:ilvl="0">
      <w:start w:val="0"/>
      <w:numFmt w:val="bullet"/>
      <w:lvlText w:val=""/>
      <w:lvlJc w:val="left"/>
      <w:pPr>
        <w:tabs>
          <w:tab w:val="num" w:pos="340"/>
        </w:tabs>
        <w:ind w:left="340" w:hanging="340"/>
      </w:pPr>
      <w:rPr>
        <w:rFonts w:ascii="Symbol" w:hAnsi="Symbol" w:hint="default"/>
        <w:b/>
        <w:i w:val="0"/>
        <w:color w:val="E57200" w:themeColor="accent2"/>
      </w:rPr>
    </w:lvl>
    <w:lvl w:ilvl="1">
      <w:start w:val="0"/>
      <w:numFmt w:val="bullet"/>
      <w:lvlText w:val="–"/>
      <w:lvlJc w:val="left"/>
      <w:pPr>
        <w:tabs>
          <w:tab w:val="num" w:pos="680"/>
        </w:tabs>
        <w:ind w:left="680" w:hanging="340"/>
      </w:pPr>
      <w:rPr>
        <w:rFonts w:hint="default"/>
        <w:b/>
        <w:i w:val="0"/>
        <w:color w:val="E57200" w:themeColor="accent2"/>
      </w:rPr>
    </w:lvl>
    <w:lvl w:ilvl="2">
      <w:start w:val="0"/>
      <w:numFmt w:val="bullet"/>
      <w:lvlText w:val="–"/>
      <w:lvlJc w:val="left"/>
      <w:pPr>
        <w:tabs>
          <w:tab w:val="num" w:pos="1021"/>
        </w:tabs>
        <w:ind w:left="1021" w:hanging="341"/>
      </w:pPr>
      <w:rPr>
        <w:rFonts w:hint="default"/>
        <w:b/>
        <w:i w:val="0"/>
        <w:color w:val="E57200" w:themeColor="accent2"/>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5">
    <w:nsid w:val="34C10682"/>
    <w:multiLevelType w:val="hybridMultilevel"/>
    <w:tmpl w:val="3CE48854"/>
    <w:lvl w:ilvl="0">
      <w:start w:val="13"/>
      <w:numFmt w:val="bullet"/>
      <w:lvlText w:val="-"/>
      <w:lvlJc w:val="left"/>
      <w:pPr>
        <w:ind w:left="720" w:hanging="360"/>
      </w:pPr>
      <w:rPr>
        <w:rFonts w:ascii="Arial" w:hAnsi="Arial" w:eastAsiaTheme="minorEastAsia"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09694A"/>
    <w:multiLevelType w:val="multilevel"/>
    <w:tmpl w:val="2ED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D605F47"/>
    <w:multiLevelType w:val="multilevel"/>
    <w:tmpl w:val="02FE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9">
    <w:nsid w:val="4055514A"/>
    <w:multiLevelType w:val="multilevel"/>
    <w:tmpl w:val="B0E2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404381"/>
    <w:multiLevelType w:val="multilevel"/>
    <w:tmpl w:val="D970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835BAC"/>
    <w:multiLevelType w:val="multilevel"/>
    <w:tmpl w:val="29E6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0744BE"/>
    <w:multiLevelType w:val="multilevel"/>
    <w:tmpl w:val="F274DB54"/>
    <w:lvl w:ilvl="0">
      <w:start w:val="0"/>
      <w:numFmt w:val="bullet"/>
      <w:pStyle w:val="Bullet1"/>
      <w:lvlText w:val=""/>
      <w:lvlJc w:val="left"/>
      <w:pPr>
        <w:tabs>
          <w:tab w:val="num" w:pos="340"/>
        </w:tabs>
        <w:ind w:left="340" w:hanging="340"/>
      </w:pPr>
      <w:rPr>
        <w:rFonts w:ascii="Symbol" w:hAnsi="Symbol" w:hint="default"/>
        <w:b/>
        <w:i w:val="0"/>
        <w:color w:val="E57200" w:themeColor="accent2"/>
      </w:rPr>
    </w:lvl>
    <w:lvl w:ilvl="1">
      <w:start w:val="0"/>
      <w:numFmt w:val="bullet"/>
      <w:pStyle w:val="Bullet2"/>
      <w:lvlText w:val="–"/>
      <w:lvlJc w:val="left"/>
      <w:pPr>
        <w:tabs>
          <w:tab w:val="num" w:pos="680"/>
        </w:tabs>
        <w:ind w:left="680" w:hanging="340"/>
      </w:pPr>
      <w:rPr>
        <w:rFonts w:hint="default"/>
        <w:b/>
        <w:i w:val="0"/>
        <w:color w:val="E57200" w:themeColor="accent2"/>
      </w:rPr>
    </w:lvl>
    <w:lvl w:ilvl="2">
      <w:start w:val="0"/>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3">
    <w:nsid w:val="4A5863C9"/>
    <w:multiLevelType w:val="multilevel"/>
    <w:tmpl w:val="B690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CD24ED3"/>
    <w:multiLevelType w:val="multilevel"/>
    <w:tmpl w:val="46B023C6"/>
    <w:lvl w:ilvl="0">
      <w:start w:val="1"/>
      <w:numFmt w:val="decimal"/>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Jc w:val="left"/>
      <w:pPr>
        <w:ind w:left="0" w:firstLine="0"/>
      </w:pPr>
      <w:rPr>
        <w:rFonts w:asciiTheme="majorHAnsi" w:hAnsiTheme="majorHAnsi" w:hint="default"/>
      </w:rPr>
    </w:lvl>
    <w:lvl w:ilvl="5">
      <w:start w:val="1"/>
      <w:numFmt w:val="none"/>
      <w:lvlJc w:val="left"/>
      <w:pPr>
        <w:ind w:left="0" w:firstLine="0"/>
      </w:pPr>
      <w:rPr>
        <w:rFonts w:asciiTheme="majorHAnsi" w:hAnsiTheme="majorHAnsi" w:hint="default"/>
      </w:rPr>
    </w:lvl>
    <w:lvl w:ilvl="6">
      <w:start w:val="1"/>
      <w:numFmt w:val="none"/>
      <w:lvlJc w:val="left"/>
      <w:pPr>
        <w:ind w:left="0" w:firstLine="0"/>
      </w:pPr>
      <w:rPr>
        <w:rFonts w:asciiTheme="majorHAnsi" w:hAnsiTheme="majorHAnsi" w:hint="default"/>
      </w:rPr>
    </w:lvl>
    <w:lvl w:ilvl="7">
      <w:start w:val="1"/>
      <w:numFmt w:val="none"/>
      <w:lvlJc w:val="left"/>
      <w:pPr>
        <w:ind w:left="0" w:firstLine="0"/>
      </w:pPr>
      <w:rPr>
        <w:rFonts w:asciiTheme="majorHAnsi" w:hAnsiTheme="majorHAnsi" w:hint="default"/>
      </w:rPr>
    </w:lvl>
    <w:lvl w:ilvl="8">
      <w:start w:val="1"/>
      <w:numFmt w:val="none"/>
      <w:lvlJc w:val="left"/>
      <w:pPr>
        <w:ind w:left="0" w:firstLine="0"/>
      </w:pPr>
      <w:rPr>
        <w:rFonts w:asciiTheme="majorHAnsi" w:hAnsiTheme="majorHAnsi" w:hint="default"/>
      </w:rPr>
    </w:lvl>
  </w:abstractNum>
  <w:abstractNum w:abstractNumId="25">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Jc w:val="left"/>
      <w:pPr>
        <w:ind w:left="0" w:firstLine="0"/>
      </w:pPr>
      <w:rPr>
        <w:rFonts w:hint="default"/>
      </w:rPr>
    </w:lvl>
  </w:abstractNum>
  <w:abstractNum w:abstractNumId="26">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Jc w:val="left"/>
      <w:pPr>
        <w:ind w:left="0" w:firstLine="0"/>
      </w:pPr>
      <w:rPr>
        <w:rFonts w:hint="default"/>
      </w:rPr>
    </w:lvl>
  </w:abstractNum>
  <w:abstractNum w:abstractNumId="27">
    <w:nsid w:val="54CF620D"/>
    <w:multiLevelType w:val="multilevel"/>
    <w:tmpl w:val="6B66B10A"/>
    <w:lvl w:ilvl="0">
      <w:start w:val="1"/>
      <w:numFmt w:val="none"/>
      <w:pStyle w:val="Heading1"/>
      <w:isLgl/>
      <w:suff w:val="nothing"/>
      <w:lvlJc w:val="left"/>
      <w:pPr>
        <w:ind w:left="0" w:firstLine="0"/>
      </w:pPr>
      <w:rPr>
        <w:rFonts w:hint="default"/>
      </w:rPr>
    </w:lvl>
    <w:lvl w:ilvl="1">
      <w:start w:val="1"/>
      <w:numFmt w:val="none"/>
      <w:pStyle w:val="Heading2"/>
      <w:isLgl/>
      <w:suff w:val="nothing"/>
      <w:lvlJc w:val="left"/>
      <w:pPr>
        <w:ind w:left="0" w:firstLine="0"/>
      </w:pPr>
      <w:rPr>
        <w:rFonts w:hint="default"/>
      </w:rPr>
    </w:lvl>
    <w:lvl w:ilvl="2">
      <w:start w:val="1"/>
      <w:numFmt w:val="none"/>
      <w:pStyle w:val="Heading3"/>
      <w:isLgl/>
      <w:suff w:val="nothing"/>
      <w:lvlJc w:val="left"/>
      <w:pPr>
        <w:ind w:left="0" w:firstLine="0"/>
      </w:pPr>
      <w:rPr>
        <w:rFonts w:hint="default"/>
      </w:rPr>
    </w:lvl>
    <w:lvl w:ilvl="3">
      <w:start w:val="1"/>
      <w:numFmt w:val="none"/>
      <w:isLgl/>
      <w:lvlJc w:val="left"/>
      <w:pPr>
        <w:tabs>
          <w:tab w:val="num" w:pos="0"/>
        </w:tabs>
        <w:ind w:left="0" w:firstLine="0"/>
      </w:pPr>
      <w:rPr>
        <w:rFonts w:hint="default"/>
      </w:rPr>
    </w:lvl>
    <w:lvl w:ilvl="4">
      <w:start w:val="1"/>
      <w:numFmt w:val="none"/>
      <w:lvlJc w:val="left"/>
      <w:pPr>
        <w:ind w:left="0" w:firstLine="0"/>
      </w:pPr>
      <w:rPr>
        <w:rFonts w:asciiTheme="majorHAnsi" w:hAnsiTheme="majorHAnsi" w:hint="default"/>
      </w:rPr>
    </w:lvl>
    <w:lvl w:ilvl="5">
      <w:start w:val="1"/>
      <w:numFmt w:val="none"/>
      <w:lvlJc w:val="left"/>
      <w:pPr>
        <w:ind w:left="0" w:firstLine="0"/>
      </w:pPr>
      <w:rPr>
        <w:rFonts w:asciiTheme="majorHAnsi" w:hAnsiTheme="majorHAnsi" w:hint="default"/>
      </w:rPr>
    </w:lvl>
    <w:lvl w:ilvl="6">
      <w:start w:val="1"/>
      <w:numFmt w:val="none"/>
      <w:lvlJc w:val="left"/>
      <w:pPr>
        <w:ind w:left="0" w:firstLine="0"/>
      </w:pPr>
      <w:rPr>
        <w:rFonts w:asciiTheme="majorHAnsi" w:hAnsiTheme="majorHAnsi" w:hint="default"/>
      </w:rPr>
    </w:lvl>
    <w:lvl w:ilvl="7">
      <w:start w:val="1"/>
      <w:numFmt w:val="none"/>
      <w:lvlJc w:val="left"/>
      <w:pPr>
        <w:ind w:left="0" w:firstLine="0"/>
      </w:pPr>
      <w:rPr>
        <w:rFonts w:asciiTheme="majorHAnsi" w:hAnsiTheme="majorHAnsi" w:hint="default"/>
      </w:rPr>
    </w:lvl>
    <w:lvl w:ilvl="8">
      <w:start w:val="1"/>
      <w:numFmt w:val="none"/>
      <w:lvlJc w:val="left"/>
      <w:pPr>
        <w:ind w:left="0" w:firstLine="0"/>
      </w:pPr>
      <w:rPr>
        <w:rFonts w:asciiTheme="majorHAnsi" w:hAnsiTheme="majorHAnsi" w:hint="default"/>
      </w:rPr>
    </w:lvl>
  </w:abstractNum>
  <w:abstractNum w:abstractNumId="28">
    <w:nsid w:val="55DA5536"/>
    <w:multiLevelType w:val="multilevel"/>
    <w:tmpl w:val="854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F3B2E54"/>
    <w:multiLevelType w:val="multilevel"/>
    <w:tmpl w:val="73C24F9A"/>
    <w:lvl w:ilvl="0">
      <w:start w:val="0"/>
      <w:numFmt w:val="bullet"/>
      <w:lvlText w:val=""/>
      <w:lvlJc w:val="left"/>
      <w:pPr>
        <w:tabs>
          <w:tab w:val="num" w:pos="340"/>
        </w:tabs>
        <w:ind w:left="340" w:hanging="340"/>
      </w:pPr>
      <w:rPr>
        <w:rFonts w:ascii="Symbol" w:hAnsi="Symbol" w:hint="default"/>
        <w:color w:val="E57200" w:themeColor="accent2"/>
      </w:rPr>
    </w:lvl>
    <w:lvl w:ilvl="1">
      <w:start w:val="0"/>
      <w:numFmt w:val="bullet"/>
      <w:lvlText w:val="–"/>
      <w:lvlJc w:val="left"/>
      <w:pPr>
        <w:tabs>
          <w:tab w:val="num" w:pos="680"/>
        </w:tabs>
        <w:ind w:left="680" w:hanging="340"/>
      </w:pPr>
      <w:rPr>
        <w:rFonts w:hint="default"/>
        <w:color w:val="E57200" w:themeColor="accent2"/>
      </w:rPr>
    </w:lvl>
    <w:lvl w:ilvl="2">
      <w:start w:val="0"/>
      <w:numFmt w:val="bullet"/>
      <w:lvlText w:val="–"/>
      <w:lvlJc w:val="left"/>
      <w:pPr>
        <w:tabs>
          <w:tab w:val="num" w:pos="1021"/>
        </w:tabs>
        <w:ind w:left="1021" w:hanging="341"/>
      </w:pPr>
      <w:rPr>
        <w:rFonts w:hint="default"/>
        <w:color w:val="E57200" w:themeColor="accent2"/>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30">
    <w:nsid w:val="61F07E4A"/>
    <w:multiLevelType w:val="multilevel"/>
    <w:tmpl w:val="497A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B975CB5"/>
    <w:multiLevelType w:val="multilevel"/>
    <w:tmpl w:val="46B023C6"/>
    <w:lvl w:ilvl="0">
      <w:start w:val="1"/>
      <w:numFmt w:val="decimal"/>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Jc w:val="left"/>
      <w:pPr>
        <w:ind w:left="0" w:firstLine="0"/>
      </w:pPr>
      <w:rPr>
        <w:rFonts w:asciiTheme="majorHAnsi" w:hAnsiTheme="majorHAnsi" w:hint="default"/>
      </w:rPr>
    </w:lvl>
    <w:lvl w:ilvl="5">
      <w:start w:val="1"/>
      <w:numFmt w:val="none"/>
      <w:lvlJc w:val="left"/>
      <w:pPr>
        <w:ind w:left="0" w:firstLine="0"/>
      </w:pPr>
      <w:rPr>
        <w:rFonts w:asciiTheme="majorHAnsi" w:hAnsiTheme="majorHAnsi" w:hint="default"/>
      </w:rPr>
    </w:lvl>
    <w:lvl w:ilvl="6">
      <w:start w:val="1"/>
      <w:numFmt w:val="none"/>
      <w:lvlJc w:val="left"/>
      <w:pPr>
        <w:ind w:left="0" w:firstLine="0"/>
      </w:pPr>
      <w:rPr>
        <w:rFonts w:asciiTheme="majorHAnsi" w:hAnsiTheme="majorHAnsi" w:hint="default"/>
      </w:rPr>
    </w:lvl>
    <w:lvl w:ilvl="7">
      <w:start w:val="1"/>
      <w:numFmt w:val="none"/>
      <w:lvlJc w:val="left"/>
      <w:pPr>
        <w:ind w:left="0" w:firstLine="0"/>
      </w:pPr>
      <w:rPr>
        <w:rFonts w:asciiTheme="majorHAnsi" w:hAnsiTheme="majorHAnsi" w:hint="default"/>
      </w:rPr>
    </w:lvl>
    <w:lvl w:ilvl="8">
      <w:start w:val="1"/>
      <w:numFmt w:val="none"/>
      <w:lvlJc w:val="left"/>
      <w:pPr>
        <w:ind w:left="0" w:firstLine="0"/>
      </w:pPr>
      <w:rPr>
        <w:rFonts w:asciiTheme="majorHAnsi" w:hAnsiTheme="majorHAnsi" w:hint="default"/>
      </w:rPr>
    </w:lvl>
  </w:abstractNum>
  <w:abstractNum w:abstractNumId="32">
    <w:nsid w:val="6CD858B7"/>
    <w:multiLevelType w:val="hybridMultilevel"/>
    <w:tmpl w:val="C0A868A0"/>
    <w:lvl w:ilvl="0">
      <w:start w:val="1"/>
      <w:numFmt w:val="bullet"/>
      <w:pStyle w:val="KeyMessageBoxBullet"/>
      <w:lvlText w:val=""/>
      <w:lvlJc w:val="left"/>
      <w:pPr>
        <w:ind w:left="720" w:hanging="360"/>
      </w:pPr>
      <w:rPr>
        <w:rFonts w:ascii="Wingdings 2" w:hAnsi="Wingdings 2" w:hint="default"/>
        <w:color w:val="65327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102E64"/>
    <w:multiLevelType w:val="multilevel"/>
    <w:tmpl w:val="8F58A53C"/>
    <w:lvl w:ilvl="0">
      <w:start w:val="0"/>
      <w:numFmt w:val="bullet"/>
      <w:lvlText w:val=""/>
      <w:lvlJc w:val="left"/>
      <w:pPr>
        <w:tabs>
          <w:tab w:val="num" w:pos="340"/>
        </w:tabs>
        <w:ind w:left="340" w:hanging="340"/>
      </w:pPr>
      <w:rPr>
        <w:rFonts w:ascii="Symbol" w:hAnsi="Symbol" w:hint="default"/>
        <w:b/>
        <w:i w:val="0"/>
        <w:color w:val="E57200" w:themeColor="accent2"/>
      </w:rPr>
    </w:lvl>
    <w:lvl w:ilvl="1">
      <w:start w:val="0"/>
      <w:numFmt w:val="bullet"/>
      <w:lvlText w:val="–"/>
      <w:lvlJc w:val="left"/>
      <w:pPr>
        <w:tabs>
          <w:tab w:val="num" w:pos="680"/>
        </w:tabs>
        <w:ind w:left="680" w:hanging="340"/>
      </w:pPr>
      <w:rPr>
        <w:rFonts w:hint="default"/>
        <w:b/>
        <w:i w:val="0"/>
        <w:color w:val="E57200" w:themeColor="accent2"/>
      </w:rPr>
    </w:lvl>
    <w:lvl w:ilvl="2">
      <w:start w:val="0"/>
      <w:numFmt w:val="bullet"/>
      <w:lvlText w:val="ﺳ"/>
      <w:lvlJc w:val="left"/>
      <w:pPr>
        <w:tabs>
          <w:tab w:val="num" w:pos="1021"/>
        </w:tabs>
        <w:ind w:left="1021" w:hanging="341"/>
      </w:pPr>
      <w:rPr>
        <w:rFonts w:hint="default"/>
        <w:b/>
        <w:i w:val="0"/>
        <w:color w:val="E57200" w:themeColor="accent2"/>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34">
    <w:nsid w:val="6EE3444F"/>
    <w:multiLevelType w:val="multilevel"/>
    <w:tmpl w:val="47EC976C"/>
    <w:lvl w:ilvl="0">
      <w:start w:val="0"/>
      <w:numFmt w:val="bullet"/>
      <w:pStyle w:val="TableBullet1"/>
      <w:lvlText w:val=""/>
      <w:lvlJc w:val="left"/>
      <w:pPr>
        <w:tabs>
          <w:tab w:val="num" w:pos="227"/>
        </w:tabs>
        <w:ind w:left="227" w:hanging="227"/>
      </w:pPr>
      <w:rPr>
        <w:rFonts w:ascii="Symbol" w:hAnsi="Symbol" w:hint="default"/>
        <w:color w:val="E57200" w:themeColor="accent2"/>
      </w:rPr>
    </w:lvl>
    <w:lvl w:ilvl="1">
      <w:start w:val="0"/>
      <w:numFmt w:val="bullet"/>
      <w:pStyle w:val="TableBullet2"/>
      <w:lvlText w:val="–"/>
      <w:lvlJc w:val="left"/>
      <w:pPr>
        <w:tabs>
          <w:tab w:val="num" w:pos="454"/>
        </w:tabs>
        <w:ind w:left="454" w:hanging="227"/>
      </w:pPr>
      <w:rPr>
        <w:rFonts w:hint="default"/>
        <w:color w:val="E57200" w:themeColor="accent2"/>
      </w:rPr>
    </w:lvl>
    <w:lvl w:ilvl="2">
      <w:start w:val="0"/>
      <w:numFmt w:val="bullet"/>
      <w:pStyle w:val="TableBullet3"/>
      <w:lvlText w:val="–"/>
      <w:lvlJc w:val="left"/>
      <w:pPr>
        <w:tabs>
          <w:tab w:val="num" w:pos="680"/>
        </w:tabs>
        <w:ind w:left="680" w:hanging="226"/>
      </w:pPr>
      <w:rPr>
        <w:rFonts w:hint="default"/>
        <w:color w:val="E57200" w:themeColor="accent2"/>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0"/>
      <w:numFmt w:val="bullet"/>
      <w:lvlText w:val="–"/>
      <w:lvlJc w:val="left"/>
      <w:pPr>
        <w:ind w:left="0" w:firstLine="0"/>
      </w:pPr>
      <w:rPr>
        <w:rFonts w:ascii="(none)" w:hAnsi="(none)" w:hint="default"/>
        <w:color w:val="auto"/>
      </w:rPr>
    </w:lvl>
    <w:lvl w:ilvl="8">
      <w:start w:val="1"/>
      <w:numFmt w:val="none"/>
      <w:lvlJc w:val="left"/>
      <w:pPr>
        <w:ind w:left="0" w:firstLine="0"/>
      </w:pPr>
      <w:rPr>
        <w:rFonts w:hint="default"/>
      </w:rPr>
    </w:lvl>
  </w:abstractNum>
  <w:abstractNum w:abstractNumId="35">
    <w:nsid w:val="70B81751"/>
    <w:multiLevelType w:val="hybridMultilevel"/>
    <w:tmpl w:val="6F022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21B3C8A"/>
    <w:multiLevelType w:val="multilevel"/>
    <w:tmpl w:val="82B2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38">
    <w:nsid w:val="7AB7204D"/>
    <w:multiLevelType w:val="multilevel"/>
    <w:tmpl w:val="D59C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Jc w:val="left"/>
      <w:pPr>
        <w:ind w:left="0" w:firstLine="0"/>
      </w:pPr>
      <w:rPr>
        <w:rFonts w:hint="default"/>
      </w:rPr>
    </w:lvl>
  </w:abstractNum>
  <w:abstractNum w:abstractNumId="40">
    <w:nsid w:val="7DF02203"/>
    <w:multiLevelType w:val="multilevel"/>
    <w:tmpl w:val="10F8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6"/>
  </w:num>
  <w:num w:numId="3">
    <w:abstractNumId w:val="26"/>
  </w:num>
  <w:num w:numId="4">
    <w:abstractNumId w:val="22"/>
  </w:num>
  <w:num w:numId="5">
    <w:abstractNumId w:val="22"/>
  </w:num>
  <w:num w:numId="6">
    <w:abstractNumId w:val="22"/>
  </w:num>
  <w:num w:numId="7">
    <w:abstractNumId w:val="37"/>
  </w:num>
  <w:num w:numId="8">
    <w:abstractNumId w:val="37"/>
  </w:num>
  <w:num w:numId="9">
    <w:abstractNumId w:val="37"/>
  </w:num>
  <w:num w:numId="10">
    <w:abstractNumId w:val="34"/>
  </w:num>
  <w:num w:numId="11">
    <w:abstractNumId w:val="34"/>
  </w:num>
  <w:num w:numId="12">
    <w:abstractNumId w:val="34"/>
  </w:num>
  <w:num w:numId="13">
    <w:abstractNumId w:val="27"/>
  </w:num>
  <w:num w:numId="14">
    <w:abstractNumId w:val="27"/>
  </w:num>
  <w:num w:numId="15">
    <w:abstractNumId w:val="27"/>
  </w:num>
  <w:num w:numId="16">
    <w:abstractNumId w:val="27"/>
  </w:num>
  <w:num w:numId="17">
    <w:abstractNumId w:val="26"/>
  </w:num>
  <w:num w:numId="18">
    <w:abstractNumId w:val="22"/>
  </w:num>
  <w:num w:numId="19">
    <w:abstractNumId w:val="37"/>
  </w:num>
  <w:num w:numId="20">
    <w:abstractNumId w:val="34"/>
  </w:num>
  <w:num w:numId="21">
    <w:abstractNumId w:val="27"/>
  </w:num>
  <w:num w:numId="22">
    <w:abstractNumId w:val="13"/>
  </w:num>
  <w:num w:numId="23">
    <w:abstractNumId w:val="18"/>
  </w:num>
  <w:num w:numId="24">
    <w:abstractNumId w:val="25"/>
  </w:num>
  <w:num w:numId="25">
    <w:abstractNumId w:val="24"/>
  </w:num>
  <w:num w:numId="26">
    <w:abstractNumId w:val="31"/>
  </w:num>
  <w:num w:numId="27">
    <w:abstractNumId w:val="39"/>
  </w:num>
  <w:num w:numId="28">
    <w:abstractNumId w:val="12"/>
  </w:num>
  <w:num w:numId="29">
    <w:abstractNumId w:val="11"/>
  </w:num>
  <w:num w:numId="30">
    <w:abstractNumId w:val="29"/>
  </w:num>
  <w:num w:numId="31">
    <w:abstractNumId w:val="14"/>
  </w:num>
  <w:num w:numId="32">
    <w:abstractNumId w:val="33"/>
  </w:num>
  <w:num w:numId="33">
    <w:abstractNumId w:val="2"/>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5"/>
  </w:num>
  <w:num w:numId="38">
    <w:abstractNumId w:val="0"/>
  </w:num>
  <w:num w:numId="39">
    <w:abstractNumId w:val="21"/>
  </w:num>
  <w:num w:numId="40">
    <w:abstractNumId w:val="9"/>
  </w:num>
  <w:num w:numId="41">
    <w:abstractNumId w:val="20"/>
  </w:num>
  <w:num w:numId="42">
    <w:abstractNumId w:val="17"/>
  </w:num>
  <w:num w:numId="43">
    <w:abstractNumId w:val="8"/>
  </w:num>
  <w:num w:numId="44">
    <w:abstractNumId w:val="5"/>
  </w:num>
  <w:num w:numId="45">
    <w:abstractNumId w:val="1"/>
  </w:num>
  <w:num w:numId="46">
    <w:abstractNumId w:val="40"/>
  </w:num>
  <w:num w:numId="47">
    <w:abstractNumId w:val="3"/>
  </w:num>
  <w:num w:numId="48">
    <w:abstractNumId w:val="10"/>
  </w:num>
  <w:num w:numId="49">
    <w:abstractNumId w:val="38"/>
  </w:num>
  <w:num w:numId="50">
    <w:abstractNumId w:val="35"/>
  </w:num>
  <w:num w:numId="51">
    <w:abstractNumId w:val="6"/>
  </w:num>
  <w:num w:numId="52">
    <w:abstractNumId w:val="36"/>
  </w:num>
  <w:num w:numId="53">
    <w:abstractNumId w:val="19"/>
  </w:num>
  <w:num w:numId="54">
    <w:abstractNumId w:val="28"/>
  </w:num>
  <w:num w:numId="55">
    <w:abstractNumId w:val="4"/>
  </w:num>
  <w:num w:numId="56">
    <w:abstractNumId w:val="30"/>
  </w:num>
  <w:num w:numId="57">
    <w:abstractNumId w:val="7"/>
  </w:num>
  <w:num w:numId="58">
    <w:abstractNumId w:val="16"/>
  </w:num>
  <w:num w:numId="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NotTrackMoves/>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1" w:val="H4sIAAAAAAAEAKtWcslP9kxRslIyNDY0MzAyAmITcyMLM1MDAyUdpeDU4uLM/DyQAtNaAKNjjwcs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atentStyles>
  <w:style w:type="paragraph" w:default="1" w:styleId="Normal">
    <w:name w:val="Normal"/>
    <w:aliases w:val="~BodyText"/>
    <w:qFormat/>
    <w:rsid w:val="005428B3"/>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hAnsi="Tahoma" w:eastAsiaTheme="minorHAnsi"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hAnsi="Arial" w:eastAsiaTheme="minorHAnsi"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hAnsi="Arial" w:eastAsiaTheme="minorHAnsi"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customStyle="1" w:styleId="UnresolvedMention1">
    <w:name w:val="Unresolved Mention1"/>
    <w:basedOn w:val="DefaultParagraphFont"/>
    <w:uiPriority w:val="99"/>
    <w:semiHidden/>
    <w:unhideWhenUsed/>
    <w:rsid w:val="00AD3842"/>
    <w:rPr>
      <w:color w:val="605E5C"/>
      <w:shd w:val="clear" w:color="auto" w:fill="E1DFDD"/>
    </w:rPr>
  </w:style>
  <w:style w:type="paragraph" w:styleId="Revision">
    <w:name w:val="Revision"/>
    <w:hidden/>
    <w:uiPriority w:val="99"/>
    <w:semiHidden/>
    <w:rsid w:val="00FD3929"/>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van.john\Downloads\Sense_Word_Template.dotx" TargetMode="External" /></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cf9bd-5df8-48b0-8047-cd763dad020d">
      <Terms xmlns="http://schemas.microsoft.com/office/infopath/2007/PartnerControls"/>
    </lcf76f155ced4ddcb4097134ff3c332f>
    <TaxCatchAll xmlns="e65a4226-f4d2-4f30-b975-e076cc71151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40E156C853AC41B0EFF6FEF863D9DF" ma:contentTypeVersion="17" ma:contentTypeDescription="Create a new document." ma:contentTypeScope="" ma:versionID="9e7efcb055c39661e5d889061ef1dc73">
  <xsd:schema xmlns:xsd="http://www.w3.org/2001/XMLSchema" xmlns:xs="http://www.w3.org/2001/XMLSchema" xmlns:p="http://schemas.microsoft.com/office/2006/metadata/properties" xmlns:ns2="7aacf9bd-5df8-48b0-8047-cd763dad020d" xmlns:ns3="e65a4226-f4d2-4f30-b975-e076cc71151d" targetNamespace="http://schemas.microsoft.com/office/2006/metadata/properties" ma:root="true" ma:fieldsID="5816222dbe5c2b3d5f459aa89b6128b7" ns2:_="" ns3:_="">
    <xsd:import namespace="7aacf9bd-5df8-48b0-8047-cd763dad020d"/>
    <xsd:import namespace="e65a4226-f4d2-4f30-b975-e076cc7115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cf9bd-5df8-48b0-8047-cd763dad0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5a4226-f4d2-4f30-b975-e076cc7115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519f4e6-6ce3-441a-8edc-261b070b92fe}" ma:internalName="TaxCatchAll" ma:showField="CatchAllData" ma:web="e65a4226-f4d2-4f30-b975-e076cc711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205AC-397D-4FFF-B673-5ED141BD81CA}">
  <ds:schemaRefs>
    <ds:schemaRef ds:uri="http://schemas.microsoft.com/sharepoint/v3/contenttype/forms"/>
  </ds:schemaRefs>
</ds:datastoreItem>
</file>

<file path=customXml/itemProps2.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3.xml><?xml version="1.0" encoding="utf-8"?>
<ds:datastoreItem xmlns:ds="http://schemas.openxmlformats.org/officeDocument/2006/customXml" ds:itemID="{C5980F72-61B6-481D-8F93-0B89E9545862}">
  <ds:schemaRefs>
    <ds:schemaRef ds:uri="http://schemas.microsoft.com/office/2006/metadata/properties"/>
    <ds:schemaRef ds:uri="http://schemas.microsoft.com/office/infopath/2007/PartnerControls"/>
    <ds:schemaRef ds:uri="7aacf9bd-5df8-48b0-8047-cd763dad020d"/>
    <ds:schemaRef ds:uri="e65a4226-f4d2-4f30-b975-e076cc71151d"/>
  </ds:schemaRefs>
</ds:datastoreItem>
</file>

<file path=customXml/itemProps4.xml><?xml version="1.0" encoding="utf-8"?>
<ds:datastoreItem xmlns:ds="http://schemas.openxmlformats.org/officeDocument/2006/customXml" ds:itemID="{B1952D41-2DB6-44F0-A479-64CA78AE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cf9bd-5df8-48b0-8047-cd763dad020d"/>
    <ds:schemaRef ds:uri="e65a4226-f4d2-4f30-b975-e076cc71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YEET0177</dc:title>
  <cp:revision>0</cp:revision>
</cp:coreProperties>
</file>