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35406" w:rsidRPr="006F6C33" w:rsidP="006F6C33">
      <w:pPr>
        <w:jc w:val="center"/>
        <w:rPr>
          <w:b/>
          <w:bCs/>
          <w:sz w:val="24"/>
          <w:szCs w:val="24"/>
        </w:rPr>
      </w:pPr>
      <w:r w:rsidRPr="006F6C33">
        <w:rPr>
          <w:b/>
          <w:bCs/>
          <w:sz w:val="24"/>
          <w:szCs w:val="24"/>
        </w:rPr>
        <w:t xml:space="preserve">Written evidence submitted </w:t>
      </w:r>
      <w:r w:rsidRPr="006F6C33">
        <w:rPr>
          <w:b/>
          <w:bCs/>
          <w:sz w:val="24"/>
          <w:szCs w:val="24"/>
        </w:rPr>
        <w:t>by Resilient Young Minds (YEET0142)</w:t>
      </w:r>
    </w:p>
    <w:p w:rsidR="00A35406">
      <w:pPr>
        <w:pStyle w:val="Heading10"/>
      </w:pPr>
      <w:r>
        <w:t>1. Introduction</w:t>
      </w:r>
    </w:p>
    <w:p w:rsidR="00A35406">
      <w:pPr>
        <w:spacing w:after="160" w:line="276" w:lineRule="auto"/>
      </w:pPr>
      <w:r>
        <w:t>Resilient Young Minds (RYM) is a Community Interest Company that delivers an evidence-based, nature-based mental health intervention for disadvantaged young people aged 16–25. The programme was designed by Dr Lucy Loveday, a practising GP, in collaboration with The Woodland Trust. It has been piloted in Devon, was independently evaluated by Apollo Health Innovations (2023), and won the South West Health Innovation Network Health Equity Award.</w:t>
      </w:r>
    </w:p>
    <w:p w:rsidR="00A35406">
      <w:pPr>
        <w:spacing w:after="160" w:line="276" w:lineRule="auto"/>
      </w:pPr>
      <w:r>
        <w:t>This submission draws on our direct experience of designing and delivering primary-care embedded nature-based support for young people who are NEET, care-experienced, living in areas of deprivation, LGBTQ+, neurodivergent, and those with high Adverse Childhood Experience (ACE) scores. We respond to the Committee’s questions on effective NEET support, reaching young people outside the benefits system, and barriers to employment and training.</w:t>
      </w:r>
    </w:p>
    <w:p w:rsidR="00A35406">
      <w:pPr>
        <w:pStyle w:val="Heading10"/>
      </w:pPr>
      <w:r>
        <w:t>2. Summary of Key Points</w:t>
      </w:r>
    </w:p>
    <w:p w:rsidR="00A35406">
      <w:pPr>
        <w:pStyle w:val="ListParagraph"/>
        <w:numPr>
          <w:ilvl w:val="0"/>
          <w:numId w:val="2"/>
        </w:numPr>
        <w:spacing w:after="120" w:line="276" w:lineRule="auto"/>
      </w:pPr>
      <w:r>
        <w:rPr>
          <w:b/>
          <w:bCs/>
        </w:rPr>
        <w:t xml:space="preserve">Mental health is the primary barrier to employment for a growing proportion of NEET young people. </w:t>
      </w:r>
      <w:r>
        <w:t>Over a quarter of NEET young people now cite long-term sickness or disability. Effective interventions must address mental health as a prerequisite to employment readiness, not treat it as a separate issue.</w:t>
      </w:r>
    </w:p>
    <w:p w:rsidR="00A35406">
      <w:pPr>
        <w:pStyle w:val="ListParagraph"/>
        <w:numPr>
          <w:ilvl w:val="0"/>
          <w:numId w:val="2"/>
        </w:numPr>
        <w:spacing w:after="120" w:line="276" w:lineRule="auto"/>
      </w:pPr>
      <w:r>
        <w:rPr>
          <w:b/>
          <w:bCs/>
        </w:rPr>
        <w:t xml:space="preserve">Nature-based interventions deliver measurable improvements for this cohort. </w:t>
      </w:r>
      <w:r>
        <w:t>Our independently evaluated pilot (n=12) showed that 75% of participants reported increased mental wellbeing (WEMWBS), with a statistically significant mean improvement (t=3.64, p=0.004). 42% reported reduced anxiety (GAD-2) and 42% reported reduced loneliness. 100% reported that the programme had a positive impact on their lives and had helped them manage their own health and wellbeing.</w:t>
      </w:r>
    </w:p>
    <w:p w:rsidR="00A35406">
      <w:pPr>
        <w:pStyle w:val="ListParagraph"/>
        <w:numPr>
          <w:ilvl w:val="0"/>
          <w:numId w:val="2"/>
        </w:numPr>
        <w:spacing w:after="120" w:line="276" w:lineRule="auto"/>
      </w:pPr>
      <w:r>
        <w:rPr>
          <w:b/>
          <w:bCs/>
        </w:rPr>
        <w:t xml:space="preserve">Employment pathways must be integrated into health interventions, not bolted on afterwards. </w:t>
      </w:r>
      <w:r>
        <w:t>RYM’s programme concludes with a structured community session connecting young people to volunteering, green economy employment, peer mentorship and ongoing community support — building the agency, confidence and social capital that are prerequisites for sustained employment.</w:t>
      </w:r>
    </w:p>
    <w:p w:rsidR="00A35406">
      <w:pPr>
        <w:pStyle w:val="ListParagraph"/>
        <w:numPr>
          <w:ilvl w:val="0"/>
          <w:numId w:val="2"/>
        </w:numPr>
        <w:spacing w:after="200" w:line="276" w:lineRule="auto"/>
      </w:pPr>
      <w:r>
        <w:rPr>
          <w:b/>
          <w:bCs/>
        </w:rPr>
        <w:t xml:space="preserve">DWP’s Youth Guarantee must invest in upstream, preventative approaches. </w:t>
      </w:r>
      <w:r>
        <w:t>The current focus on placements in construction, care and hospitality will not reach young people whose mental health prevents them from being employment-ready. Nature-based programmes like RYM can serve as a “pre-step” intervention that builds the resilience, self-efficacy and social connection needed to engage with employment and training opportunities.</w:t>
      </w:r>
    </w:p>
    <w:p w:rsidR="00A35406">
      <w:pPr>
        <w:pStyle w:val="Heading10"/>
      </w:pPr>
      <w:r>
        <w:t>3. About Resilient Young Minds</w:t>
      </w:r>
    </w:p>
    <w:p w:rsidR="00A35406">
      <w:pPr>
        <w:spacing w:after="160" w:line="276" w:lineRule="auto"/>
      </w:pPr>
      <w:r>
        <w:t xml:space="preserve">RYM is designed for young people experiencing a range of challenges that disproportionately and adversely affect their mental health. The referral criteria include: aged 18–25; experiencing social isolation or loneliness; low-level mental health problems (anxiety, </w:t>
      </w:r>
      <w:r>
        <w:t>depression, stress, low mood, low self-esteem); and any of the following risk factors: high Index of Multiple Deprivation, NEET status, in receipt of work-related benefits, living in workless households, poor health history, poor educational outcomes, care-experienced, young carer, lone parent, history of substance misuse, homeless or unsuitably housed.</w:t>
      </w:r>
    </w:p>
    <w:p w:rsidR="00A35406">
      <w:pPr>
        <w:spacing w:after="160" w:line="276" w:lineRule="auto"/>
      </w:pPr>
      <w:r>
        <w:t>In our evaluated pilot, 100% of participants (n=18) were experiencing mental health challenges, 100% were socially excluded, 10 were unemployed, 9 had ACE scores of 3 or above, 8 had a history of substance misuse, 4 were LGBTQ+, 4 were care leavers, and 4 were young carers. This is precisely the cohort that is most at risk of long-term NEET status and least likely to be reached by conventional employment support.</w:t>
      </w:r>
    </w:p>
    <w:p w:rsidR="00A35406">
      <w:pPr>
        <w:pStyle w:val="Heading20"/>
      </w:pPr>
      <w:r>
        <w:t>How the Programme Works</w:t>
      </w:r>
    </w:p>
    <w:p w:rsidR="00A35406">
      <w:pPr>
        <w:spacing w:after="160" w:line="276" w:lineRule="auto"/>
      </w:pPr>
      <w:r>
        <w:t>The programme is delivered as five facilitated group sessions in local natural environments. The evidential framework draws on three established research areas: nature connection and the evidence for green social prescribing to prevent and tackle mental ill-health; mindfulness-based approaches to improve emotional self-regulation, reduce anxiety and increase resilience; and peer support drawing on evidence for peer-led interventions in populations experiencing mental health challenges.</w:t>
      </w:r>
    </w:p>
    <w:p w:rsidR="00A35406">
      <w:pPr>
        <w:spacing w:after="160" w:line="276" w:lineRule="auto"/>
      </w:pPr>
      <w:r>
        <w:t>The five sessions follow a structured curriculum: Connect (building trust, breathwork, the neurobiology of resilience), Explore (sensory engagement with nature, guided meditation), Notice &amp; Relax (mindful walking, fireside storytelling), Reflect (body scan meditation, poetry, understanding personal growth through nature metaphor), and Community (forward vision and planning, signposting to local opportunities and employment pathways).</w:t>
      </w:r>
    </w:p>
    <w:p w:rsidR="00A35406">
      <w:pPr>
        <w:pStyle w:val="Heading20"/>
      </w:pPr>
      <w:r>
        <w:t>The Referral Pathway</w:t>
      </w:r>
    </w:p>
    <w:p w:rsidR="00A35406">
      <w:pPr>
        <w:spacing w:after="160" w:line="276" w:lineRule="auto"/>
      </w:pPr>
      <w:r>
        <w:t xml:space="preserve">Participants are referred via their GP or through a GP practice record search, with scope for self-referral. In our pilot, the majority accessed the programme via GP referral. This clinical referral pathway is critical: it reaches young people through an existing trusted relationship and normalises engagement with a wellbeing programme for individuals who might not self-refer to an employment scheme or Jobcentre Plus. We build trust through personal communication with young people before sessions begin and </w:t>
      </w:r>
      <w:r>
        <w:t>ensure that transport, kit and accessibility are not barriers.</w:t>
      </w:r>
    </w:p>
    <w:p w:rsidR="00A35406"/>
    <w:p w:rsidR="00A35406">
      <w:pPr>
        <w:pStyle w:val="Heading10"/>
      </w:pPr>
      <w:r>
        <w:t>4. Responses to the Committee’s Questions</w:t>
      </w:r>
    </w:p>
    <w:p w:rsidR="00A35406">
      <w:pPr>
        <w:pStyle w:val="Heading20"/>
      </w:pPr>
      <w:r>
        <w:t>What is the most effective way of delivering support to young people who are NEET?</w:t>
      </w:r>
    </w:p>
    <w:p w:rsidR="00A35406">
      <w:pPr>
        <w:spacing w:after="160" w:line="276" w:lineRule="auto"/>
      </w:pPr>
      <w:r>
        <w:t>Our direct experience delivering programmes to NEET young people, and the wider evidence base, points to three principles for effective support:</w:t>
      </w:r>
    </w:p>
    <w:p w:rsidR="00A35406">
      <w:pPr>
        <w:spacing w:after="160" w:line="276" w:lineRule="auto"/>
      </w:pPr>
      <w:r>
        <w:rPr>
          <w:b/>
          <w:bCs/>
        </w:rPr>
        <w:t xml:space="preserve">First, address mental health as a prerequisite, not an afterthought. </w:t>
      </w:r>
      <w:r>
        <w:t xml:space="preserve">The proportion of NEET young people citing long-term sickness or disability has soared, with mental health conditions driving much of this increase. The risk of being NEET is over double for those from disadvantaged backgrounds. Yet the current system largely separates health support from employment support. Our evidence shows that when mental wellbeing improves, young </w:t>
      </w:r>
      <w:r>
        <w:t>people develop the agency, confidence and motivation to pursue employment and training. Our pilot data showed a statistically significant im</w:t>
      </w:r>
      <w:r>
        <w:t>provement in WEMWBS scores (t=3.64, p=0.004), with a mean increase of 5.75 points and 75% of participants improving. Crucially, 100% of participants agreed the programme had helped them manage their own health and wellbeing — this is not merely a health outcome but an employment-readiness outcome.</w:t>
      </w:r>
    </w:p>
    <w:p w:rsidR="00A35406">
      <w:pPr>
        <w:spacing w:after="160" w:line="276" w:lineRule="auto"/>
      </w:pPr>
      <w:r>
        <w:rPr>
          <w:b/>
          <w:bCs/>
        </w:rPr>
        <w:t xml:space="preserve">Second, use trusted, non-stigmatising pathways. </w:t>
      </w:r>
      <w:r>
        <w:t>Many NEET young people distrust formal services and will not self-refer to Jobcentre Plus or employment programmes. By embedding our referral pathway within primary care, we reach individuals who would otherwise fall through the cracks. The group-based, nature-based setting further removes stigma: participants are engaging in a wellbeing programme, not being processed through an employment scheme. As one participant reflected: “I’ve tried counselling, I’ve had CBT. And I’ve never really thought of doing a g</w:t>
      </w:r>
      <w:r>
        <w:t>roup sort of thing… the fact it’s connected with nature… I was like, you know what, I want to try as much as I can to find the right thing to help me.”</w:t>
      </w:r>
    </w:p>
    <w:p w:rsidR="00A35406">
      <w:pPr>
        <w:spacing w:after="160" w:line="276" w:lineRule="auto"/>
      </w:pPr>
      <w:r>
        <w:rPr>
          <w:b/>
          <w:bCs/>
        </w:rPr>
        <w:t xml:space="preserve">Third, build social capital and peer support alongside individual resilience. </w:t>
      </w:r>
      <w:r>
        <w:t>Social isolation is both a cause and a consequence of being NEET. In our pilot, 100% of participants were socially excluded at baseline and 42% reported reduced loneliness post-programme. All interviewees described making new friends and planned to maintain these friendships, forming a WhatsApp group to stay connected. As one participant put it: “It’s made me a bit more confident because I know that there are now a lot of people in the same kind of boat as me.” Another described how the programme had opened</w:t>
      </w:r>
      <w:r>
        <w:t xml:space="preserve"> possibilities they hadn’t previously considered: after a foraging session, they researched courses independently and began thinking about their next steps in life. These lasting peer bonds and expanded horizons create the informal support networks and sense of agency essential for sustained engagement with employment and education.</w:t>
      </w:r>
    </w:p>
    <w:p w:rsidR="00A35406">
      <w:pPr>
        <w:pStyle w:val="Heading20"/>
      </w:pPr>
      <w:r>
        <w:t>How can and should DWP support young people who are not in contact with the benefit system?</w:t>
      </w:r>
    </w:p>
    <w:p w:rsidR="00A35406">
      <w:pPr>
        <w:spacing w:after="160" w:line="276" w:lineRule="auto"/>
      </w:pPr>
      <w:r>
        <w:t>This is perhaps the most critical question in the inquiry. Three-quarters of NEET young people do not receive support to find work. Many are not in contact with the benefits system at all. The Government’s investment of £34 million in early identification tools, including the new Risk of NEET indicator, is welcome but will only be effective if matched with provision these young people will actually engage with.</w:t>
      </w:r>
    </w:p>
    <w:p w:rsidR="00A35406">
      <w:pPr>
        <w:spacing w:after="160" w:line="276" w:lineRule="auto"/>
      </w:pPr>
      <w:r>
        <w:t>Primary care is uniquely positioned to reach this population. Almost all young people are registered with a GP, including those not claiming benefits, not in contact with Jobcentre Plus, and invisible to DWP systems. GPs and their teams — practice nurses, social prescribers, health visitors — often have established trust relationships with disadvantaged families and individuals. RYM’s model leverages this existing infrastructure: in our pilot, participants were identified through GP referral and GP practice</w:t>
      </w:r>
      <w:r>
        <w:t xml:space="preserve"> record searches, enabling us to reach young people who would not have self-referred to any service.</w:t>
      </w:r>
    </w:p>
    <w:p w:rsidR="00A35406">
      <w:pPr>
        <w:spacing w:after="160" w:line="276" w:lineRule="auto"/>
      </w:pPr>
      <w:r>
        <w:t xml:space="preserve">We recommend that DWP work with NHS England and Integrated Care Boards to commission primary-care embedded programmes that combine health improvement with employment pathway support. This would extend the reach of the Youth Guarantee to young people currently invisible to DWP, without requiring them to first engage with the benefits system. Analysis commissioned by the DWP Select Committee from Health Equity North </w:t>
      </w:r>
      <w:r>
        <w:t>found that return-to-work programmes can deliver a return of £5.21 to £6.63 for every £1 invested.</w:t>
      </w:r>
    </w:p>
    <w:p w:rsidR="00A35406">
      <w:pPr>
        <w:pStyle w:val="Heading20"/>
      </w:pPr>
      <w:r>
        <w:t>Are there any initiatives that can be learned from, domestically or internationally?</w:t>
      </w:r>
    </w:p>
    <w:p w:rsidR="00A35406">
      <w:pPr>
        <w:spacing w:after="160" w:line="276" w:lineRule="auto"/>
      </w:pPr>
      <w:r>
        <w:t>RYM itself offers a domestic model the Committee should consider. Our programme has demonstrated statistically significant improvements in mental wellbeing in an independently evaluated pilot in Devon, and has been recognised with the South West Health Innovation Network Health Equity Award. The independent evaluators, Apollo Health Innovations, found that the combination of nature connection, mindfulness and peer support was particularly effective, with the programme empowering young people to become agent</w:t>
      </w:r>
      <w:r>
        <w:t>s for their own mental health and implementing lasting behaviour change beyond the sessions.</w:t>
      </w:r>
    </w:p>
    <w:p w:rsidR="00A35406">
      <w:pPr>
        <w:spacing w:after="160" w:line="276" w:lineRule="auto"/>
      </w:pPr>
      <w:r>
        <w:t xml:space="preserve">The wider evidence base supports this approach. A government-commissioned rapid evidence review by Health and Care Research Wales (2025) examined interventions for NEET young people’s mental health and wellbeing. It found that nature-based interventions improved social, emotional and behavioural functioning, as well as social connection and mental wellbeing, and may be more effective for those meeting criteria for anxiety or depression. A peer-reviewed systematic review by Obeng et al. (2023), published in </w:t>
      </w:r>
      <w:r>
        <w:t>the Journal of Happiness Studies, examined 49 studies of nature-based interventions for young people in precarious situations — including those at risk of disengaging from education or employment — and found that these interventions promoted sustainable wellbeing by fostering connectedness with nature and producing enduring outcomes across physical, mental and social dimensions.</w:t>
      </w:r>
    </w:p>
    <w:p w:rsidR="00A35406">
      <w:pPr>
        <w:spacing w:after="160" w:line="276" w:lineRule="auto"/>
      </w:pPr>
      <w:r>
        <w:t xml:space="preserve">A further peer-reviewed study by the same research group (Obeng et al., 2025, Journal of Social Service Research) examined nature-based youth workshops in Finland specifically designed for young people outside education or employment (n=18, aged 20–26). The study found that the interventions promoted physical activity, structure and routine, skill development, social belonging and meaningful participation. Participants also reported enhanced connections with nature and sustainable lifestyles. These Finnish </w:t>
      </w:r>
      <w:r>
        <w:t>programmes share many design principles with RYM — the importance of supportive relationships, peer trust, meaningful nature-based activities and connection to external services.</w:t>
      </w:r>
    </w:p>
    <w:p w:rsidR="00A35406">
      <w:pPr>
        <w:spacing w:after="160" w:line="276" w:lineRule="auto"/>
      </w:pPr>
      <w:r>
        <w:t>We note that while the Government’s Youth Guarantee focuses primarily on placements in construction, care and hospitality, it does not yet include nature-based or green economy pathways. This is a missed opportunity given the evidence base and the Government’s own ambitions for green job creation and the estimated 480,000 skilled green jobs needed by 2030.</w:t>
      </w:r>
    </w:p>
    <w:p w:rsidR="00A35406">
      <w:pPr>
        <w:pStyle w:val="Heading20"/>
      </w:pPr>
      <w:r>
        <w:t>What barriers prevent young people from taking up apprenticeships and training?</w:t>
      </w:r>
    </w:p>
    <w:p w:rsidR="00A35406">
      <w:pPr>
        <w:spacing w:after="160" w:line="276" w:lineRule="auto"/>
      </w:pPr>
      <w:r>
        <w:t>Our experience identifies barriers that sit upstream of the practical barriers typically discussed:</w:t>
      </w:r>
    </w:p>
    <w:p w:rsidR="00A35406">
      <w:pPr>
        <w:spacing w:after="160" w:line="276" w:lineRule="auto"/>
      </w:pPr>
      <w:r>
        <w:rPr>
          <w:b/>
          <w:bCs/>
        </w:rPr>
        <w:t xml:space="preserve">Mental health barriers: </w:t>
      </w:r>
      <w:r>
        <w:t xml:space="preserve">Young people experiencing anxiety, depression, low self-esteem or the effects of trauma are not in a position to take up an apprenticeship, regardless of how well-designed that opportunity may be. In our pilot, the group format itself was anxiety-inducing for some: as one participant said, “It’s an anxiety group, those two things don’t </w:t>
      </w:r>
      <w:r>
        <w:t>really go well together.” Yet with the right approach — a relaxed atmosphere, personable leaders, a judgement-free zone — participants overcame this. The programme needs to m</w:t>
      </w:r>
      <w:r>
        <w:t>eet young people where they are mentally, not where the system assumes they are.</w:t>
      </w:r>
    </w:p>
    <w:p w:rsidR="00A35406">
      <w:pPr>
        <w:spacing w:after="160" w:line="276" w:lineRule="auto"/>
      </w:pPr>
      <w:r>
        <w:rPr>
          <w:b/>
          <w:bCs/>
        </w:rPr>
        <w:t xml:space="preserve">Self-efficacy and agency: </w:t>
      </w:r>
      <w:r>
        <w:t>Many young people we work with do not believe they can influence their own outcomes. Our programme is specifically designed to build self-efficacy through incremental achievement in a supportive natural environment. 100% of participants agreed the programme had taught them something new; participants described learning coping techniques, understanding the neurobiology of their own anxiety, and realising “there are options that I can reach.” One participant reflected that learning about the physiology of anx</w:t>
      </w:r>
      <w:r>
        <w:t>iety was transformative: before the programme, they thought something was fundamentally wrong with them.</w:t>
      </w:r>
    </w:p>
    <w:p w:rsidR="00A35406">
      <w:pPr>
        <w:spacing w:after="160" w:line="276" w:lineRule="auto"/>
      </w:pPr>
      <w:r>
        <w:rPr>
          <w:b/>
          <w:bCs/>
        </w:rPr>
        <w:t xml:space="preserve">Social isolation and disconnection: </w:t>
      </w:r>
      <w:r>
        <w:t>Apprenticeships require young people to enter social environments, work in teams and navigate workplace relationships. For socially isolated young people, this is as significant a barrier as any skills gap. RYM’s group model builds social skills and peer connections. As one participant described: “You start building connections, and then you do different things… I now know there’s some additional people I can speak to who will understand.”</w:t>
      </w:r>
    </w:p>
    <w:p w:rsidR="00A35406">
      <w:pPr>
        <w:spacing w:after="160" w:line="276" w:lineRule="auto"/>
      </w:pPr>
      <w:r>
        <w:t>We recommend that DWP recognise the need for “pre-step” interventions — programmes that build the health, confidence and social readiness that employment and training schemes assume participants already possess. Without this, the Youth Guarantee risks excluding precisely the young people who most need support.</w:t>
      </w:r>
    </w:p>
    <w:p w:rsidR="00A35406"/>
    <w:p w:rsidR="00A35406">
      <w:pPr>
        <w:pStyle w:val="Heading10"/>
      </w:pPr>
      <w:r>
        <w:t>5. Pathways into Employment and the Green Economy</w:t>
      </w:r>
    </w:p>
    <w:p w:rsidR="00A35406">
      <w:pPr>
        <w:spacing w:after="160" w:line="276" w:lineRule="auto"/>
      </w:pPr>
      <w:r>
        <w:t>RYM’s programme does not end with health improvement. Our fifth session, “Community,” is specifically designed as a bridge into ongoing support, volunteering and employment pathways. This includes structured signposting to local opportunities, connections to green economy employers and environmental organisations, peer mentorship programmes where programme graduates support incoming cohorts, and ongoing community support through peer networks.</w:t>
      </w:r>
    </w:p>
    <w:p w:rsidR="00A35406">
      <w:pPr>
        <w:spacing w:after="160" w:line="276" w:lineRule="auto"/>
      </w:pPr>
      <w:r>
        <w:t>We are actively developing partnerships with the Duchy of Cornwall and landowners across Dartmoor to create pathways from our programmes into conservation, land management and green economy roles. We are also collaborating with the University of Exeter through the CEDAR Create programme to develop standardised training frameworks for nature-based interventions in primary care. This creates a further employment pathway: training programme graduates to become facilitators themselves, creating a peer-led workf</w:t>
      </w:r>
      <w:r>
        <w:t>orce pipeline that addresses the skills gap in green health delivery while providing meaningful employment.</w:t>
      </w:r>
    </w:p>
    <w:p w:rsidR="00A35406">
      <w:pPr>
        <w:spacing w:after="160" w:line="276" w:lineRule="auto"/>
      </w:pPr>
      <w:r>
        <w:t xml:space="preserve">The independent evaluation recommended testing a train-the-trainer model to scale the programme beyond the founding clinician. This is precisely the model we are now developing, creating a workforce development pathway that transforms programme participants into programme deliverers — a model the Committee may wish to consider as it </w:t>
      </w:r>
      <w:r>
        <w:t>examines how Skills Bootcamps and apprenticeship frameworks could support emerging sectors.</w:t>
      </w:r>
    </w:p>
    <w:p w:rsidR="00A35406">
      <w:pPr>
        <w:pStyle w:val="Heading10"/>
      </w:pPr>
      <w:r>
        <w:t>6. Our Evidence Base</w:t>
      </w:r>
    </w:p>
    <w:p w:rsidR="00A35406">
      <w:pPr>
        <w:spacing w:after="160" w:line="276" w:lineRule="auto"/>
      </w:pPr>
      <w:r>
        <w:t>The following outcome data is drawn from our pilot programme delivered in Okehampton, Devon (November 2022 – March 2023), independently evaluated by Apollo Health Innovations and funded by Health Innovation South West through the Health Equity Innovation Challenge Fund.</w:t>
      </w:r>
    </w:p>
    <w:p w:rsidR="00A35406">
      <w:pPr>
        <w:spacing w:after="160" w:line="276" w:lineRule="auto"/>
      </w:pPr>
      <w:r>
        <w:rPr>
          <w:b/>
          <w:bCs/>
        </w:rPr>
        <w:t xml:space="preserve">Sample: </w:t>
      </w:r>
      <w:r>
        <w:t>18 young people recruited; 12 completed the programme. Mixed methods evaluation: pre/post participant surveys, semi-structured interviews (n=6), and stakeholder focus group.</w:t>
      </w:r>
    </w:p>
    <w:p w:rsidR="00A35406">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Look w:val="04A0"/>
      </w:tblPr>
      <w:tblGrid>
        <w:gridCol w:w="3800"/>
        <w:gridCol w:w="2600"/>
        <w:gridCol w:w="2626"/>
      </w:tblGrid>
      <w:tr>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Look w:val="04A0"/>
        </w:tblPrEx>
        <w:tc>
          <w:tcPr>
            <w:tcW w:w="3800" w:type="dxa"/>
            <w:tcBorders>
              <w:top w:val="single" w:sz="1" w:space="0" w:color="CCCCCC"/>
              <w:left w:val="single" w:sz="1" w:space="0" w:color="CCCCCC"/>
              <w:bottom w:val="single" w:sz="1" w:space="0" w:color="CCCCCC"/>
              <w:right w:val="single" w:sz="1" w:space="0" w:color="CCCCCC"/>
            </w:tcBorders>
            <w:shd w:val="clear" w:color="auto" w:fill="1B4F72"/>
            <w:tcMar>
              <w:top w:w="80" w:type="dxa"/>
              <w:left w:w="120" w:type="dxa"/>
              <w:bottom w:w="80" w:type="dxa"/>
              <w:right w:w="120" w:type="dxa"/>
            </w:tcMar>
          </w:tcPr>
          <w:p w:rsidR="00A35406">
            <w:r>
              <w:rPr>
                <w:b/>
                <w:bCs/>
                <w:color w:val="FFFFFF"/>
                <w:sz w:val="20"/>
                <w:szCs w:val="20"/>
              </w:rPr>
              <w:t>Measure</w:t>
            </w:r>
          </w:p>
        </w:tc>
        <w:tc>
          <w:tcPr>
            <w:tcW w:w="2600" w:type="dxa"/>
            <w:tcBorders>
              <w:top w:val="single" w:sz="1" w:space="0" w:color="CCCCCC"/>
              <w:left w:val="single" w:sz="1" w:space="0" w:color="CCCCCC"/>
              <w:bottom w:val="single" w:sz="1" w:space="0" w:color="CCCCCC"/>
              <w:right w:val="single" w:sz="1" w:space="0" w:color="CCCCCC"/>
            </w:tcBorders>
            <w:shd w:val="clear" w:color="auto" w:fill="1B4F72"/>
            <w:tcMar>
              <w:top w:w="80" w:type="dxa"/>
              <w:left w:w="120" w:type="dxa"/>
              <w:bottom w:w="80" w:type="dxa"/>
              <w:right w:w="120" w:type="dxa"/>
            </w:tcMar>
          </w:tcPr>
          <w:p w:rsidR="00A35406">
            <w:pPr>
              <w:jc w:val="center"/>
            </w:pPr>
            <w:r>
              <w:rPr>
                <w:b/>
                <w:bCs/>
                <w:color w:val="FFFFFF"/>
                <w:sz w:val="20"/>
                <w:szCs w:val="20"/>
              </w:rPr>
              <w:t>Result</w:t>
            </w:r>
          </w:p>
        </w:tc>
        <w:tc>
          <w:tcPr>
            <w:tcW w:w="2626" w:type="dxa"/>
            <w:tcBorders>
              <w:top w:val="single" w:sz="1" w:space="0" w:color="CCCCCC"/>
              <w:left w:val="single" w:sz="1" w:space="0" w:color="CCCCCC"/>
              <w:bottom w:val="single" w:sz="1" w:space="0" w:color="CCCCCC"/>
              <w:right w:val="single" w:sz="1" w:space="0" w:color="CCCCCC"/>
            </w:tcBorders>
            <w:shd w:val="clear" w:color="auto" w:fill="1B4F72"/>
            <w:tcMar>
              <w:top w:w="80" w:type="dxa"/>
              <w:left w:w="120" w:type="dxa"/>
              <w:bottom w:w="80" w:type="dxa"/>
              <w:right w:w="120" w:type="dxa"/>
            </w:tcMar>
          </w:tcPr>
          <w:p w:rsidR="00A35406">
            <w:pPr>
              <w:jc w:val="center"/>
            </w:pPr>
            <w:r>
              <w:rPr>
                <w:b/>
                <w:bCs/>
                <w:color w:val="FFFFFF"/>
                <w:sz w:val="20"/>
                <w:szCs w:val="20"/>
              </w:rPr>
              <w:t>Statistical Test</w:t>
            </w:r>
          </w:p>
        </w:tc>
      </w:tr>
      <w:tr>
        <w:tblPrEx>
          <w:tblW w:w="9026" w:type="dxa"/>
          <w:tblCellMar>
            <w:top w:w="0" w:type="dxa"/>
            <w:left w:w="10" w:type="dxa"/>
            <w:bottom w:w="0" w:type="dxa"/>
            <w:right w:w="10" w:type="dxa"/>
          </w:tblCellMar>
          <w:tblLook w:val="04A0"/>
        </w:tblPrEx>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Mental Wellbeing (WEMWBS)</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75% improved; mean increase 21% (+5.75 points)</w:t>
            </w:r>
          </w:p>
        </w:tc>
        <w:tc>
          <w:tcPr>
            <w:tcW w:w="26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t=3.64, df=11, p=0.004 (significant)</w:t>
            </w:r>
          </w:p>
        </w:tc>
      </w:tr>
      <w:tr>
        <w:tblPrEx>
          <w:tblW w:w="9026" w:type="dxa"/>
          <w:tblCellMar>
            <w:top w:w="0" w:type="dxa"/>
            <w:left w:w="10" w:type="dxa"/>
            <w:bottom w:w="0" w:type="dxa"/>
            <w:right w:w="10" w:type="dxa"/>
          </w:tblCellMar>
          <w:tblLook w:val="04A0"/>
        </w:tblPrEx>
        <w:tc>
          <w:tcPr>
            <w:tcW w:w="3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r>
              <w:rPr>
                <w:sz w:val="20"/>
                <w:szCs w:val="20"/>
              </w:rPr>
              <w:t>Anxiety (GAD-2)</w:t>
            </w:r>
          </w:p>
        </w:tc>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r>
              <w:rPr>
                <w:sz w:val="20"/>
                <w:szCs w:val="20"/>
              </w:rPr>
              <w:t>42% reduced anxiety; 1 participant achieved 75% reduction</w:t>
            </w:r>
          </w:p>
        </w:tc>
        <w:tc>
          <w:tcPr>
            <w:tcW w:w="2626"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r>
              <w:rPr>
                <w:sz w:val="20"/>
                <w:szCs w:val="20"/>
              </w:rPr>
              <w:t>t=-2.00, df=11, p=0.07 (trend, not significant)</w:t>
            </w:r>
          </w:p>
        </w:tc>
      </w:tr>
      <w:tr>
        <w:tblPrEx>
          <w:tblW w:w="9026" w:type="dxa"/>
          <w:tblCellMar>
            <w:top w:w="0" w:type="dxa"/>
            <w:left w:w="10" w:type="dxa"/>
            <w:bottom w:w="0" w:type="dxa"/>
            <w:right w:w="10" w:type="dxa"/>
          </w:tblCellMar>
          <w:tblLook w:val="04A0"/>
        </w:tblPrEx>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Connectedness to Nature</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92% improved; mean increase 64% (+21.9 points)</w:t>
            </w:r>
          </w:p>
        </w:tc>
        <w:tc>
          <w:tcPr>
            <w:tcW w:w="26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t=2.24, df=11, p=0.046 (significant)</w:t>
            </w:r>
          </w:p>
        </w:tc>
      </w:tr>
      <w:tr>
        <w:tblPrEx>
          <w:tblW w:w="9026" w:type="dxa"/>
          <w:tblCellMar>
            <w:top w:w="0" w:type="dxa"/>
            <w:left w:w="10" w:type="dxa"/>
            <w:bottom w:w="0" w:type="dxa"/>
            <w:right w:w="10" w:type="dxa"/>
          </w:tblCellMar>
          <w:tblLook w:val="04A0"/>
        </w:tblPrEx>
        <w:tc>
          <w:tcPr>
            <w:tcW w:w="3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r>
              <w:rPr>
                <w:sz w:val="20"/>
                <w:szCs w:val="20"/>
              </w:rPr>
              <w:t>Loneliness (UCLA Direct)</w:t>
            </w:r>
          </w:p>
        </w:tc>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r>
              <w:rPr>
                <w:sz w:val="20"/>
                <w:szCs w:val="20"/>
              </w:rPr>
              <w:t>42% reported reduced loneliness</w:t>
            </w:r>
          </w:p>
        </w:tc>
        <w:tc>
          <w:tcPr>
            <w:tcW w:w="2626"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pPr>
              <w:jc w:val="center"/>
            </w:pPr>
            <w:r>
              <w:rPr>
                <w:sz w:val="20"/>
                <w:szCs w:val="20"/>
              </w:rPr>
              <w:t>—</w:t>
            </w:r>
          </w:p>
        </w:tc>
      </w:tr>
      <w:tr>
        <w:tblPrEx>
          <w:tblW w:w="9026" w:type="dxa"/>
          <w:tblCellMar>
            <w:top w:w="0" w:type="dxa"/>
            <w:left w:w="10" w:type="dxa"/>
            <w:bottom w:w="0" w:type="dxa"/>
            <w:right w:w="10" w:type="dxa"/>
          </w:tblCellMar>
          <w:tblLook w:val="04A0"/>
        </w:tblPrEx>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Positive impact on life</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r>
              <w:rPr>
                <w:sz w:val="20"/>
                <w:szCs w:val="20"/>
              </w:rPr>
              <w:t>100% agreed or strongly agreed</w:t>
            </w:r>
          </w:p>
        </w:tc>
        <w:tc>
          <w:tcPr>
            <w:tcW w:w="26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rsidR="00A35406">
            <w:pPr>
              <w:jc w:val="center"/>
            </w:pPr>
            <w:r>
              <w:rPr>
                <w:sz w:val="20"/>
                <w:szCs w:val="20"/>
              </w:rPr>
              <w:t>—</w:t>
            </w:r>
          </w:p>
        </w:tc>
      </w:tr>
      <w:tr>
        <w:tblPrEx>
          <w:tblW w:w="9026" w:type="dxa"/>
          <w:tblCellMar>
            <w:top w:w="0" w:type="dxa"/>
            <w:left w:w="10" w:type="dxa"/>
            <w:bottom w:w="0" w:type="dxa"/>
            <w:right w:w="10" w:type="dxa"/>
          </w:tblCellMar>
          <w:tblLook w:val="04A0"/>
        </w:tblPrEx>
        <w:tc>
          <w:tcPr>
            <w:tcW w:w="3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r>
              <w:rPr>
                <w:sz w:val="20"/>
                <w:szCs w:val="20"/>
              </w:rPr>
              <w:t>Helped manage own health &amp; wellbeing</w:t>
            </w:r>
          </w:p>
        </w:tc>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r>
              <w:rPr>
                <w:sz w:val="20"/>
                <w:szCs w:val="20"/>
              </w:rPr>
              <w:t>100% agreed or strongly agreed</w:t>
            </w:r>
          </w:p>
        </w:tc>
        <w:tc>
          <w:tcPr>
            <w:tcW w:w="2626"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rsidR="00A35406">
            <w:pPr>
              <w:jc w:val="center"/>
            </w:pPr>
            <w:r>
              <w:rPr>
                <w:sz w:val="20"/>
                <w:szCs w:val="20"/>
              </w:rPr>
              <w:t>—</w:t>
            </w:r>
          </w:p>
        </w:tc>
      </w:tr>
    </w:tbl>
    <w:p w:rsidR="00A35406">
      <w:pPr>
        <w:spacing w:after="80"/>
      </w:pPr>
    </w:p>
    <w:p w:rsidR="00A35406">
      <w:pPr>
        <w:spacing w:after="160" w:line="276" w:lineRule="auto"/>
      </w:pPr>
      <w:r>
        <w:t xml:space="preserve">The qualitative evidence was equally compelling. All interviewees described lasting behaviour change: participants implemented breathing techniques, gratitude practices and nature-based coping strategies in their daily lives beyond the programme. Several reported improved family dynamics as a result of better emotional regulation. All had formed new friendships and planned to sustain them. The foraging activity inspired one participant to independently research courses and reconsider their career options — </w:t>
      </w:r>
      <w:r>
        <w:t>a direct pathway from health intervention to employment aspiration.</w:t>
      </w:r>
    </w:p>
    <w:p w:rsidR="00A35406">
      <w:pPr>
        <w:pStyle w:val="Heading10"/>
      </w:pPr>
      <w:r>
        <w:t>7. Recommendations</w:t>
      </w:r>
    </w:p>
    <w:p w:rsidR="00A35406">
      <w:pPr>
        <w:pStyle w:val="ListParagraph"/>
        <w:numPr>
          <w:ilvl w:val="0"/>
          <w:numId w:val="2"/>
        </w:numPr>
        <w:spacing w:after="120" w:line="276" w:lineRule="auto"/>
      </w:pPr>
      <w:r>
        <w:rPr>
          <w:b/>
          <w:bCs/>
        </w:rPr>
        <w:t xml:space="preserve">Invest in “pre-step” health interventions as part of the Youth Guarantee: </w:t>
      </w:r>
      <w:r>
        <w:t>DWP should commission evidence-based health interventions that prepare young people for employment and training, recognising that mental health is the primary barrier for a growing proportion of NEET young people.</w:t>
      </w:r>
    </w:p>
    <w:p w:rsidR="00A35406">
      <w:pPr>
        <w:pStyle w:val="ListParagraph"/>
        <w:numPr>
          <w:ilvl w:val="0"/>
          <w:numId w:val="2"/>
        </w:numPr>
        <w:spacing w:after="120" w:line="276" w:lineRule="auto"/>
      </w:pPr>
      <w:r>
        <w:rPr>
          <w:b/>
          <w:bCs/>
        </w:rPr>
        <w:t xml:space="preserve">Use primary care as a gateway to reach young people outside the benefits system: </w:t>
      </w:r>
      <w:r>
        <w:t>DWP should work with NHS England and ICBs to commission primary-care embedded programmes combining health improvement with employment pathway support, extending the Youth Guarantee’s reach to young people currently invisible to DWP.</w:t>
      </w:r>
    </w:p>
    <w:p w:rsidR="00A35406">
      <w:pPr>
        <w:pStyle w:val="ListParagraph"/>
        <w:numPr>
          <w:ilvl w:val="0"/>
          <w:numId w:val="2"/>
        </w:numPr>
        <w:spacing w:after="120" w:line="276" w:lineRule="auto"/>
      </w:pPr>
      <w:r>
        <w:rPr>
          <w:b/>
          <w:bCs/>
        </w:rPr>
        <w:t xml:space="preserve">Include green economy pathways in the Youth Guarantee: </w:t>
      </w:r>
      <w:r>
        <w:t>The current focus on construction, care and hospitality should be expanded to include conservation, land management and green health delivery — sectors aligned with net zero ambitions that offer purpose-driven work attractive to young people.</w:t>
      </w:r>
    </w:p>
    <w:p w:rsidR="00A35406">
      <w:pPr>
        <w:pStyle w:val="ListParagraph"/>
        <w:numPr>
          <w:ilvl w:val="0"/>
          <w:numId w:val="2"/>
        </w:numPr>
        <w:spacing w:after="120" w:line="276" w:lineRule="auto"/>
      </w:pPr>
      <w:r>
        <w:rPr>
          <w:b/>
          <w:bCs/>
        </w:rPr>
        <w:t xml:space="preserve">Fund rigorous evaluation of nature-based interventions for NEET young people: </w:t>
      </w:r>
      <w:r>
        <w:t>The evidence base is growing but fragmented. DWP should fund large-scale evaluations, in partnership with universities, to establish cost-effectiveness and long-term employment outcomes.</w:t>
      </w:r>
    </w:p>
    <w:p w:rsidR="00A35406">
      <w:pPr>
        <w:pStyle w:val="ListParagraph"/>
        <w:numPr>
          <w:ilvl w:val="0"/>
          <w:numId w:val="2"/>
        </w:numPr>
        <w:spacing w:after="200" w:line="276" w:lineRule="auto"/>
      </w:pPr>
      <w:r>
        <w:rPr>
          <w:b/>
          <w:bCs/>
        </w:rPr>
        <w:t xml:space="preserve">Support workforce development in nature-based health delivery: </w:t>
      </w:r>
      <w:r>
        <w:t>Training programme graduates to become facilitators creates a peer-led workforce pipeline. DWP should explore how apprenticeship frameworks and Skills Bootcamps could support this emerging sector.</w:t>
      </w:r>
    </w:p>
    <w:p w:rsidR="00A35406">
      <w:pPr>
        <w:pStyle w:val="Heading10"/>
      </w:pPr>
      <w:r>
        <w:t>8. Contact</w:t>
      </w:r>
    </w:p>
    <w:p w:rsidR="00A35406">
      <w:pPr>
        <w:spacing w:after="160" w:line="276" w:lineRule="auto"/>
      </w:pPr>
      <w:r>
        <w:t>We would welcome the opportunity to provide oral evidence to the Committee or to discuss our work in further detail.</w:t>
      </w:r>
    </w:p>
    <w:p w:rsidR="006F6C33">
      <w:pPr>
        <w:spacing w:after="160" w:line="276" w:lineRule="auto"/>
      </w:pPr>
    </w:p>
    <w:p w:rsidR="006F6C33" w:rsidRPr="006F6C33">
      <w:pPr>
        <w:spacing w:after="160" w:line="276" w:lineRule="auto"/>
        <w:rPr>
          <w:b/>
          <w:bCs/>
          <w:i/>
          <w:iCs/>
        </w:rPr>
      </w:pPr>
      <w:r w:rsidRPr="006F6C33">
        <w:rPr>
          <w:b/>
          <w:bCs/>
          <w:i/>
          <w:iCs/>
        </w:rPr>
        <w:t>February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1">
    <w:nsid w:val="00000002"/>
    <w:multiLevelType w:val="hybridMultilevel"/>
    <w:tmpl w:val="00000000"/>
    <w:lvl w:ilvl="0">
      <w:start w:val="1"/>
      <w:numFmt w:val="bullet"/>
      <w:lvlText w:val="•"/>
      <w:lvlJc w:val="left"/>
      <w:pPr>
        <w:ind w:left="720" w:hanging="360"/>
      </w:p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333333"/>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Heading11">
    <w:name w:val="Heading 11"/>
    <w:qFormat/>
    <w:rPr>
      <w:color w:val="2E74B5"/>
      <w:sz w:val="32"/>
      <w:szCs w:val="32"/>
    </w:rPr>
  </w:style>
  <w:style w:type="paragraph" w:customStyle="1" w:styleId="Heading21">
    <w:name w:val="Heading 21"/>
    <w:qFormat/>
    <w:rPr>
      <w:color w:val="2E74B5"/>
      <w:sz w:val="26"/>
      <w:szCs w:val="26"/>
    </w:rPr>
  </w:style>
  <w:style w:type="paragraph" w:customStyle="1" w:styleId="Heading31">
    <w:name w:val="Heading 31"/>
    <w:qFormat/>
    <w:rPr>
      <w:color w:val="1F4D78"/>
      <w:sz w:val="24"/>
      <w:szCs w:val="24"/>
    </w:rPr>
  </w:style>
  <w:style w:type="paragraph" w:customStyle="1" w:styleId="Heading41">
    <w:name w:val="Heading 41"/>
    <w:qFormat/>
    <w:rPr>
      <w:i/>
      <w:iCs/>
      <w:color w:val="2E74B5"/>
    </w:rPr>
  </w:style>
  <w:style w:type="paragraph" w:customStyle="1" w:styleId="Heading51">
    <w:name w:val="Heading 51"/>
    <w:qFormat/>
    <w:rPr>
      <w:color w:val="2E74B5"/>
    </w:rPr>
  </w:style>
  <w:style w:type="paragraph" w:customStyle="1" w:styleId="Heading61">
    <w:name w:val="Heading 61"/>
    <w:qFormat/>
    <w:rPr>
      <w:color w:val="1F4D7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Heading10">
    <w:name w:val="Heading 1_0"/>
    <w:qFormat/>
    <w:pPr>
      <w:spacing w:before="360" w:after="200"/>
      <w:outlineLvl w:val="0"/>
    </w:pPr>
    <w:rPr>
      <w:b/>
      <w:bCs/>
      <w:color w:val="1B4F72"/>
      <w:sz w:val="28"/>
      <w:szCs w:val="28"/>
    </w:rPr>
  </w:style>
  <w:style w:type="paragraph" w:customStyle="1" w:styleId="Heading20">
    <w:name w:val="Heading 2_0"/>
    <w:qFormat/>
    <w:pPr>
      <w:spacing w:before="280" w:after="160"/>
      <w:outlineLvl w:val="1"/>
    </w:pPr>
    <w:rPr>
      <w:b/>
      <w:bCs/>
      <w:color w:val="2E75B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YEET0142</dc:title>
  <cp:revision>0</cp:revision>
</cp:coreProperties>
</file>