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85FA0" w:rsidP="00804013">
      <w:pPr>
        <w:tabs>
          <w:tab w:val="left" w:pos="720"/>
        </w:tabs>
        <w:ind w:left="713" w:hanging="454"/>
        <w:contextualSpacing/>
      </w:pPr>
    </w:p>
    <w:p w:rsidR="00985FA0" w:rsidRPr="003174C3" w:rsidP="00793510">
      <w:pPr>
        <w:tabs>
          <w:tab w:val="left" w:pos="720"/>
        </w:tabs>
        <w:ind w:left="713" w:hanging="454"/>
        <w:contextualSpacing/>
        <w:jc w:val="center"/>
        <w:rPr>
          <w:b/>
          <w:bCs/>
          <w:sz w:val="24"/>
          <w:szCs w:val="24"/>
        </w:rPr>
      </w:pPr>
      <w:r w:rsidRPr="003174C3">
        <w:rPr>
          <w:b/>
          <w:bCs/>
          <w:sz w:val="24"/>
          <w:szCs w:val="24"/>
        </w:rPr>
        <w:t>Administration Committee inquiry into General Election Planning</w:t>
      </w:r>
    </w:p>
    <w:p w:rsidR="00985FA0" w:rsidP="00793510">
      <w:pPr>
        <w:tabs>
          <w:tab w:val="left" w:pos="720"/>
        </w:tabs>
        <w:ind w:left="713" w:hanging="454"/>
        <w:contextualSpacing/>
        <w:jc w:val="center"/>
        <w:rPr>
          <w:b/>
          <w:bCs/>
        </w:rPr>
      </w:pPr>
    </w:p>
    <w:p w:rsidR="00985FA0" w:rsidP="00793510">
      <w:pPr>
        <w:tabs>
          <w:tab w:val="left" w:pos="720"/>
        </w:tabs>
        <w:ind w:left="713" w:hanging="454"/>
        <w:contextualSpacing/>
        <w:jc w:val="center"/>
        <w:rPr>
          <w:b/>
          <w:bCs/>
        </w:rPr>
      </w:pPr>
    </w:p>
    <w:p w:rsidR="00985FA0" w:rsidP="001922AE">
      <w:pPr>
        <w:tabs>
          <w:tab w:val="left" w:pos="720"/>
        </w:tabs>
        <w:ind w:left="713" w:hanging="454"/>
        <w:contextualSpacing/>
        <w:rPr>
          <w:b/>
          <w:bCs/>
        </w:rPr>
      </w:pPr>
      <w:r>
        <w:rPr>
          <w:b/>
          <w:bCs/>
        </w:rPr>
        <w:t>Introduction</w:t>
      </w:r>
    </w:p>
    <w:p w:rsidR="00985FA0" w:rsidP="001922AE">
      <w:pPr>
        <w:numPr>
          <w:ilvl w:val="0"/>
          <w:numId w:val="6"/>
        </w:numPr>
        <w:tabs>
          <w:tab w:val="left" w:pos="720"/>
        </w:tabs>
        <w:contextualSpacing/>
      </w:pPr>
      <w:r>
        <w:t xml:space="preserve">Planning to ensure </w:t>
      </w:r>
      <w:r>
        <w:t>M</w:t>
      </w:r>
      <w:r>
        <w:t>embers and their staff</w:t>
      </w:r>
      <w:r>
        <w:t xml:space="preserve"> are well supported</w:t>
      </w:r>
      <w:r>
        <w:t xml:space="preserve">, whether </w:t>
      </w:r>
      <w:r>
        <w:t>joining or leaving the House at a General Election, has been and remains a key priority for the House.</w:t>
      </w:r>
    </w:p>
    <w:p w:rsidR="00985FA0" w:rsidP="001922AE">
      <w:pPr>
        <w:tabs>
          <w:tab w:val="left" w:pos="720"/>
        </w:tabs>
        <w:ind w:left="720"/>
        <w:contextualSpacing/>
      </w:pPr>
    </w:p>
    <w:p w:rsidR="00985FA0" w:rsidP="001922AE">
      <w:pPr>
        <w:numPr>
          <w:ilvl w:val="0"/>
          <w:numId w:val="6"/>
        </w:numPr>
        <w:tabs>
          <w:tab w:val="left" w:pos="720"/>
        </w:tabs>
        <w:contextualSpacing/>
      </w:pPr>
      <w:r>
        <w:t>In re</w:t>
      </w:r>
      <w:r>
        <w:t xml:space="preserve">cognition of this a General Election Planning Group (GEPG) coordinates planning for </w:t>
      </w:r>
      <w:r>
        <w:t xml:space="preserve">the services provided by the House of Commons Administration, working under the direction of the House of Commons Commission, Administration Committee and the </w:t>
      </w:r>
      <w:r>
        <w:t xml:space="preserve">Commons Executive Board. </w:t>
      </w:r>
    </w:p>
    <w:p w:rsidR="00985FA0" w:rsidP="001922AE">
      <w:pPr>
        <w:tabs>
          <w:tab w:val="left" w:pos="720"/>
        </w:tabs>
        <w:ind w:left="713" w:hanging="454"/>
        <w:contextualSpacing/>
        <w:rPr>
          <w:b/>
          <w:bCs/>
        </w:rPr>
      </w:pPr>
    </w:p>
    <w:p w:rsidR="00985FA0" w:rsidRPr="001922AE" w:rsidP="001922AE">
      <w:pPr>
        <w:tabs>
          <w:tab w:val="left" w:pos="720"/>
        </w:tabs>
        <w:ind w:left="713" w:hanging="454"/>
        <w:contextualSpacing/>
        <w:rPr>
          <w:b/>
          <w:bCs/>
        </w:rPr>
      </w:pPr>
      <w:r w:rsidRPr="001922AE">
        <w:rPr>
          <w:b/>
          <w:bCs/>
        </w:rPr>
        <w:t>Overview of arrangements in 2024</w:t>
      </w:r>
    </w:p>
    <w:p w:rsidR="00985FA0" w:rsidRPr="007014D8" w:rsidP="007014D8">
      <w:pPr>
        <w:numPr>
          <w:ilvl w:val="0"/>
          <w:numId w:val="6"/>
        </w:numPr>
        <w:tabs>
          <w:tab w:val="left" w:pos="720"/>
        </w:tabs>
        <w:contextualSpacing/>
      </w:pPr>
      <w:r w:rsidRPr="007014D8">
        <w:t>Upon their arrival in Westminster, newly elected Members were assigned an election buddy who supported them through the New Members Reception Area (NMRA) and offered them a business tour of the House.  </w:t>
      </w:r>
    </w:p>
    <w:p w:rsidR="00985FA0" w:rsidRPr="007014D8" w:rsidP="007014D8">
      <w:pPr>
        <w:tabs>
          <w:tab w:val="left" w:pos="720"/>
        </w:tabs>
        <w:ind w:left="713" w:hanging="454"/>
        <w:contextualSpacing/>
      </w:pPr>
      <w:r w:rsidRPr="007014D8">
        <w:t> </w:t>
      </w:r>
    </w:p>
    <w:p w:rsidR="00985FA0" w:rsidRPr="007014D8" w:rsidP="007014D8">
      <w:pPr>
        <w:numPr>
          <w:ilvl w:val="0"/>
          <w:numId w:val="7"/>
        </w:numPr>
        <w:tabs>
          <w:tab w:val="left" w:pos="720"/>
        </w:tabs>
        <w:contextualSpacing/>
      </w:pPr>
      <w:r w:rsidRPr="007014D8">
        <w:t>Following the NMRA, 337</w:t>
      </w:r>
      <w:r w:rsidRPr="007014D8">
        <w:rPr>
          <w:vertAlign w:val="superscript"/>
        </w:rPr>
        <w:t>1</w:t>
      </w:r>
      <w:r w:rsidRPr="007014D8">
        <w:t> of new Members (97%) participated in the House induction programme, designed by the Administration in consultation with party whips, to support them in their new role. Additional sessions, to consolidate initial information delivered and respond to feedback from Members and parties</w:t>
      </w:r>
      <w:r>
        <w:t xml:space="preserve"> were delivered with f</w:t>
      </w:r>
      <w:r w:rsidRPr="007014D8">
        <w:t>urther training to support both Members and their staff</w:t>
      </w:r>
      <w:r>
        <w:t xml:space="preserve"> </w:t>
      </w:r>
      <w:r w:rsidRPr="007014D8">
        <w:t>offered throughout the remainder of th</w:t>
      </w:r>
      <w:r>
        <w:t xml:space="preserve">e </w:t>
      </w:r>
      <w:r w:rsidRPr="007014D8">
        <w:t>year and into the next across a range of areas. </w:t>
      </w:r>
    </w:p>
    <w:p w:rsidR="00985FA0" w:rsidP="007014D8">
      <w:pPr>
        <w:tabs>
          <w:tab w:val="left" w:pos="720"/>
        </w:tabs>
        <w:ind w:left="713" w:hanging="454"/>
        <w:contextualSpacing/>
        <w:rPr>
          <w:i/>
          <w:iCs/>
        </w:rPr>
      </w:pPr>
    </w:p>
    <w:p w:rsidR="00985FA0" w:rsidRPr="007014D8" w:rsidP="007014D8">
      <w:pPr>
        <w:tabs>
          <w:tab w:val="left" w:pos="720"/>
        </w:tabs>
        <w:ind w:left="713" w:hanging="454"/>
        <w:contextualSpacing/>
      </w:pPr>
      <w:r w:rsidRPr="007014D8">
        <w:rPr>
          <w:i/>
          <w:iCs/>
        </w:rPr>
        <w:t>Support for Member’s staff</w:t>
      </w:r>
      <w:r w:rsidRPr="007014D8">
        <w:t> </w:t>
      </w:r>
    </w:p>
    <w:p w:rsidR="00985FA0" w:rsidRPr="007014D8" w:rsidP="007014D8">
      <w:pPr>
        <w:numPr>
          <w:ilvl w:val="0"/>
          <w:numId w:val="8"/>
        </w:numPr>
        <w:tabs>
          <w:tab w:val="left" w:pos="720"/>
        </w:tabs>
        <w:contextualSpacing/>
      </w:pPr>
      <w:r w:rsidRPr="007014D8">
        <w:t>The role of election buddies was extended at this election to provide support to newly recruited member’s staff, with the buddy remaining available to both the Member and Member’s office manager to support orientating with the House Administration and its services. </w:t>
      </w:r>
    </w:p>
    <w:p w:rsidR="00985FA0" w:rsidRPr="007014D8" w:rsidP="007014D8">
      <w:pPr>
        <w:tabs>
          <w:tab w:val="left" w:pos="720"/>
        </w:tabs>
        <w:ind w:left="713" w:hanging="454"/>
        <w:contextualSpacing/>
      </w:pPr>
      <w:r w:rsidRPr="007014D8">
        <w:t> </w:t>
      </w:r>
    </w:p>
    <w:p w:rsidR="00985FA0" w:rsidP="007014D8">
      <w:pPr>
        <w:numPr>
          <w:ilvl w:val="0"/>
          <w:numId w:val="9"/>
        </w:numPr>
        <w:tabs>
          <w:tab w:val="left" w:pos="720"/>
        </w:tabs>
        <w:contextualSpacing/>
      </w:pPr>
      <w:r w:rsidRPr="007014D8">
        <w:t xml:space="preserve">A formal induction programme was offered for the first time for Member’s staff, which included in person and virtual office manager sessions. Additionally tours of the estate </w:t>
      </w:r>
      <w:r>
        <w:t>were</w:t>
      </w:r>
      <w:r w:rsidRPr="007014D8">
        <w:t xml:space="preserve"> provided by staff of the House throughout recess to offer a similar orientation to that received by new member, with over 100 participating. </w:t>
      </w:r>
    </w:p>
    <w:p w:rsidR="00985FA0" w:rsidRPr="007014D8" w:rsidP="00B7698E">
      <w:pPr>
        <w:tabs>
          <w:tab w:val="left" w:pos="720"/>
        </w:tabs>
        <w:ind w:left="720"/>
        <w:contextualSpacing/>
      </w:pPr>
    </w:p>
    <w:p w:rsidR="00985FA0" w:rsidRPr="00E91FA9" w:rsidP="00E91FA9">
      <w:pPr>
        <w:tabs>
          <w:tab w:val="left" w:pos="720"/>
        </w:tabs>
        <w:ind w:left="713" w:hanging="454"/>
        <w:contextualSpacing/>
        <w:rPr>
          <w:i/>
          <w:iCs/>
        </w:rPr>
      </w:pPr>
      <w:r w:rsidRPr="00E91FA9">
        <w:rPr>
          <w:i/>
          <w:iCs/>
        </w:rPr>
        <w:t xml:space="preserve">Security Provision for the General Election </w:t>
      </w:r>
    </w:p>
    <w:p w:rsidR="00985FA0" w:rsidRPr="00E91FA9" w:rsidP="00E91FA9">
      <w:pPr>
        <w:numPr>
          <w:ilvl w:val="0"/>
          <w:numId w:val="8"/>
        </w:numPr>
        <w:tabs>
          <w:tab w:val="left" w:pos="720"/>
        </w:tabs>
        <w:contextualSpacing/>
      </w:pPr>
      <w:r w:rsidRPr="00E91FA9">
        <w:t xml:space="preserve">The Parliamentary Security Department (PSD)’s security offer to MPs changed significantly during the previous Parliament, with the introduction of security operatives, provision of taxis and risk assessments among other initiatives. In order to ensure that MPs did not face a reduction in security measures during dissolution (at which point the Administration is unable to provide security measures to MPs who become candidates), we put in place an arrangement with the Home Office which enabled them to mirror </w:t>
      </w:r>
      <w:r w:rsidRPr="00E91FA9">
        <w:t>the PSD offer for all candidates.  As requested by the Speaker’s Conference, the Home Office have indicated that this will be replicated for future GEs.</w:t>
      </w:r>
      <w:r w:rsidRPr="00E91FA9">
        <w:rPr>
          <w:rFonts w:ascii="Arial" w:hAnsi="Arial" w:cs="Arial"/>
        </w:rPr>
        <w:t> </w:t>
      </w:r>
      <w:r w:rsidRPr="00E91FA9">
        <w:t xml:space="preserve"> </w:t>
      </w:r>
    </w:p>
    <w:p w:rsidR="00985FA0" w:rsidP="00E91FA9">
      <w:pPr>
        <w:ind w:left="720"/>
        <w:contextualSpacing/>
      </w:pPr>
    </w:p>
    <w:p w:rsidR="00985FA0" w:rsidP="00E91FA9">
      <w:pPr>
        <w:numPr>
          <w:ilvl w:val="0"/>
          <w:numId w:val="8"/>
        </w:numPr>
        <w:tabs>
          <w:tab w:val="left" w:pos="720"/>
        </w:tabs>
        <w:contextualSpacing/>
      </w:pPr>
      <w:r w:rsidRPr="00E91FA9">
        <w:t xml:space="preserve">PSD also provided some general briefings on security for candidates via the Whips’ offices and engaged with wider Government’s election planning.  </w:t>
      </w:r>
    </w:p>
    <w:p w:rsidR="00985FA0" w:rsidRPr="00E91FA9" w:rsidP="00306BDA">
      <w:pPr>
        <w:tabs>
          <w:tab w:val="left" w:pos="720"/>
        </w:tabs>
        <w:ind w:left="720"/>
        <w:contextualSpacing/>
      </w:pPr>
    </w:p>
    <w:p w:rsidR="00985FA0" w:rsidRPr="00E91FA9" w:rsidP="00E91FA9">
      <w:pPr>
        <w:numPr>
          <w:ilvl w:val="0"/>
          <w:numId w:val="8"/>
        </w:numPr>
        <w:tabs>
          <w:tab w:val="left" w:pos="720"/>
        </w:tabs>
        <w:contextualSpacing/>
      </w:pPr>
      <w:r w:rsidRPr="00E91FA9">
        <w:t xml:space="preserve">PSD provided the security input at the NMRA immediately after the election. We focused on information gathering, to avoid swamping the new MPs with new information. The information we gathered enabled us to prioritise our following actions. At the NMRA, we: </w:t>
      </w:r>
    </w:p>
    <w:p w:rsidR="00985FA0" w:rsidRPr="00E91FA9" w:rsidP="00E91FA9">
      <w:pPr>
        <w:tabs>
          <w:tab w:val="left" w:pos="720"/>
        </w:tabs>
        <w:ind w:left="720"/>
        <w:contextualSpacing/>
      </w:pPr>
      <w:r w:rsidRPr="00E91FA9">
        <w:t xml:space="preserve">Held a short meeting face to face with every new MP, asking about known security issues, current security provisions and used this to help prioritise and schedule visits. We also obtained their mobile number, for future contact (for example to arrange the visits by ADT). </w:t>
      </w:r>
    </w:p>
    <w:p w:rsidR="00985FA0" w:rsidP="00746A1B">
      <w:pPr>
        <w:ind w:left="720"/>
        <w:contextualSpacing/>
      </w:pPr>
    </w:p>
    <w:p w:rsidR="00985FA0" w:rsidRPr="00E91FA9" w:rsidP="00E91FA9">
      <w:pPr>
        <w:numPr>
          <w:ilvl w:val="0"/>
          <w:numId w:val="8"/>
        </w:numPr>
        <w:tabs>
          <w:tab w:val="left" w:pos="720"/>
        </w:tabs>
        <w:contextualSpacing/>
      </w:pPr>
      <w:r w:rsidRPr="00E91FA9">
        <w:t>Immediately after the NMRA, in the first week of the new Parliament, PSD provided a first security briefing, in party groups, as part of their Induction Programme. The briefing lasted an hour, covering an overview of the threats to MPs, security on the Estate, Personal security, and cyber security.</w:t>
      </w:r>
      <w:r w:rsidRPr="00E91FA9">
        <w:rPr>
          <w:rFonts w:ascii="Arial" w:hAnsi="Arial" w:cs="Arial"/>
        </w:rPr>
        <w:t> </w:t>
      </w:r>
      <w:r w:rsidRPr="00E91FA9">
        <w:t xml:space="preserve"> </w:t>
      </w:r>
    </w:p>
    <w:p w:rsidR="00985FA0" w:rsidP="00746A1B">
      <w:pPr>
        <w:ind w:left="720"/>
        <w:contextualSpacing/>
      </w:pPr>
    </w:p>
    <w:p w:rsidR="00985FA0" w:rsidP="00E91FA9">
      <w:pPr>
        <w:numPr>
          <w:ilvl w:val="0"/>
          <w:numId w:val="8"/>
        </w:numPr>
        <w:tabs>
          <w:tab w:val="left" w:pos="720"/>
        </w:tabs>
        <w:contextualSpacing/>
      </w:pPr>
      <w:r w:rsidRPr="00E91FA9">
        <w:t xml:space="preserve">Once all new MPs had returned home for the summer recess, we sent a personal letter, enclosing a Members Security Handbook and a guide to securing their mobile phone, to the home address of each new MP. Receiving our Handbook in this way circumvented overloaded inboxes and ensured it was read by the MP themselves, enabling them to discuss home security issues with their partner if they wished. </w:t>
      </w:r>
      <w:r w:rsidRPr="00E91FA9">
        <w:rPr>
          <w:rFonts w:ascii="Arial" w:hAnsi="Arial" w:cs="Arial"/>
        </w:rPr>
        <w:t> </w:t>
      </w:r>
      <w:r w:rsidRPr="00E91FA9">
        <w:t xml:space="preserve"> </w:t>
      </w:r>
    </w:p>
    <w:p w:rsidR="00985FA0" w:rsidP="00746A1B">
      <w:pPr>
        <w:ind w:left="720"/>
        <w:contextualSpacing/>
      </w:pPr>
    </w:p>
    <w:p w:rsidR="00985FA0" w:rsidRPr="00E91FA9" w:rsidP="00E91FA9">
      <w:pPr>
        <w:numPr>
          <w:ilvl w:val="0"/>
          <w:numId w:val="8"/>
        </w:numPr>
        <w:tabs>
          <w:tab w:val="left" w:pos="720"/>
        </w:tabs>
        <w:contextualSpacing/>
      </w:pPr>
      <w:r w:rsidRPr="00E91FA9">
        <w:t>After the House returned in September, Mr. Speaker invited every new MP to a series of meetings, along Party lines. This was so that Mr Speaker could impress upon them the importance of taking up our security offer, as well as briefing them on procedures and etiquette in the Chamber.</w:t>
      </w:r>
      <w:r w:rsidRPr="00E91FA9">
        <w:rPr>
          <w:rFonts w:ascii="Arial" w:hAnsi="Arial" w:cs="Arial"/>
        </w:rPr>
        <w:t> </w:t>
      </w:r>
      <w:r w:rsidRPr="00E91FA9">
        <w:t xml:space="preserve">This was a strong driver of demand for PSD’s security measures in the first months of the new Parliament. </w:t>
      </w:r>
    </w:p>
    <w:p w:rsidR="00985FA0" w:rsidRPr="00E91FA9" w:rsidP="00746A1B">
      <w:pPr>
        <w:tabs>
          <w:tab w:val="left" w:pos="720"/>
        </w:tabs>
        <w:ind w:left="720"/>
        <w:contextualSpacing/>
      </w:pPr>
      <w:r w:rsidRPr="00E91FA9">
        <w:t xml:space="preserve"> </w:t>
      </w:r>
    </w:p>
    <w:p w:rsidR="00985FA0" w:rsidRPr="007014D8" w:rsidP="00746A1B">
      <w:pPr>
        <w:tabs>
          <w:tab w:val="left" w:pos="720"/>
        </w:tabs>
        <w:ind w:left="720"/>
        <w:contextualSpacing/>
      </w:pPr>
    </w:p>
    <w:p w:rsidR="00985FA0" w:rsidRPr="007014D8" w:rsidP="007014D8">
      <w:pPr>
        <w:tabs>
          <w:tab w:val="left" w:pos="720"/>
        </w:tabs>
        <w:ind w:left="713" w:hanging="454"/>
        <w:contextualSpacing/>
      </w:pPr>
      <w:r w:rsidRPr="007014D8">
        <w:rPr>
          <w:i/>
          <w:iCs/>
        </w:rPr>
        <w:t>Accommodation and onsite services</w:t>
      </w:r>
      <w:r w:rsidRPr="007014D8">
        <w:t> </w:t>
      </w:r>
    </w:p>
    <w:p w:rsidR="00985FA0" w:rsidRPr="007014D8" w:rsidP="007014D8">
      <w:pPr>
        <w:numPr>
          <w:ilvl w:val="0"/>
          <w:numId w:val="13"/>
        </w:numPr>
        <w:tabs>
          <w:tab w:val="left" w:pos="720"/>
        </w:tabs>
        <w:contextualSpacing/>
      </w:pPr>
      <w:r w:rsidRPr="007014D8">
        <w:t>Accommodation moves for the Great Offices of State, Leader and Shadow Leader of the House and the whips of the four main parties were completed over the first weekend following the election. </w:t>
      </w:r>
    </w:p>
    <w:p w:rsidR="00985FA0" w:rsidRPr="007014D8" w:rsidP="007014D8">
      <w:pPr>
        <w:tabs>
          <w:tab w:val="left" w:pos="720"/>
        </w:tabs>
        <w:ind w:left="713" w:hanging="454"/>
        <w:contextualSpacing/>
      </w:pPr>
      <w:r w:rsidRPr="007014D8">
        <w:t> </w:t>
      </w:r>
    </w:p>
    <w:p w:rsidR="00985FA0" w:rsidRPr="007014D8" w:rsidP="007014D8">
      <w:pPr>
        <w:numPr>
          <w:ilvl w:val="0"/>
          <w:numId w:val="14"/>
        </w:numPr>
        <w:tabs>
          <w:tab w:val="left" w:pos="720"/>
        </w:tabs>
        <w:contextualSpacing/>
      </w:pPr>
      <w:r w:rsidRPr="007014D8">
        <w:t>Work to relocate returned Members into alternative accommodation and move new Members into permanent accommodation progressed significantly during summer recess. </w:t>
      </w:r>
      <w:r>
        <w:t xml:space="preserve">By the start of September the </w:t>
      </w:r>
      <w:r>
        <w:t xml:space="preserve">Accommodation </w:t>
      </w:r>
      <w:r w:rsidRPr="007014D8">
        <w:t>Whips</w:t>
      </w:r>
      <w:r w:rsidRPr="007014D8">
        <w:t>: </w:t>
      </w:r>
    </w:p>
    <w:p w:rsidR="00985FA0" w:rsidRPr="007014D8" w:rsidP="007014D8">
      <w:pPr>
        <w:tabs>
          <w:tab w:val="left" w:pos="720"/>
        </w:tabs>
        <w:ind w:left="713" w:hanging="454"/>
        <w:contextualSpacing/>
      </w:pPr>
      <w:r w:rsidRPr="007014D8">
        <w:t> </w:t>
      </w:r>
    </w:p>
    <w:p w:rsidR="00985FA0" w:rsidP="007014D8">
      <w:pPr>
        <w:numPr>
          <w:ilvl w:val="0"/>
          <w:numId w:val="15"/>
        </w:numPr>
        <w:tabs>
          <w:tab w:val="left" w:pos="720"/>
        </w:tabs>
        <w:contextualSpacing/>
      </w:pPr>
      <w:r w:rsidRPr="007014D8">
        <w:t>allocated 403 office spaces to returned Members and their staff</w:t>
      </w:r>
      <w:r>
        <w:t>.</w:t>
      </w:r>
    </w:p>
    <w:p w:rsidR="00985FA0" w:rsidRPr="007014D8" w:rsidP="0095251E">
      <w:pPr>
        <w:tabs>
          <w:tab w:val="left" w:pos="720"/>
        </w:tabs>
        <w:ind w:left="720"/>
        <w:contextualSpacing/>
      </w:pPr>
    </w:p>
    <w:p w:rsidR="00985FA0" w:rsidP="007014D8">
      <w:pPr>
        <w:numPr>
          <w:ilvl w:val="0"/>
          <w:numId w:val="16"/>
        </w:numPr>
        <w:tabs>
          <w:tab w:val="left" w:pos="720"/>
        </w:tabs>
        <w:contextualSpacing/>
      </w:pPr>
      <w:r w:rsidRPr="007014D8">
        <w:t>allocated all 350 office spaces to new Members </w:t>
      </w:r>
    </w:p>
    <w:p w:rsidR="00985FA0" w:rsidRPr="007014D8" w:rsidP="00D13539">
      <w:pPr>
        <w:tabs>
          <w:tab w:val="left" w:pos="720"/>
        </w:tabs>
        <w:ind w:left="720"/>
        <w:contextualSpacing/>
      </w:pPr>
    </w:p>
    <w:p w:rsidR="00985FA0" w:rsidRPr="007014D8" w:rsidP="007014D8">
      <w:pPr>
        <w:tabs>
          <w:tab w:val="left" w:pos="720"/>
        </w:tabs>
        <w:ind w:left="713" w:hanging="454"/>
        <w:contextualSpacing/>
      </w:pPr>
      <w:r w:rsidRPr="007014D8">
        <w:t>Support for Members leaving elected office   </w:t>
      </w:r>
    </w:p>
    <w:p w:rsidR="00985FA0" w:rsidRPr="007014D8" w:rsidP="00D13539">
      <w:pPr>
        <w:numPr>
          <w:ilvl w:val="0"/>
          <w:numId w:val="14"/>
        </w:numPr>
        <w:tabs>
          <w:tab w:val="left" w:pos="720"/>
        </w:tabs>
        <w:contextualSpacing/>
      </w:pPr>
      <w:r w:rsidRPr="007014D8">
        <w:t>All former members participated in meetings with the House Administration and IPSA, in which they received professional advice on winding up their parliamentary affairs. Support from both organisations continues throughout the four-month winding-up period, </w:t>
      </w:r>
      <w:r>
        <w:t xml:space="preserve">which occurred between the </w:t>
      </w:r>
      <w:r w:rsidRPr="007014D8">
        <w:t xml:space="preserve"> 5 July to 4 November 2024. </w:t>
      </w:r>
    </w:p>
    <w:p w:rsidR="00985FA0" w:rsidRPr="007014D8" w:rsidP="0039764E">
      <w:pPr>
        <w:tabs>
          <w:tab w:val="left" w:pos="720"/>
        </w:tabs>
        <w:ind w:left="720"/>
        <w:contextualSpacing/>
      </w:pPr>
    </w:p>
    <w:p w:rsidR="00985FA0" w:rsidRPr="007014D8" w:rsidP="00D13539">
      <w:pPr>
        <w:numPr>
          <w:ilvl w:val="0"/>
          <w:numId w:val="14"/>
        </w:numPr>
        <w:tabs>
          <w:tab w:val="left" w:pos="720"/>
        </w:tabs>
        <w:contextualSpacing/>
      </w:pPr>
      <w:r w:rsidRPr="007014D8">
        <w:t>Additional support and signposting of services to support staff of departing members was provided at this election, with bespoke dissolution guidance</w:t>
      </w:r>
      <w:r>
        <w:t xml:space="preserve"> and</w:t>
      </w:r>
      <w:r w:rsidRPr="007014D8">
        <w:t xml:space="preserve"> roadshows</w:t>
      </w:r>
    </w:p>
    <w:p w:rsidR="00985FA0" w:rsidP="0039764E">
      <w:pPr>
        <w:tabs>
          <w:tab w:val="left" w:pos="720"/>
        </w:tabs>
        <w:ind w:left="720"/>
        <w:contextualSpacing/>
      </w:pPr>
    </w:p>
    <w:p w:rsidR="00985FA0" w:rsidP="003060A2">
      <w:pPr>
        <w:numPr>
          <w:ilvl w:val="0"/>
          <w:numId w:val="14"/>
        </w:numPr>
        <w:tabs>
          <w:tab w:val="left" w:pos="720"/>
        </w:tabs>
        <w:ind w:left="713" w:hanging="454"/>
        <w:contextualSpacing/>
      </w:pPr>
      <w:r w:rsidRPr="007014D8">
        <w:t>A career transition service providing career coaching, market connections and networking opportunities for non-returned Members was introduced by the House Administration following the election. </w:t>
      </w:r>
    </w:p>
    <w:p w:rsidR="00985FA0" w:rsidP="006B0405">
      <w:pPr>
        <w:tabs>
          <w:tab w:val="left" w:pos="720"/>
        </w:tabs>
        <w:rPr>
          <w:b/>
          <w:bCs/>
        </w:rPr>
      </w:pPr>
    </w:p>
    <w:p w:rsidR="00985FA0" w:rsidRPr="006B0405" w:rsidP="006B0405">
      <w:pPr>
        <w:tabs>
          <w:tab w:val="left" w:pos="720"/>
        </w:tabs>
        <w:rPr>
          <w:b/>
          <w:bCs/>
        </w:rPr>
      </w:pPr>
      <w:r>
        <w:rPr>
          <w:b/>
          <w:bCs/>
        </w:rPr>
        <w:t>Feedback</w:t>
      </w:r>
    </w:p>
    <w:p w:rsidR="00985FA0" w:rsidP="006B0405">
      <w:pPr>
        <w:numPr>
          <w:ilvl w:val="0"/>
          <w:numId w:val="14"/>
        </w:numPr>
        <w:tabs>
          <w:tab w:val="left" w:pos="720"/>
        </w:tabs>
        <w:contextualSpacing/>
      </w:pPr>
      <w:r w:rsidRPr="0084449F">
        <w:t xml:space="preserve">GEPG sought to ensure that capturing </w:t>
      </w:r>
      <w:r>
        <w:t xml:space="preserve">feedback and identifying opportunities for the future </w:t>
      </w:r>
      <w:r w:rsidRPr="0084449F">
        <w:t>was embedded within its approach from the outset</w:t>
      </w:r>
      <w:r>
        <w:t xml:space="preserve">. This was conducted across </w:t>
      </w:r>
      <w:r>
        <w:t>five phases</w:t>
      </w:r>
    </w:p>
    <w:p w:rsidR="00985FA0" w:rsidP="006B3A61">
      <w:pPr>
        <w:numPr>
          <w:ilvl w:val="1"/>
          <w:numId w:val="14"/>
        </w:numPr>
        <w:tabs>
          <w:tab w:val="left" w:pos="720"/>
        </w:tabs>
        <w:contextualSpacing/>
      </w:pPr>
      <w:r>
        <w:t xml:space="preserve">Phase 1: </w:t>
      </w:r>
      <w:r>
        <w:t>An initial survey sent to all new Members two weeks after the Election.</w:t>
      </w:r>
    </w:p>
    <w:p w:rsidR="00985FA0" w:rsidP="006B3A61">
      <w:pPr>
        <w:numPr>
          <w:ilvl w:val="1"/>
          <w:numId w:val="14"/>
        </w:numPr>
        <w:tabs>
          <w:tab w:val="left" w:pos="720"/>
        </w:tabs>
        <w:contextualSpacing/>
      </w:pPr>
      <w:r>
        <w:t xml:space="preserve">Phase 2: </w:t>
      </w:r>
      <w:r>
        <w:t>A further survey and targeted focus groups with Members and political parties.</w:t>
      </w:r>
    </w:p>
    <w:p w:rsidR="00985FA0" w:rsidP="006B3A61">
      <w:pPr>
        <w:numPr>
          <w:ilvl w:val="1"/>
          <w:numId w:val="14"/>
        </w:numPr>
        <w:tabs>
          <w:tab w:val="left" w:pos="720"/>
        </w:tabs>
        <w:contextualSpacing/>
      </w:pPr>
      <w:r>
        <w:t>Phase 3: Survey of New Members Staff</w:t>
      </w:r>
    </w:p>
    <w:p w:rsidR="00985FA0" w:rsidP="006B3A61">
      <w:pPr>
        <w:numPr>
          <w:ilvl w:val="1"/>
          <w:numId w:val="14"/>
        </w:numPr>
        <w:tabs>
          <w:tab w:val="left" w:pos="720"/>
        </w:tabs>
        <w:contextualSpacing/>
      </w:pPr>
      <w:r>
        <w:t>Phase 4: One Year on Survey of New Members</w:t>
      </w:r>
    </w:p>
    <w:p w:rsidR="00985FA0" w:rsidRPr="0084449F" w:rsidP="006B3A61">
      <w:pPr>
        <w:numPr>
          <w:ilvl w:val="1"/>
          <w:numId w:val="14"/>
        </w:numPr>
        <w:tabs>
          <w:tab w:val="left" w:pos="720"/>
        </w:tabs>
        <w:contextualSpacing/>
      </w:pPr>
      <w:r>
        <w:t>Phase 5: Ongoing Lessons learned programme within GEPG.</w:t>
      </w:r>
    </w:p>
    <w:p w:rsidR="00985FA0" w:rsidRPr="0084449F" w:rsidP="005605C4">
      <w:pPr>
        <w:pStyle w:val="ListParagraph"/>
        <w:widowControl w:val="0"/>
        <w:tabs>
          <w:tab w:val="left" w:pos="1042"/>
        </w:tabs>
        <w:autoSpaceDE w:val="0"/>
        <w:autoSpaceDN w:val="0"/>
        <w:spacing w:before="197" w:after="0" w:line="240" w:lineRule="auto"/>
        <w:ind w:left="1042" w:right="114"/>
        <w:contextualSpacing w:val="0"/>
        <w:jc w:val="both"/>
        <w:rPr>
          <w:bCs/>
          <w:sz w:val="24"/>
        </w:rPr>
      </w:pPr>
    </w:p>
    <w:p w:rsidR="00985FA0" w:rsidRPr="0084449F" w:rsidP="005605C4">
      <w:pPr>
        <w:numPr>
          <w:ilvl w:val="0"/>
          <w:numId w:val="14"/>
        </w:numPr>
        <w:tabs>
          <w:tab w:val="left" w:pos="720"/>
        </w:tabs>
        <w:contextualSpacing/>
      </w:pPr>
      <w:r w:rsidRPr="0084449F">
        <w:t xml:space="preserve">Key points arising from Member feedback </w:t>
      </w:r>
      <w:r>
        <w:t>were</w:t>
      </w:r>
      <w:r w:rsidRPr="0084449F">
        <w:t>:</w:t>
      </w:r>
    </w:p>
    <w:p w:rsidR="00985FA0" w:rsidRPr="005605C4" w:rsidP="005605C4">
      <w:pPr>
        <w:numPr>
          <w:ilvl w:val="1"/>
          <w:numId w:val="14"/>
        </w:numPr>
        <w:tabs>
          <w:tab w:val="left" w:pos="720"/>
        </w:tabs>
        <w:contextualSpacing/>
      </w:pPr>
      <w:r w:rsidRPr="005605C4">
        <w:t>Significant amount of positive feedback for staff of the House.</w:t>
      </w:r>
    </w:p>
    <w:p w:rsidR="00985FA0" w:rsidRPr="005605C4" w:rsidP="005605C4">
      <w:pPr>
        <w:numPr>
          <w:ilvl w:val="1"/>
          <w:numId w:val="14"/>
        </w:numPr>
        <w:tabs>
          <w:tab w:val="left" w:pos="720"/>
        </w:tabs>
        <w:contextualSpacing/>
      </w:pPr>
      <w:r>
        <w:t>C</w:t>
      </w:r>
      <w:r>
        <w:t>hallenges presented by the volume of</w:t>
      </w:r>
      <w:r w:rsidRPr="005605C4">
        <w:t xml:space="preserve"> information</w:t>
      </w:r>
      <w:r>
        <w:t xml:space="preserve"> to take in and</w:t>
      </w:r>
      <w:r w:rsidRPr="005605C4">
        <w:t xml:space="preserve"> in setting up their offices</w:t>
      </w:r>
      <w:r>
        <w:t>, within the first few weeks.</w:t>
      </w:r>
    </w:p>
    <w:p w:rsidR="00985FA0" w:rsidRPr="005605C4" w:rsidP="005605C4">
      <w:pPr>
        <w:numPr>
          <w:ilvl w:val="1"/>
          <w:numId w:val="14"/>
        </w:numPr>
        <w:tabs>
          <w:tab w:val="left" w:pos="720"/>
        </w:tabs>
        <w:contextualSpacing/>
      </w:pPr>
      <w:r w:rsidRPr="005605C4">
        <w:t xml:space="preserve">Need more support in initial weeks </w:t>
      </w:r>
    </w:p>
    <w:p w:rsidR="00985FA0" w:rsidRPr="005605C4" w:rsidP="005605C4">
      <w:pPr>
        <w:numPr>
          <w:ilvl w:val="1"/>
          <w:numId w:val="14"/>
        </w:numPr>
        <w:tabs>
          <w:tab w:val="left" w:pos="720"/>
        </w:tabs>
        <w:contextualSpacing/>
      </w:pPr>
      <w:r w:rsidRPr="005605C4">
        <w:t>Independent and smaller parties have different requirements to established parties.</w:t>
      </w:r>
    </w:p>
    <w:p w:rsidR="00985FA0" w:rsidRPr="00C63030" w:rsidP="00E747FE">
      <w:pPr>
        <w:numPr>
          <w:ilvl w:val="1"/>
          <w:numId w:val="14"/>
        </w:numPr>
        <w:tabs>
          <w:tab w:val="left" w:pos="720"/>
        </w:tabs>
        <w:contextualSpacing/>
        <w:rPr>
          <w:bCs/>
          <w:sz w:val="24"/>
        </w:rPr>
      </w:pPr>
      <w:r w:rsidRPr="005605C4">
        <w:t>The challenge for new Members in having to essentially take on three roles within days of being elected.</w:t>
      </w:r>
    </w:p>
    <w:p w:rsidR="00985FA0" w:rsidP="00C63030">
      <w:pPr>
        <w:ind w:left="1440"/>
        <w:contextualSpacing/>
        <w:rPr>
          <w:bCs/>
          <w:sz w:val="24"/>
        </w:rPr>
      </w:pPr>
    </w:p>
    <w:p w:rsidR="00985FA0" w:rsidP="00C63030">
      <w:pPr>
        <w:ind w:left="1440"/>
        <w:contextualSpacing/>
        <w:rPr>
          <w:bCs/>
          <w:sz w:val="24"/>
        </w:rPr>
      </w:pPr>
    </w:p>
    <w:p w:rsidR="00985FA0" w:rsidRPr="0084449F" w:rsidP="00C63030">
      <w:pPr>
        <w:numPr>
          <w:ilvl w:val="0"/>
          <w:numId w:val="14"/>
        </w:numPr>
        <w:tabs>
          <w:tab w:val="left" w:pos="720"/>
        </w:tabs>
        <w:contextualSpacing/>
      </w:pPr>
      <w:r w:rsidRPr="0084449F">
        <w:t>A review of all feedback received so far suggests the following areas would benefit from a more detailed review:</w:t>
      </w:r>
    </w:p>
    <w:p w:rsidR="00985FA0" w:rsidP="00C63030">
      <w:pPr>
        <w:numPr>
          <w:ilvl w:val="1"/>
          <w:numId w:val="14"/>
        </w:numPr>
        <w:tabs>
          <w:tab w:val="left" w:pos="720"/>
        </w:tabs>
        <w:contextualSpacing/>
      </w:pPr>
      <w:r w:rsidRPr="00C63030">
        <w:t>Whether more could be done to support Members in their first few weeks:</w:t>
      </w:r>
    </w:p>
    <w:p w:rsidR="00985FA0" w:rsidP="00C63030">
      <w:pPr>
        <w:numPr>
          <w:ilvl w:val="2"/>
          <w:numId w:val="14"/>
        </w:numPr>
        <w:tabs>
          <w:tab w:val="left" w:pos="720"/>
        </w:tabs>
        <w:contextualSpacing/>
      </w:pPr>
      <w:r w:rsidRPr="000E4C26">
        <w:t>Administrative support</w:t>
      </w:r>
    </w:p>
    <w:p w:rsidR="00985FA0" w:rsidP="00C63030">
      <w:pPr>
        <w:numPr>
          <w:ilvl w:val="2"/>
          <w:numId w:val="14"/>
        </w:numPr>
        <w:tabs>
          <w:tab w:val="left" w:pos="720"/>
        </w:tabs>
        <w:contextualSpacing/>
      </w:pPr>
      <w:r w:rsidRPr="000E4C26">
        <w:t xml:space="preserve">Constituency Offices setup </w:t>
      </w:r>
    </w:p>
    <w:p w:rsidR="00985FA0" w:rsidRPr="00C63030" w:rsidP="00C63030">
      <w:pPr>
        <w:numPr>
          <w:ilvl w:val="2"/>
          <w:numId w:val="14"/>
        </w:numPr>
        <w:tabs>
          <w:tab w:val="left" w:pos="720"/>
        </w:tabs>
        <w:contextualSpacing/>
      </w:pPr>
      <w:r w:rsidRPr="000E4C26">
        <w:t>Facilities on the estate</w:t>
      </w:r>
    </w:p>
    <w:p w:rsidR="00985FA0" w:rsidRPr="000E4C26" w:rsidP="000E4C26">
      <w:pPr>
        <w:numPr>
          <w:ilvl w:val="1"/>
          <w:numId w:val="14"/>
        </w:numPr>
        <w:tabs>
          <w:tab w:val="left" w:pos="720"/>
        </w:tabs>
        <w:contextualSpacing/>
      </w:pPr>
      <w:r w:rsidRPr="000E4C26">
        <w:t>How and what information is provided within the first week</w:t>
      </w:r>
      <w:r>
        <w:t xml:space="preserve"> including the t</w:t>
      </w:r>
      <w:r w:rsidRPr="00DD4AC4">
        <w:t>iming, content and methods of delivering new Members induction</w:t>
      </w:r>
    </w:p>
    <w:p w:rsidR="00985FA0" w:rsidP="00C83347">
      <w:pPr>
        <w:numPr>
          <w:ilvl w:val="1"/>
          <w:numId w:val="14"/>
        </w:numPr>
        <w:tabs>
          <w:tab w:val="left" w:pos="720"/>
        </w:tabs>
        <w:contextualSpacing/>
      </w:pPr>
      <w:r w:rsidRPr="000E4C26">
        <w:t xml:space="preserve">How processes could be simplified and duplication removed </w:t>
      </w:r>
    </w:p>
    <w:p w:rsidR="00985FA0" w:rsidP="00757A63">
      <w:pPr>
        <w:numPr>
          <w:ilvl w:val="1"/>
          <w:numId w:val="14"/>
        </w:numPr>
        <w:tabs>
          <w:tab w:val="left" w:pos="720"/>
        </w:tabs>
        <w:contextualSpacing/>
      </w:pPr>
      <w:r>
        <w:t xml:space="preserve">Opportunities </w:t>
      </w:r>
      <w:r w:rsidRPr="00DD4AC4">
        <w:t>to engage with prospective candidates</w:t>
      </w:r>
      <w:r>
        <w:t xml:space="preserve"> would be beneficial to explore further</w:t>
      </w:r>
      <w:r w:rsidRPr="00DD4AC4">
        <w:t xml:space="preserve">. </w:t>
      </w:r>
    </w:p>
    <w:p w:rsidR="00985FA0" w:rsidRPr="00DD4AC4" w:rsidP="00757A63">
      <w:pPr>
        <w:numPr>
          <w:ilvl w:val="1"/>
          <w:numId w:val="14"/>
        </w:numPr>
        <w:tabs>
          <w:tab w:val="left" w:pos="720"/>
        </w:tabs>
        <w:contextualSpacing/>
      </w:pPr>
      <w:r w:rsidRPr="00DD4AC4">
        <w:t>Tailored guidance and support for independent members, new political parties and for established parties occupying new roles / position post election.</w:t>
      </w:r>
    </w:p>
    <w:p w:rsidR="00985FA0" w:rsidP="00922555">
      <w:pPr>
        <w:numPr>
          <w:ilvl w:val="1"/>
          <w:numId w:val="14"/>
        </w:numPr>
        <w:tabs>
          <w:tab w:val="left" w:pos="720"/>
        </w:tabs>
        <w:contextualSpacing/>
      </w:pPr>
      <w:r w:rsidRPr="00DD4AC4">
        <w:t>Security for new Members, specifically installation of security measures and local support</w:t>
      </w:r>
      <w:r>
        <w:t xml:space="preserve"> </w:t>
      </w:r>
      <w:r>
        <w:t>available</w:t>
      </w:r>
    </w:p>
    <w:p w:rsidR="00985FA0" w:rsidRPr="00DD4AC4" w:rsidP="00922555">
      <w:pPr>
        <w:numPr>
          <w:ilvl w:val="1"/>
          <w:numId w:val="14"/>
        </w:numPr>
        <w:tabs>
          <w:tab w:val="left" w:pos="720"/>
        </w:tabs>
        <w:contextualSpacing/>
      </w:pPr>
      <w:r w:rsidRPr="00DD4AC4">
        <w:t xml:space="preserve">Support provided by the House to new Members with a specific focus on Maintenance, Accommodation, Wellbeing and MMSST </w:t>
      </w:r>
      <w:r>
        <w:t xml:space="preserve">to be reviewed to ensure support is delivered effectively. </w:t>
      </w:r>
    </w:p>
    <w:p w:rsidR="00985FA0" w:rsidP="00922555">
      <w:pPr>
        <w:numPr>
          <w:ilvl w:val="1"/>
          <w:numId w:val="14"/>
        </w:numPr>
        <w:tabs>
          <w:tab w:val="left" w:pos="720"/>
        </w:tabs>
        <w:contextualSpacing/>
      </w:pPr>
      <w:r>
        <w:t xml:space="preserve">Whether </w:t>
      </w:r>
      <w:r w:rsidRPr="00DD4AC4">
        <w:t>a default position</w:t>
      </w:r>
      <w:r>
        <w:t xml:space="preserve"> </w:t>
      </w:r>
      <w:r w:rsidRPr="00DD4AC4">
        <w:t xml:space="preserve">is </w:t>
      </w:r>
      <w:r>
        <w:t>possible</w:t>
      </w:r>
      <w:r w:rsidRPr="00DD4AC4">
        <w:t xml:space="preserve"> to offer a similar service to members staff that is provided to new or existing members, unless resourcing constraints mean that it is not possible to do.</w:t>
      </w:r>
    </w:p>
    <w:p w:rsidR="00985FA0" w:rsidP="00922555">
      <w:pPr>
        <w:numPr>
          <w:ilvl w:val="1"/>
          <w:numId w:val="14"/>
        </w:numPr>
        <w:tabs>
          <w:tab w:val="left" w:pos="720"/>
        </w:tabs>
        <w:contextualSpacing/>
      </w:pPr>
      <w:r>
        <w:t>How accessibility considerations are at the heart of the planning carried out.</w:t>
      </w:r>
    </w:p>
    <w:p w:rsidR="00985FA0" w:rsidP="00922555">
      <w:pPr>
        <w:numPr>
          <w:ilvl w:val="1"/>
          <w:numId w:val="14"/>
        </w:numPr>
        <w:tabs>
          <w:tab w:val="left" w:pos="720"/>
        </w:tabs>
        <w:contextualSpacing/>
      </w:pPr>
      <w:r>
        <w:t>Whether more administrative support can be provided to newly elected Members and improvements in the initial shared desking arrangements.</w:t>
      </w:r>
    </w:p>
    <w:p w:rsidR="00985FA0" w:rsidP="00922555">
      <w:pPr>
        <w:numPr>
          <w:ilvl w:val="1"/>
          <w:numId w:val="14"/>
        </w:numPr>
        <w:tabs>
          <w:tab w:val="left" w:pos="720"/>
        </w:tabs>
        <w:contextualSpacing/>
      </w:pPr>
      <w:r>
        <w:t>How digital support can be leveraged to address a number of challenges faced by new and departing members.</w:t>
      </w:r>
    </w:p>
    <w:p w:rsidR="00985FA0" w:rsidRPr="00DD4AC4" w:rsidP="00922555">
      <w:pPr>
        <w:numPr>
          <w:ilvl w:val="1"/>
          <w:numId w:val="14"/>
        </w:numPr>
        <w:tabs>
          <w:tab w:val="left" w:pos="720"/>
        </w:tabs>
        <w:contextualSpacing/>
      </w:pPr>
      <w:r>
        <w:t>Explore ways of simplifying the winding up of offices and transfer of existing casework</w:t>
      </w:r>
    </w:p>
    <w:p w:rsidR="00985FA0" w:rsidRPr="000E4C26" w:rsidP="00B75746">
      <w:pPr>
        <w:tabs>
          <w:tab w:val="left" w:pos="720"/>
        </w:tabs>
        <w:contextualSpacing/>
      </w:pPr>
    </w:p>
    <w:p w:rsidR="00985FA0" w:rsidRPr="00804013" w:rsidP="005B6965">
      <w:pPr>
        <w:tabs>
          <w:tab w:val="left" w:pos="720"/>
        </w:tabs>
        <w:rPr>
          <w:b/>
          <w:bCs/>
        </w:rPr>
      </w:pPr>
      <w:r w:rsidRPr="00804013">
        <w:rPr>
          <w:b/>
          <w:bCs/>
        </w:rPr>
        <w:t>Summary of GEPG review</w:t>
      </w:r>
    </w:p>
    <w:p w:rsidR="00985FA0" w:rsidP="00CC3A42">
      <w:pPr>
        <w:numPr>
          <w:ilvl w:val="0"/>
          <w:numId w:val="14"/>
        </w:numPr>
        <w:tabs>
          <w:tab w:val="left" w:pos="720"/>
        </w:tabs>
        <w:contextualSpacing/>
      </w:pPr>
      <w:r w:rsidRPr="00804013">
        <w:t>GEPG</w:t>
      </w:r>
      <w:r>
        <w:t xml:space="preserve">’s own review has already led to a total of 56 recommendations being made across all areas of it’s </w:t>
      </w:r>
      <w:r>
        <w:t xml:space="preserve">work. </w:t>
      </w:r>
    </w:p>
    <w:p w:rsidR="00985FA0" w:rsidP="005B6965">
      <w:pPr>
        <w:tabs>
          <w:tab w:val="left" w:pos="720"/>
        </w:tabs>
        <w:ind w:left="720"/>
        <w:contextualSpacing/>
      </w:pPr>
    </w:p>
    <w:p w:rsidR="00985FA0" w:rsidP="00546594">
      <w:pPr>
        <w:numPr>
          <w:ilvl w:val="0"/>
          <w:numId w:val="14"/>
        </w:numPr>
        <w:tabs>
          <w:tab w:val="left" w:pos="720"/>
        </w:tabs>
        <w:contextualSpacing/>
      </w:pPr>
      <w:r>
        <w:t xml:space="preserve">The review </w:t>
      </w:r>
      <w:r w:rsidRPr="00804013">
        <w:t xml:space="preserve"> used</w:t>
      </w:r>
      <w:r w:rsidRPr="00804013">
        <w:t xml:space="preserve"> several different methods to gather evidence on the success of the delivery of services and activities across the programme (what went well) and to understand where lessons can be learnt to improve next time (the areas of learning). </w:t>
      </w:r>
    </w:p>
    <w:p w:rsidR="00985FA0" w:rsidP="00C919A5">
      <w:pPr>
        <w:tabs>
          <w:tab w:val="left" w:pos="720"/>
        </w:tabs>
        <w:ind w:left="720"/>
        <w:contextualSpacing/>
      </w:pPr>
    </w:p>
    <w:p w:rsidR="00985FA0" w:rsidRPr="00804013" w:rsidP="00546594">
      <w:pPr>
        <w:numPr>
          <w:ilvl w:val="0"/>
          <w:numId w:val="14"/>
        </w:numPr>
        <w:tabs>
          <w:tab w:val="left" w:pos="720"/>
        </w:tabs>
        <w:contextualSpacing/>
      </w:pPr>
      <w:r w:rsidRPr="00804013">
        <w:t>The primary source of evidence</w:t>
      </w:r>
      <w:r>
        <w:t xml:space="preserve"> beyond the feedback gained from Members and their staff</w:t>
      </w:r>
      <w:r w:rsidRPr="00804013">
        <w:t xml:space="preserve"> was through advisory groups that were set-up on direction of the GEPG. These advisory groups held ninety-minute discissions around the following five categories:</w:t>
      </w:r>
    </w:p>
    <w:p w:rsidR="00985FA0" w:rsidRPr="00804013" w:rsidP="00804013">
      <w:pPr>
        <w:numPr>
          <w:ilvl w:val="1"/>
          <w:numId w:val="5"/>
        </w:numPr>
      </w:pPr>
      <w:r w:rsidRPr="00804013">
        <w:t>Data and information </w:t>
      </w:r>
    </w:p>
    <w:p w:rsidR="00985FA0" w:rsidRPr="00804013" w:rsidP="00804013">
      <w:pPr>
        <w:numPr>
          <w:ilvl w:val="1"/>
          <w:numId w:val="5"/>
        </w:numPr>
      </w:pPr>
      <w:r w:rsidRPr="00804013">
        <w:t>Political engagement </w:t>
      </w:r>
    </w:p>
    <w:p w:rsidR="00985FA0" w:rsidRPr="00804013" w:rsidP="00804013">
      <w:pPr>
        <w:numPr>
          <w:ilvl w:val="1"/>
          <w:numId w:val="5"/>
        </w:numPr>
      </w:pPr>
      <w:r w:rsidRPr="00804013">
        <w:t>People </w:t>
      </w:r>
    </w:p>
    <w:p w:rsidR="00985FA0" w:rsidRPr="00804013" w:rsidP="00804013">
      <w:pPr>
        <w:numPr>
          <w:ilvl w:val="1"/>
          <w:numId w:val="5"/>
        </w:numPr>
      </w:pPr>
      <w:r w:rsidRPr="00804013">
        <w:t>Communication and Member engagement </w:t>
      </w:r>
    </w:p>
    <w:p w:rsidR="00985FA0" w:rsidRPr="00804013" w:rsidP="00804013">
      <w:pPr>
        <w:numPr>
          <w:ilvl w:val="1"/>
          <w:numId w:val="5"/>
        </w:numPr>
      </w:pPr>
      <w:r w:rsidRPr="00804013">
        <w:t>Estate-based improvements </w:t>
      </w:r>
    </w:p>
    <w:p w:rsidR="00985FA0" w:rsidP="00804013"/>
    <w:p w:rsidR="00985FA0" w:rsidP="00804013"/>
    <w:p w:rsidR="00985FA0" w:rsidP="00804013"/>
    <w:p w:rsidR="00985FA0" w:rsidP="00804013"/>
    <w:p w:rsidR="00985FA0" w:rsidP="00804013"/>
    <w:p w:rsidR="00985FA0" w:rsidP="00804013"/>
    <w:p w:rsidR="00985FA0" w:rsidP="00804013"/>
    <w:p w:rsidR="00985FA0" w:rsidP="00804013"/>
    <w:p w:rsidR="00985FA0" w:rsidP="00804013"/>
    <w:p w:rsidR="00985FA0" w:rsidP="00804013"/>
    <w:p w:rsidR="00985FA0" w:rsidRPr="00C919A5" w:rsidP="00C919A5">
      <w:pPr>
        <w:tabs>
          <w:tab w:val="left" w:pos="720"/>
        </w:tabs>
        <w:rPr>
          <w:b/>
          <w:bCs/>
        </w:rPr>
      </w:pPr>
      <w:r w:rsidRPr="00C919A5">
        <w:rPr>
          <w:b/>
          <w:bCs/>
        </w:rPr>
        <w:t xml:space="preserve">Specific comments on the inquiry </w:t>
      </w:r>
      <w:r w:rsidRPr="00C919A5">
        <w:rPr>
          <w:b/>
          <w:bCs/>
        </w:rPr>
        <w:t>o</w:t>
      </w:r>
      <w:r w:rsidRPr="00804013">
        <w:rPr>
          <w:b/>
          <w:bCs/>
        </w:rPr>
        <w:t>bjectives</w:t>
      </w:r>
    </w:p>
    <w:p w:rsidR="00985FA0" w:rsidP="00C919A5">
      <w:pPr>
        <w:numPr>
          <w:ilvl w:val="0"/>
          <w:numId w:val="14"/>
        </w:numPr>
        <w:tabs>
          <w:tab w:val="left" w:pos="720"/>
        </w:tabs>
        <w:contextualSpacing/>
      </w:pPr>
      <w:r>
        <w:pict>
          <v:shapetype id="_x0000_t202" coordsize="21600,21600" o:spt="202" path="m,l,21600r21600,l21600,xe">
            <v:stroke joinstyle="miter"/>
            <v:path gradientshapeok="t" o:connecttype="rect"/>
          </v:shapetype>
          <v:shape id="Text Box 2" o:spid="_x0000_s1025" type="#_x0000_t202" style="height:139.58pt;margin-left:0;margin-top:27.1pt;mso-height-percent:200;mso-height-relative:margin;mso-position-horizontal-relative:margin;mso-width-percent:0;mso-width-relative:margin;mso-wrap-distance-bottom:3.6pt;mso-wrap-distance-left:9pt;mso-wrap-distance-right:9pt;mso-wrap-distance-top:3.6pt;mso-wrap-style:square;position:absolute;v-text-anchor:top;visibility:visible;width:449pt;z-index:251660288">
            <v:textbox style="mso-fit-shape-to-text:t">
              <w:txbxContent>
                <w:p w:rsidR="00985FA0" w:rsidRPr="009E7B66" w:rsidP="004454DA">
                  <w:pPr>
                    <w:tabs>
                      <w:tab w:val="num" w:pos="435"/>
                    </w:tabs>
                    <w:spacing w:after="200"/>
                    <w:rPr>
                      <w:rFonts w:ascii="Gill Sans MT" w:eastAsia="Gill Sans MT" w:hAnsi="Gill Sans MT" w:cs="Gill Sans MT"/>
                      <w:b/>
                      <w:bCs/>
                      <w:color w:val="000000" w:themeColor="text1"/>
                    </w:rPr>
                  </w:pPr>
                  <w:r w:rsidRPr="009E7B66">
                    <w:rPr>
                      <w:rFonts w:ascii="Gill Sans MT" w:eastAsia="Gill Sans MT" w:hAnsi="Gill Sans MT" w:cs="Gill Sans MT"/>
                      <w:b/>
                      <w:bCs/>
                      <w:color w:val="000000" w:themeColor="text1"/>
                    </w:rPr>
                    <w:t xml:space="preserve">Relevant Terms of Reference: </w:t>
                  </w:r>
                </w:p>
                <w:p w:rsidR="00985FA0" w:rsidRPr="00E02AD8" w:rsidP="004454DA">
                  <w:pPr>
                    <w:rPr>
                      <w:rFonts w:ascii="Gill Sans MT" w:eastAsia="Gill Sans MT" w:hAnsi="Gill Sans MT" w:cs="Gill Sans MT"/>
                      <w:i/>
                      <w:iCs/>
                      <w:color w:val="000000" w:themeColor="text1"/>
                    </w:rPr>
                  </w:pPr>
                  <w:r w:rsidRPr="00E02AD8">
                    <w:rPr>
                      <w:rFonts w:ascii="Gill Sans MT" w:eastAsia="Gill Sans MT" w:hAnsi="Gill Sans MT" w:cs="Gill Sans MT"/>
                      <w:i/>
                      <w:iCs/>
                      <w:color w:val="000000" w:themeColor="text1"/>
                    </w:rPr>
                    <w:t>Consider the effectiveness of support offered to Members in their first few days and reflect on the appropriateness of the induction timetable at the last election, examining what induction training and information is crucial in the first week and what can be covered at a later date</w:t>
                  </w:r>
                </w:p>
                <w:p w:rsidR="00985FA0" w:rsidRPr="00E02AD8" w:rsidP="004454DA">
                  <w:pPr>
                    <w:rPr>
                      <w:rFonts w:ascii="Gill Sans MT" w:eastAsia="Gill Sans MT" w:hAnsi="Gill Sans MT" w:cs="Gill Sans MT"/>
                      <w:i/>
                      <w:iCs/>
                      <w:color w:val="000000" w:themeColor="text1"/>
                    </w:rPr>
                  </w:pPr>
                  <w:r w:rsidRPr="00E02AD8">
                    <w:rPr>
                      <w:rFonts w:ascii="Gill Sans MT" w:eastAsia="Gill Sans MT" w:hAnsi="Gill Sans MT" w:cs="Gill Sans MT"/>
                      <w:i/>
                      <w:iCs/>
                      <w:color w:val="000000" w:themeColor="text1"/>
                    </w:rPr>
                    <w:t>Explore what support newly elected MPs need right away: for example help with email management, a phone number, IT support, help with finding suitable accommodation in London</w:t>
                  </w:r>
                </w:p>
                <w:p w:rsidR="00985FA0" w:rsidRPr="009E7B66" w:rsidP="004454DA">
                  <w:pPr>
                    <w:rPr>
                      <w:rFonts w:ascii="Gill Sans MT" w:eastAsia="Gill Sans MT" w:hAnsi="Gill Sans MT" w:cs="Gill Sans MT"/>
                      <w:i/>
                      <w:iCs/>
                      <w:color w:val="000000" w:themeColor="text1"/>
                    </w:rPr>
                  </w:pPr>
                  <w:r w:rsidRPr="00E02AD8">
                    <w:rPr>
                      <w:rFonts w:ascii="Gill Sans MT" w:eastAsia="Gill Sans MT" w:hAnsi="Gill Sans MT" w:cs="Gill Sans MT"/>
                      <w:i/>
                      <w:iCs/>
                      <w:color w:val="000000" w:themeColor="text1"/>
                    </w:rPr>
                    <w:t>Explore how the House service can better support newly elected MPs who have young children and who may require childcare and for certain induction arrangements to take into account childcare needs</w:t>
                  </w:r>
                </w:p>
              </w:txbxContent>
            </v:textbox>
            <w10:wrap type="square"/>
          </v:shape>
        </w:pict>
      </w:r>
      <w:r w:rsidRPr="00C919A5">
        <w:t>New Member induction</w:t>
      </w:r>
    </w:p>
    <w:p w:rsidR="00985FA0" w:rsidRPr="00C919A5" w:rsidP="00C919A5">
      <w:pPr>
        <w:numPr>
          <w:ilvl w:val="0"/>
          <w:numId w:val="14"/>
        </w:numPr>
        <w:tabs>
          <w:tab w:val="left" w:pos="720"/>
        </w:tabs>
        <w:contextualSpacing/>
      </w:pPr>
      <w:r w:rsidRPr="00C919A5">
        <w:t xml:space="preserve">The short period between polling day and the first day that the House sits presents a challenge in providing new Members with the advice and information they need to get set up.  </w:t>
      </w:r>
    </w:p>
    <w:p w:rsidR="00985FA0" w:rsidRPr="00C919A5" w:rsidP="00C919A5">
      <w:pPr>
        <w:numPr>
          <w:ilvl w:val="0"/>
          <w:numId w:val="14"/>
        </w:numPr>
        <w:tabs>
          <w:tab w:val="left" w:pos="720"/>
        </w:tabs>
        <w:contextualSpacing/>
      </w:pPr>
      <w:r w:rsidRPr="00C919A5">
        <w:t xml:space="preserve">In the context of the parameters set out above, the induction programme for the 2024 General Election was carefully considered. As well as the oral induction, written information with contact details was given to new Members, so that they could refer back to what they had heard. However, new Members still felt that there was too much information to digest over the first few days, and that this should be further trimmed back and refined in future. </w:t>
      </w:r>
    </w:p>
    <w:p w:rsidR="00985FA0" w:rsidP="004454DA">
      <w:pPr>
        <w:spacing w:after="200"/>
        <w:ind w:left="141"/>
        <w:jc w:val="both"/>
        <w:rPr>
          <w:rFonts w:ascii="Gill Sans MT" w:eastAsia="Gill Sans MT" w:hAnsi="Gill Sans MT" w:cs="Gill Sans MT"/>
          <w:color w:val="000000" w:themeColor="text1"/>
        </w:rPr>
      </w:pPr>
      <w:r>
        <w:rPr>
          <w:rFonts w:ascii="Gill Sans MT" w:eastAsia="Gill Sans MT" w:hAnsi="Gill Sans MT" w:cs="Gill Sans MT"/>
          <w:noProof/>
          <w:color w:val="000000" w:themeColor="text1"/>
        </w:rPr>
        <w:pict>
          <v:shape id="_x0000_s1026" type="#_x0000_t202" style="height:139.58pt;margin-left:727.6pt;margin-top:4.85pt;mso-height-percent:200;mso-height-relative:margin;mso-position-horizontal:right;mso-position-horizontal-relative:margin;mso-width-percent:0;mso-width-relative:margin;mso-wrap-distance-bottom:3.6pt;mso-wrap-distance-left:9pt;mso-wrap-distance-right:9pt;mso-wrap-distance-top:3.6pt;mso-wrap-style:square;position:absolute;v-text-anchor:top;visibility:visible;width:415pt;z-index:251658240">
            <v:textbox style="mso-fit-shape-to-text:t">
              <w:txbxContent>
                <w:p w:rsidR="00985FA0" w:rsidP="004454DA">
                  <w:r>
                    <w:rPr>
                      <w:b/>
                      <w:bCs/>
                    </w:rPr>
                    <w:t>Findings from the New Members’ Survey – One year on</w:t>
                  </w:r>
                </w:p>
                <w:p w:rsidR="00985FA0" w:rsidRPr="003C7F3E" w:rsidP="004454DA">
                  <w:pPr>
                    <w:rPr>
                      <w:i/>
                      <w:iCs/>
                    </w:rPr>
                  </w:pPr>
                  <w:r>
                    <w:rPr>
                      <w:i/>
                      <w:iCs/>
                    </w:rPr>
                    <w:t>New Members were concerned about the volume of information they had to absorb on their induction and suggested a more phased programme over multiple days or weeks to allow them to settle. Their suggested priority order was to begin with the Chamber briefing, and sessions covering digital, IPSA, setting up an office and security. The remainder – behaviour code seminar, standards and reputation and procedure, could be scheduled over the following few weeks.</w:t>
                  </w:r>
                </w:p>
              </w:txbxContent>
            </v:textbox>
            <w10:wrap type="square"/>
          </v:shape>
        </w:pict>
      </w:r>
    </w:p>
    <w:p w:rsidR="00985FA0" w:rsidP="004454DA">
      <w:pPr>
        <w:spacing w:after="200"/>
        <w:ind w:left="141"/>
        <w:jc w:val="both"/>
        <w:rPr>
          <w:rFonts w:ascii="Gill Sans MT" w:eastAsia="Gill Sans MT" w:hAnsi="Gill Sans MT" w:cs="Gill Sans MT"/>
          <w:color w:val="000000" w:themeColor="text1"/>
        </w:rPr>
      </w:pPr>
    </w:p>
    <w:p w:rsidR="00985FA0" w:rsidP="004454DA">
      <w:pPr>
        <w:spacing w:after="200"/>
        <w:ind w:left="141"/>
        <w:jc w:val="both"/>
        <w:rPr>
          <w:rFonts w:ascii="Gill Sans MT" w:eastAsia="Gill Sans MT" w:hAnsi="Gill Sans MT" w:cs="Gill Sans MT"/>
          <w:color w:val="000000" w:themeColor="text1"/>
        </w:rPr>
      </w:pPr>
    </w:p>
    <w:p w:rsidR="00985FA0" w:rsidRPr="003C7F3E" w:rsidP="004454DA">
      <w:pPr>
        <w:spacing w:after="200"/>
        <w:ind w:left="141"/>
        <w:jc w:val="both"/>
        <w:rPr>
          <w:rFonts w:ascii="Gill Sans MT" w:eastAsia="Gill Sans MT" w:hAnsi="Gill Sans MT" w:cs="Gill Sans MT"/>
          <w:color w:val="000000" w:themeColor="text1"/>
        </w:rPr>
      </w:pPr>
    </w:p>
    <w:p w:rsidR="00985FA0" w:rsidRPr="00C919A5" w:rsidP="00C919A5">
      <w:pPr>
        <w:numPr>
          <w:ilvl w:val="0"/>
          <w:numId w:val="14"/>
        </w:numPr>
        <w:tabs>
          <w:tab w:val="left" w:pos="720"/>
        </w:tabs>
        <w:contextualSpacing/>
      </w:pPr>
      <w:r w:rsidRPr="00C919A5">
        <w:t>These findings from the survey reflect the inherent tension between information that Members and the House consider to be a priority. For example, the suggestion that the session on standards and reputation be scheduled at a later date would not be feasible given the requirements under paragraph 5 of the Code of Conduct for Members of Parliament, which states: “New Members must register all their current financial interests, and any registerable benefits (other than earnings) received in the 12 months befor</w:t>
      </w:r>
      <w:r w:rsidRPr="00C919A5">
        <w:t>e the election within one month of their election”.</w:t>
      </w:r>
      <w:r>
        <w:footnoteReference w:id="2"/>
      </w:r>
      <w:r w:rsidRPr="00C919A5">
        <w:t xml:space="preserve"> From the House’s perspective, it is therefore essential that Members are informed of this requirement at the earliest opportunity. </w:t>
      </w:r>
    </w:p>
    <w:p w:rsidR="00985FA0" w:rsidRPr="00C919A5" w:rsidP="00C919A5">
      <w:pPr>
        <w:numPr>
          <w:ilvl w:val="0"/>
          <w:numId w:val="14"/>
        </w:numPr>
        <w:tabs>
          <w:tab w:val="left" w:pos="720"/>
        </w:tabs>
        <w:contextualSpacing/>
      </w:pPr>
      <w:r w:rsidRPr="00C919A5">
        <w:t>It would be helpful to have the Administration Committee’s steer on priority induction content.</w:t>
      </w:r>
    </w:p>
    <w:p w:rsidR="00985FA0" w:rsidRPr="00C919A5" w:rsidP="004454DA">
      <w:pPr>
        <w:pStyle w:val="Heading3"/>
        <w:rPr>
          <w:rFonts w:eastAsiaTheme="minorHAnsi" w:cstheme="minorBidi"/>
          <w:color w:val="auto"/>
          <w:sz w:val="22"/>
          <w:szCs w:val="22"/>
        </w:rPr>
      </w:pPr>
      <w:r w:rsidRPr="00C919A5">
        <w:rPr>
          <w:rFonts w:eastAsiaTheme="minorHAnsi" w:cstheme="minorBidi"/>
          <w:color w:val="auto"/>
          <w:sz w:val="22"/>
          <w:szCs w:val="22"/>
        </w:rPr>
        <w:t>Timing and delivery of induction</w:t>
      </w:r>
    </w:p>
    <w:p w:rsidR="00985FA0" w:rsidP="00C919A5">
      <w:pPr>
        <w:numPr>
          <w:ilvl w:val="0"/>
          <w:numId w:val="14"/>
        </w:numPr>
        <w:tabs>
          <w:tab w:val="left" w:pos="720"/>
        </w:tabs>
        <w:contextualSpacing/>
      </w:pPr>
      <w:r>
        <w:pict>
          <v:shape id="_x0000_s1027" type="#_x0000_t202" style="height:139.58pt;margin-left:739pt;margin-top:65.45pt;mso-height-percent:200;mso-height-relative:margin;mso-position-horizontal:right;mso-position-horizontal-relative:margin;mso-width-percent:0;mso-width-relative:margin;mso-wrap-distance-bottom:3.6pt;mso-wrap-distance-left:9pt;mso-wrap-distance-right:9pt;mso-wrap-distance-top:3.6pt;mso-wrap-style:square;position:absolute;v-text-anchor:top;visibility:visible;width:420.7pt;z-index:251659264">
            <v:textbox style="mso-fit-shape-to-text:t">
              <w:txbxContent>
                <w:p w:rsidR="00985FA0" w:rsidP="004454DA">
                  <w:r>
                    <w:rPr>
                      <w:b/>
                      <w:bCs/>
                    </w:rPr>
                    <w:t>Findings from the New Members’ Survey – One year on</w:t>
                  </w:r>
                </w:p>
                <w:p w:rsidR="00985FA0" w:rsidRPr="003C7F3E" w:rsidP="004454DA">
                  <w:pPr>
                    <w:rPr>
                      <w:i/>
                      <w:iCs/>
                    </w:rPr>
                  </w:pPr>
                  <w:r>
                    <w:rPr>
                      <w:i/>
                      <w:iCs/>
                    </w:rPr>
                    <w:t>New Members suggested that some sessions, such as Chamber briefings, could be repeated and that there would be merit in them being held in smaller groups, to encourage open dialogue.</w:t>
                  </w:r>
                </w:p>
              </w:txbxContent>
            </v:textbox>
            <w10:wrap type="square"/>
          </v:shape>
        </w:pict>
      </w:r>
      <w:r w:rsidRPr="00C919A5">
        <w:t>Despite the need for some sessions to be prioritised in the immediate induction period, there would be merit in de-prioritising, or re-running particularly important sessions, over subsequent weeks. For example, Chamber briefings and HR-related sessions.</w:t>
      </w:r>
    </w:p>
    <w:p w:rsidR="00985FA0" w:rsidRPr="00C919A5" w:rsidP="00C919A5">
      <w:pPr>
        <w:tabs>
          <w:tab w:val="left" w:pos="720"/>
        </w:tabs>
        <w:ind w:left="720"/>
        <w:contextualSpacing/>
      </w:pPr>
    </w:p>
    <w:p w:rsidR="00985FA0" w:rsidRPr="00C919A5" w:rsidP="00C919A5">
      <w:pPr>
        <w:numPr>
          <w:ilvl w:val="0"/>
          <w:numId w:val="14"/>
        </w:numPr>
        <w:tabs>
          <w:tab w:val="left" w:pos="720"/>
        </w:tabs>
        <w:contextualSpacing/>
      </w:pPr>
      <w:r w:rsidRPr="00C919A5">
        <w:t xml:space="preserve">It may be helpful to propose an agreed time within new Members’ diaries for the six to eight weeks following State Opening, which could be populated with induction session, in a variety of formats and run for smaller groups. </w:t>
      </w:r>
    </w:p>
    <w:p w:rsidR="00985FA0" w:rsidRPr="00C919A5" w:rsidP="00C919A5">
      <w:pPr>
        <w:numPr>
          <w:ilvl w:val="0"/>
          <w:numId w:val="14"/>
        </w:numPr>
        <w:tabs>
          <w:tab w:val="num" w:pos="435"/>
          <w:tab w:val="left" w:pos="720"/>
        </w:tabs>
        <w:contextualSpacing/>
      </w:pPr>
      <w:r w:rsidRPr="00C919A5">
        <w:t>During these sessions new Members could:</w:t>
      </w:r>
    </w:p>
    <w:p w:rsidR="00985FA0" w:rsidRPr="00C919A5" w:rsidP="00C919A5">
      <w:pPr>
        <w:numPr>
          <w:ilvl w:val="1"/>
          <w:numId w:val="14"/>
        </w:numPr>
        <w:tabs>
          <w:tab w:val="left" w:pos="720"/>
        </w:tabs>
        <w:contextualSpacing/>
      </w:pPr>
      <w:r w:rsidRPr="00C919A5">
        <w:t>be given more intensive support on recruiting staff (see section below on Supporting new Members to set-up offices);</w:t>
      </w:r>
    </w:p>
    <w:p w:rsidR="00985FA0" w:rsidRPr="00C919A5" w:rsidP="00C919A5">
      <w:pPr>
        <w:numPr>
          <w:ilvl w:val="1"/>
          <w:numId w:val="14"/>
        </w:numPr>
        <w:tabs>
          <w:tab w:val="left" w:pos="720"/>
        </w:tabs>
        <w:contextualSpacing/>
      </w:pPr>
      <w:r w:rsidRPr="00C919A5">
        <w:t>engage/revisit training on key House procedures, practices and conventions, particularly in relation to the Chamber; and</w:t>
      </w:r>
    </w:p>
    <w:p w:rsidR="00985FA0" w:rsidRPr="00C919A5" w:rsidP="00C919A5">
      <w:pPr>
        <w:numPr>
          <w:ilvl w:val="1"/>
          <w:numId w:val="14"/>
        </w:numPr>
        <w:tabs>
          <w:tab w:val="left" w:pos="720"/>
        </w:tabs>
        <w:contextualSpacing/>
      </w:pPr>
      <w:r w:rsidRPr="00C919A5">
        <w:t>receive more support on safety and security, including cyber security and ensuring proper security for constituency offices.</w:t>
      </w:r>
    </w:p>
    <w:p w:rsidR="00985FA0" w:rsidRPr="00077E37" w:rsidP="004454DA">
      <w:pPr>
        <w:spacing w:after="200"/>
        <w:rPr>
          <w:rFonts w:ascii="Gill Sans MT" w:eastAsia="Gill Sans MT" w:hAnsi="Gill Sans MT" w:cs="Gill Sans MT"/>
          <w:b/>
          <w:bCs/>
          <w:color w:val="000000" w:themeColor="text1"/>
        </w:rPr>
      </w:pPr>
    </w:p>
    <w:p w:rsidR="00985FA0" w:rsidRPr="00C919A5" w:rsidP="00C919A5">
      <w:pPr>
        <w:numPr>
          <w:ilvl w:val="0"/>
          <w:numId w:val="14"/>
        </w:numPr>
        <w:tabs>
          <w:tab w:val="left" w:pos="720"/>
        </w:tabs>
        <w:contextualSpacing/>
        <w:rPr>
          <w:b/>
          <w:bCs/>
        </w:rPr>
      </w:pPr>
      <w:r w:rsidRPr="00C919A5">
        <w:rPr>
          <w:b/>
          <w:bCs/>
        </w:rPr>
        <w:t>The House could extend the induction period using an established weekly slot in Members’ diaries. This would help ensure that Members have appropriate further information to support their parliamentary and constituency work, including setting up their offices, learning about relevant procedural offices and systems, and Chamber etiquette and practices. The inductions could be hybrid and where appropriate, made available in an “on demand” format, to ensure that all new Members could have flexibility on when t</w:t>
      </w:r>
      <w:r w:rsidRPr="00C919A5">
        <w:rPr>
          <w:b/>
          <w:bCs/>
        </w:rPr>
        <w:t>hey access the information. This would be particularly beneficial for those with young children, or other caring responsibilities.</w:t>
      </w:r>
    </w:p>
    <w:p w:rsidR="00985FA0" w:rsidRPr="00C919A5" w:rsidP="00C919A5">
      <w:pPr>
        <w:tabs>
          <w:tab w:val="left" w:pos="720"/>
        </w:tabs>
        <w:ind w:left="720"/>
        <w:contextualSpacing/>
        <w:rPr>
          <w:b/>
          <w:bCs/>
        </w:rPr>
      </w:pPr>
    </w:p>
    <w:p w:rsidR="00985FA0" w:rsidRPr="00C919A5" w:rsidP="00C919A5">
      <w:pPr>
        <w:numPr>
          <w:ilvl w:val="0"/>
          <w:numId w:val="14"/>
        </w:numPr>
        <w:tabs>
          <w:tab w:val="left" w:pos="720"/>
        </w:tabs>
        <w:contextualSpacing/>
        <w:rPr>
          <w:b/>
          <w:bCs/>
        </w:rPr>
      </w:pPr>
      <w:r w:rsidRPr="00C919A5">
        <w:rPr>
          <w:b/>
          <w:bCs/>
        </w:rPr>
        <w:t>The House could produce training videos/guidance documents on key topic areas that could be sent to all candidates before the election and be accessed on demand by new Members after the election. New Members could arrive already equipped with key knowledge, including an overview of the non-standard working hours involved and security requirements. They could refresh their knowledge as much as necessary.</w:t>
      </w:r>
    </w:p>
    <w:p w:rsidR="00985FA0" w:rsidRPr="00C919A5" w:rsidP="00C919A5">
      <w:pPr>
        <w:tabs>
          <w:tab w:val="left" w:pos="720"/>
        </w:tabs>
        <w:ind w:left="720"/>
        <w:contextualSpacing/>
        <w:rPr>
          <w:b/>
          <w:bCs/>
        </w:rPr>
      </w:pPr>
    </w:p>
    <w:p w:rsidR="00985FA0" w:rsidRPr="00C919A5" w:rsidP="00C919A5">
      <w:pPr>
        <w:numPr>
          <w:ilvl w:val="0"/>
          <w:numId w:val="14"/>
        </w:numPr>
        <w:tabs>
          <w:tab w:val="left" w:pos="720"/>
        </w:tabs>
        <w:contextualSpacing/>
        <w:rPr>
          <w:b/>
          <w:bCs/>
        </w:rPr>
      </w:pPr>
      <w:r w:rsidRPr="00C919A5">
        <w:rPr>
          <w:b/>
          <w:bCs/>
        </w:rPr>
        <w:t xml:space="preserve">The House could provide all candidates advice on what is expected of a new Member as an employer, including advising against offering campaign managers and colleagues jobs without an interview and skills test if they become a new Member. </w:t>
      </w:r>
    </w:p>
    <w:p w:rsidR="00985FA0" w:rsidRPr="00C919A5" w:rsidP="004454DA">
      <w:pPr>
        <w:pStyle w:val="Heading3"/>
        <w:rPr>
          <w:rFonts w:eastAsiaTheme="minorHAnsi" w:cstheme="minorBidi"/>
          <w:color w:val="auto"/>
          <w:sz w:val="22"/>
          <w:szCs w:val="22"/>
        </w:rPr>
      </w:pPr>
      <w:r w:rsidRPr="00C919A5">
        <w:rPr>
          <w:rFonts w:eastAsiaTheme="minorHAnsi" w:cstheme="minorBidi"/>
          <w:color w:val="auto"/>
          <w:sz w:val="22"/>
          <w:szCs w:val="22"/>
        </w:rPr>
        <w:t>Tailored support</w:t>
      </w:r>
    </w:p>
    <w:p w:rsidR="00985FA0" w:rsidRPr="00C919A5" w:rsidP="00C919A5">
      <w:pPr>
        <w:numPr>
          <w:ilvl w:val="0"/>
          <w:numId w:val="14"/>
        </w:numPr>
        <w:tabs>
          <w:tab w:val="left" w:pos="720"/>
        </w:tabs>
        <w:contextualSpacing/>
      </w:pPr>
      <w:r w:rsidRPr="00C919A5">
        <w:t xml:space="preserve">The Procedure Committee’s report, </w:t>
      </w:r>
      <w:r>
        <w:fldChar w:fldCharType="begin"/>
      </w:r>
      <w:r>
        <w:instrText xml:space="preserve"> HYPERLINK "https://committees.parliament.uk/publications/48927/documents/256897/default/" </w:instrText>
      </w:r>
      <w:r>
        <w:fldChar w:fldCharType="separate"/>
      </w:r>
      <w:r w:rsidRPr="00C919A5">
        <w:t>Status of independent Members of Parliament</w:t>
      </w:r>
      <w:r>
        <w:fldChar w:fldCharType="end"/>
      </w:r>
      <w:r w:rsidRPr="00C919A5">
        <w:t>, recommended:</w:t>
      </w:r>
    </w:p>
    <w:p w:rsidR="00985FA0" w:rsidP="004454DA">
      <w:pPr>
        <w:pStyle w:val="Quote"/>
        <w:rPr>
          <w:i w:val="0"/>
          <w:iCs w:val="0"/>
        </w:rPr>
      </w:pPr>
      <w:r>
        <w:t>…prior to the next General Election, the House Administration review the induction and training offer for new Members elected as independents, with a view to ensuring that sessions and resources meet their particular needs and address the particular challenges faced by those Members of Parliament.</w:t>
      </w:r>
    </w:p>
    <w:p w:rsidR="00985FA0" w:rsidP="00C919A5">
      <w:pPr>
        <w:numPr>
          <w:ilvl w:val="0"/>
          <w:numId w:val="14"/>
        </w:numPr>
        <w:tabs>
          <w:tab w:val="left" w:pos="720"/>
        </w:tabs>
        <w:contextualSpacing/>
      </w:pPr>
      <w:r>
        <w:t xml:space="preserve">GEPG will take forward this work to ensure that the specific needs of new Members who are elected as independents are accounted for when planning the induction and training offer after the next general election. </w:t>
      </w:r>
    </w:p>
    <w:p w:rsidR="00985FA0" w:rsidP="00C919A5">
      <w:pPr>
        <w:tabs>
          <w:tab w:val="left" w:pos="720"/>
        </w:tabs>
        <w:ind w:left="720"/>
        <w:contextualSpacing/>
      </w:pPr>
    </w:p>
    <w:p w:rsidR="00985FA0" w:rsidP="00C919A5">
      <w:pPr>
        <w:numPr>
          <w:ilvl w:val="0"/>
          <w:numId w:val="14"/>
        </w:numPr>
        <w:tabs>
          <w:tab w:val="left" w:pos="720"/>
        </w:tabs>
        <w:contextualSpacing/>
      </w:pPr>
      <w:r>
        <w:t>There may also be merit in expanding this work to produce generic guidance for parties in relation to the roles and expectations that come with occupying formal positions in the House. For example, the Official Opposition and second and third largest opposition parties.</w:t>
      </w:r>
    </w:p>
    <w:p w:rsidR="00985FA0" w:rsidP="00C919A5">
      <w:pPr>
        <w:tabs>
          <w:tab w:val="left" w:pos="720"/>
        </w:tabs>
        <w:ind w:left="720"/>
        <w:contextualSpacing/>
      </w:pPr>
    </w:p>
    <w:p w:rsidR="00985FA0" w:rsidRPr="00C919A5" w:rsidP="00C919A5">
      <w:pPr>
        <w:numPr>
          <w:ilvl w:val="0"/>
          <w:numId w:val="14"/>
        </w:numPr>
        <w:tabs>
          <w:tab w:val="left" w:pos="720"/>
        </w:tabs>
        <w:contextualSpacing/>
        <w:rPr>
          <w:b/>
          <w:bCs/>
        </w:rPr>
      </w:pPr>
      <w:r w:rsidRPr="00C919A5">
        <w:rPr>
          <w:b/>
          <w:bCs/>
        </w:rPr>
        <w:t xml:space="preserve">Does the Administration Committee agree that </w:t>
      </w:r>
      <w:r>
        <w:rPr>
          <w:b/>
          <w:bCs/>
        </w:rPr>
        <w:t>GEPG</w:t>
      </w:r>
      <w:r w:rsidRPr="00C919A5">
        <w:rPr>
          <w:b/>
          <w:bCs/>
        </w:rPr>
        <w:t xml:space="preserve"> should expand the remit of the work recommended by the Procedure Committee to include guidance for parties occupying formal positions within the House?</w:t>
      </w:r>
    </w:p>
    <w:p w:rsidR="00985FA0" w:rsidRPr="00C919A5" w:rsidP="00C919A5">
      <w:pPr>
        <w:pStyle w:val="Heading3"/>
        <w:rPr>
          <w:rFonts w:eastAsiaTheme="minorHAnsi" w:cstheme="minorBidi"/>
          <w:color w:val="auto"/>
          <w:sz w:val="22"/>
          <w:szCs w:val="22"/>
        </w:rPr>
      </w:pPr>
      <w:r>
        <w:rPr>
          <w:rFonts w:eastAsiaTheme="minorHAnsi" w:cstheme="minorBidi"/>
          <w:color w:val="auto"/>
          <w:sz w:val="22"/>
          <w:szCs w:val="22"/>
        </w:rPr>
        <w:pict>
          <v:shape id="_x0000_s1028" type="#_x0000_t202" style="height:139.58pt;margin-left:793.6pt;margin-top:30.75pt;mso-height-percent:200;mso-height-relative:margin;mso-position-horizontal:right;mso-position-horizontal-relative:margin;mso-width-percent:0;mso-width-relative:margin;mso-wrap-distance-bottom:3.6pt;mso-wrap-distance-left:9pt;mso-wrap-distance-right:9pt;mso-wrap-distance-top:3.6pt;mso-wrap-style:square;position:absolute;v-text-anchor:top;visibility:visible;width:448pt;z-index:251661312">
            <v:textbox style="mso-fit-shape-to-text:t">
              <w:txbxContent>
                <w:p w:rsidR="00985FA0" w:rsidRPr="00C75269" w:rsidP="004454DA">
                  <w:pPr>
                    <w:tabs>
                      <w:tab w:val="num" w:pos="435"/>
                    </w:tabs>
                    <w:spacing w:after="200"/>
                    <w:rPr>
                      <w:rFonts w:ascii="Gill Sans MT" w:eastAsia="Gill Sans MT" w:hAnsi="Gill Sans MT" w:cs="Gill Sans MT"/>
                      <w:b/>
                      <w:bCs/>
                      <w:color w:val="000000" w:themeColor="text1"/>
                    </w:rPr>
                  </w:pPr>
                  <w:r w:rsidRPr="00C75269">
                    <w:rPr>
                      <w:rFonts w:ascii="Gill Sans MT" w:eastAsia="Gill Sans MT" w:hAnsi="Gill Sans MT" w:cs="Gill Sans MT"/>
                      <w:b/>
                      <w:bCs/>
                      <w:color w:val="000000" w:themeColor="text1"/>
                    </w:rPr>
                    <w:t xml:space="preserve">Relevant Terms of Reference: </w:t>
                  </w:r>
                </w:p>
                <w:p w:rsidR="00985FA0" w:rsidRPr="00E02AD8" w:rsidP="004454DA">
                  <w:pPr>
                    <w:rPr>
                      <w:rFonts w:ascii="Gill Sans MT" w:eastAsia="Gill Sans MT" w:hAnsi="Gill Sans MT" w:cs="Gill Sans MT"/>
                      <w:i/>
                      <w:iCs/>
                      <w:color w:val="000000" w:themeColor="text1"/>
                    </w:rPr>
                  </w:pPr>
                  <w:r w:rsidRPr="00E02AD8">
                    <w:rPr>
                      <w:rFonts w:ascii="Gill Sans MT" w:eastAsia="Gill Sans MT" w:hAnsi="Gill Sans MT" w:cs="Gill Sans MT"/>
                      <w:i/>
                      <w:iCs/>
                      <w:color w:val="000000" w:themeColor="text1"/>
                    </w:rPr>
                    <w:t>Investigate how to improve support offered to new Members in setting up their office</w:t>
                  </w:r>
                </w:p>
              </w:txbxContent>
            </v:textbox>
            <w10:wrap type="square"/>
          </v:shape>
        </w:pict>
      </w:r>
      <w:r w:rsidRPr="00C919A5">
        <w:rPr>
          <w:rFonts w:eastAsiaTheme="minorHAnsi" w:cstheme="minorBidi"/>
          <w:color w:val="auto"/>
          <w:sz w:val="22"/>
          <w:szCs w:val="22"/>
        </w:rPr>
        <w:t xml:space="preserve">Supporting new Members to set-up offices </w:t>
      </w:r>
    </w:p>
    <w:p w:rsidR="00985FA0" w:rsidP="00C919A5">
      <w:pPr>
        <w:numPr>
          <w:ilvl w:val="0"/>
          <w:numId w:val="14"/>
        </w:numPr>
        <w:tabs>
          <w:tab w:val="left" w:pos="720"/>
        </w:tabs>
        <w:contextualSpacing/>
      </w:pPr>
      <w:r w:rsidRPr="00C919A5">
        <w:t xml:space="preserve">Recruiting the right staff as quickly as possible is a key priority and challenge for many newly-elected Members. The Members’ HR team support them with these duties, and has expanded and restructured following the </w:t>
      </w:r>
      <w:r>
        <w:fldChar w:fldCharType="begin"/>
      </w:r>
      <w:r>
        <w:instrText xml:space="preserve"> HYPERLINK "https://publications.parliament.uk/pa/cm5803/cmselect/cmspeak/1714/report.html" </w:instrText>
      </w:r>
      <w:r>
        <w:fldChar w:fldCharType="separate"/>
      </w:r>
      <w:r w:rsidRPr="00C919A5">
        <w:t>Speaker’s Conference report on employment conditions of Members’ staff</w:t>
      </w:r>
      <w:r>
        <w:fldChar w:fldCharType="end"/>
      </w:r>
      <w:r w:rsidRPr="00C919A5">
        <w:t xml:space="preserve">. The new model was partly operational for the 2024 general election and is now fully operational. </w:t>
      </w:r>
    </w:p>
    <w:p w:rsidR="00985FA0" w:rsidRPr="00C919A5" w:rsidP="00C919A5">
      <w:pPr>
        <w:tabs>
          <w:tab w:val="left" w:pos="720"/>
        </w:tabs>
        <w:ind w:left="720"/>
        <w:contextualSpacing/>
      </w:pPr>
    </w:p>
    <w:p w:rsidR="00985FA0" w:rsidP="00C919A5">
      <w:pPr>
        <w:numPr>
          <w:ilvl w:val="0"/>
          <w:numId w:val="14"/>
        </w:numPr>
        <w:tabs>
          <w:tab w:val="left" w:pos="720"/>
        </w:tabs>
        <w:contextualSpacing/>
      </w:pPr>
      <w:r w:rsidRPr="00C919A5">
        <w:t>For the 2024 election, the HR team was situated in the New Members’ Reception Area (NMRA). Due to the volume of new Members, Members’ HR staff were supplemented by staff from the House of Commons and House of Lords central HR teams to provide the necessary resources. Members were given a few key messages on recruiting their staff and were signposted to the Members’ HR team for more detailed conversations. This initiative could be greatly enhanced for the next General Election, with more extensive training o</w:t>
      </w:r>
      <w:r w:rsidRPr="00C919A5">
        <w:t xml:space="preserve">f volunteers. </w:t>
      </w:r>
    </w:p>
    <w:p w:rsidR="00985FA0" w:rsidRPr="00C919A5" w:rsidP="00C919A5">
      <w:pPr>
        <w:tabs>
          <w:tab w:val="left" w:pos="720"/>
        </w:tabs>
        <w:contextualSpacing/>
      </w:pPr>
    </w:p>
    <w:p w:rsidR="00985FA0" w:rsidP="00C919A5">
      <w:pPr>
        <w:numPr>
          <w:ilvl w:val="0"/>
          <w:numId w:val="14"/>
        </w:numPr>
        <w:tabs>
          <w:tab w:val="left" w:pos="720"/>
        </w:tabs>
        <w:contextualSpacing/>
      </w:pPr>
      <w:r w:rsidRPr="00C919A5">
        <w:t xml:space="preserve">This model worked well, but feedback from new Members was that more detailed support and more time with the Members’ HR team was needed. Best practice guides were available to help with recruitment and Members were advised by the MMSST to recruit an Office Manager who could then recruit the rest of the team. However, many new Members elected to have a flat structure. </w:t>
      </w:r>
    </w:p>
    <w:p w:rsidR="00985FA0" w:rsidRPr="00C919A5" w:rsidP="00C919A5">
      <w:pPr>
        <w:tabs>
          <w:tab w:val="left" w:pos="720"/>
        </w:tabs>
        <w:contextualSpacing/>
      </w:pPr>
    </w:p>
    <w:p w:rsidR="00985FA0" w:rsidP="00C919A5">
      <w:pPr>
        <w:numPr>
          <w:ilvl w:val="0"/>
          <w:numId w:val="14"/>
        </w:numPr>
        <w:tabs>
          <w:tab w:val="left" w:pos="720"/>
        </w:tabs>
        <w:contextualSpacing/>
      </w:pPr>
      <w:r w:rsidRPr="00C919A5">
        <w:t xml:space="preserve">The One Year On survey (carried out in December 2024) highlighted the fact that new Members were required to begin their roles immediately, often without staff in place, which made the early months particularly demanding. Managing teams was especially challenging for those without prior line management experience, and delays arose when unsuitable staff were initially recruited. By contrast, Members who hired staff with parliamentary experience adapted more smoothly, as those staffers could support with the </w:t>
      </w:r>
      <w:r w:rsidRPr="00C919A5">
        <w:t>high volumes of emails and casework, while understanding parliamentary procedure. Having access to a pool of casual staff (for example, as recommended in the first report of the Speaker’s Conference on security</w:t>
      </w:r>
      <w:r>
        <w:footnoteReference w:id="3"/>
      </w:r>
      <w:r w:rsidRPr="00C919A5">
        <w:t>) during the transition would have eased the pressure until permanent teams were established. While such a model would be helpful, there would be practical challenges to delivery relating to the security clearance, provision of IT equipment and physical office space for any such pool of staff.</w:t>
      </w:r>
    </w:p>
    <w:p w:rsidR="00985FA0" w:rsidRPr="00C919A5" w:rsidP="00C919A5">
      <w:pPr>
        <w:tabs>
          <w:tab w:val="left" w:pos="720"/>
        </w:tabs>
        <w:contextualSpacing/>
      </w:pPr>
    </w:p>
    <w:p w:rsidR="00985FA0" w:rsidRPr="00C919A5" w:rsidP="00C919A5">
      <w:pPr>
        <w:numPr>
          <w:ilvl w:val="0"/>
          <w:numId w:val="14"/>
        </w:numPr>
        <w:tabs>
          <w:tab w:val="left" w:pos="720"/>
        </w:tabs>
        <w:contextualSpacing/>
      </w:pPr>
      <w:r w:rsidRPr="00C919A5">
        <w:t xml:space="preserve">As of 16 December 2025, according to the IPSA Scheme, Members can loan one member of their staff to another Member for up to three months. This is designed to support short-term office needs, promote staff development, and enable MPs to collaborate effectively. Full guidance can be found on IPSA’s </w:t>
      </w:r>
      <w:r>
        <w:fldChar w:fldCharType="begin"/>
      </w:r>
      <w:r>
        <w:instrText xml:space="preserve"> HYPERLINK "https://url.uk.m.mimecastprotect.com/s/LgVAC2xK5Ckm4LvrCEtEF5deAW?domain=theipsa.us19.list-manage.com" \o "https://url.uk.m.mimecastprotect.com/s/lgvac2xk5ckm4lvrcetef5deaw?domain=theipsa.us19.list-manage.com" \t "_blank" </w:instrText>
      </w:r>
      <w:r>
        <w:fldChar w:fldCharType="separate"/>
      </w:r>
      <w:r w:rsidRPr="00C919A5">
        <w:t>website</w:t>
      </w:r>
      <w:r>
        <w:fldChar w:fldCharType="end"/>
      </w:r>
      <w:r w:rsidRPr="00C919A5">
        <w:t xml:space="preserve">. </w:t>
      </w:r>
    </w:p>
    <w:p w:rsidR="00985FA0" w:rsidP="00C919A5">
      <w:pPr>
        <w:ind w:left="720"/>
        <w:contextualSpacing/>
      </w:pPr>
    </w:p>
    <w:p w:rsidR="00985FA0" w:rsidRPr="00C919A5" w:rsidP="00C919A5">
      <w:pPr>
        <w:numPr>
          <w:ilvl w:val="0"/>
          <w:numId w:val="14"/>
        </w:numPr>
        <w:tabs>
          <w:tab w:val="left" w:pos="720"/>
        </w:tabs>
        <w:contextualSpacing/>
      </w:pPr>
      <w:r>
        <w:pict>
          <v:shape id="_x0000_s1029" type="#_x0000_t202" style="height:139.58pt;margin-left:29.9pt;margin-top:154.55pt;mso-height-percent:200;mso-height-relative:margin;mso-position-horizontal-relative:margin;mso-width-percent:0;mso-width-relative:margin;mso-wrap-distance-bottom:3.6pt;mso-wrap-distance-left:9pt;mso-wrap-distance-right:9pt;mso-wrap-distance-top:3.6pt;mso-wrap-style:square;position:absolute;v-text-anchor:top;visibility:visible;width:421.3pt;z-index:251662336">
            <v:textbox style="mso-fit-shape-to-text:t">
              <w:txbxContent>
                <w:p w:rsidR="00985FA0" w:rsidP="004454DA">
                  <w:r>
                    <w:rPr>
                      <w:b/>
                      <w:bCs/>
                    </w:rPr>
                    <w:t>Findings from the New Members’ Survey – One year on</w:t>
                  </w:r>
                </w:p>
                <w:p w:rsidR="00985FA0" w:rsidRPr="002613DF" w:rsidP="004454DA">
                  <w:pPr>
                    <w:rPr>
                      <w:i/>
                      <w:iCs/>
                    </w:rPr>
                  </w:pPr>
                  <w:r>
                    <w:rPr>
                      <w:i/>
                      <w:iCs/>
                    </w:rPr>
                    <w:t>New Members referred to their email going live immediately after their election led to unmanageable inboxes. They also highlighted the lack of early caseworker support.</w:t>
                  </w:r>
                </w:p>
              </w:txbxContent>
            </v:textbox>
            <w10:wrap type="square"/>
          </v:shape>
        </w:pict>
      </w:r>
      <w:r w:rsidRPr="00C919A5">
        <w:t xml:space="preserve">The MMSST is currently overseeing the compilation of a Casework Guidance document, which will guide and advise Members and caseworkers on dealing with and responding to different types of constituency casework. This document could be further developed before the next General Election, to support new caseworkers and Members alike in their early engagement with constituents. For example, it could include the remit and responsibilities of other public bodies to help ensure that, if necessary, constituents are </w:t>
      </w:r>
      <w:r w:rsidRPr="00C919A5">
        <w:t>redirected appropriately, as well as corresponding example email responses, which might help new Members and their staff to reply quickly to constituency queries and stay on top of inboxes.</w:t>
      </w:r>
    </w:p>
    <w:p w:rsidR="00985FA0" w:rsidP="004454DA">
      <w:pPr>
        <w:spacing w:after="200"/>
        <w:ind w:left="141"/>
        <w:jc w:val="both"/>
        <w:rPr>
          <w:rFonts w:ascii="Gill Sans MT" w:eastAsia="Gill Sans MT" w:hAnsi="Gill Sans MT" w:cs="Gill Sans MT"/>
          <w:b/>
          <w:bCs/>
          <w:color w:val="000000" w:themeColor="text1"/>
        </w:rPr>
      </w:pPr>
    </w:p>
    <w:p w:rsidR="00985FA0" w:rsidP="004454DA">
      <w:pPr>
        <w:spacing w:after="200"/>
        <w:ind w:left="141"/>
        <w:jc w:val="both"/>
        <w:rPr>
          <w:rFonts w:ascii="Gill Sans MT" w:eastAsia="Gill Sans MT" w:hAnsi="Gill Sans MT" w:cs="Gill Sans MT"/>
          <w:b/>
          <w:bCs/>
          <w:color w:val="000000" w:themeColor="text1"/>
        </w:rPr>
      </w:pPr>
    </w:p>
    <w:p w:rsidR="00985FA0" w:rsidP="004454DA">
      <w:pPr>
        <w:spacing w:after="200"/>
        <w:ind w:left="141"/>
        <w:jc w:val="both"/>
        <w:rPr>
          <w:rFonts w:ascii="Gill Sans MT" w:eastAsia="Gill Sans MT" w:hAnsi="Gill Sans MT" w:cs="Gill Sans MT"/>
          <w:b/>
          <w:bCs/>
          <w:color w:val="000000" w:themeColor="text1"/>
        </w:rPr>
      </w:pPr>
    </w:p>
    <w:p w:rsidR="00985FA0" w:rsidP="004454DA">
      <w:pPr>
        <w:spacing w:after="200"/>
        <w:ind w:left="141"/>
        <w:jc w:val="both"/>
        <w:rPr>
          <w:rFonts w:ascii="Gill Sans MT" w:eastAsia="Gill Sans MT" w:hAnsi="Gill Sans MT" w:cs="Gill Sans MT"/>
          <w:b/>
          <w:bCs/>
          <w:color w:val="000000" w:themeColor="text1"/>
        </w:rPr>
      </w:pPr>
    </w:p>
    <w:p w:rsidR="00985FA0" w:rsidRPr="00077E37" w:rsidP="004454DA">
      <w:pPr>
        <w:spacing w:after="200"/>
        <w:ind w:left="141"/>
        <w:jc w:val="both"/>
        <w:rPr>
          <w:rFonts w:ascii="Gill Sans MT" w:eastAsia="Gill Sans MT" w:hAnsi="Gill Sans MT" w:cs="Gill Sans MT"/>
          <w:b/>
          <w:bCs/>
          <w:color w:val="000000" w:themeColor="text1"/>
        </w:rPr>
      </w:pPr>
    </w:p>
    <w:p w:rsidR="00985FA0" w:rsidRPr="007C4963" w:rsidP="00C919A5">
      <w:pPr>
        <w:numPr>
          <w:ilvl w:val="0"/>
          <w:numId w:val="14"/>
        </w:numPr>
        <w:tabs>
          <w:tab w:val="left" w:pos="720"/>
        </w:tabs>
        <w:contextualSpacing/>
        <w:rPr>
          <w:b/>
          <w:bCs/>
        </w:rPr>
      </w:pPr>
      <w:r w:rsidRPr="007C4963">
        <w:rPr>
          <w:b/>
          <w:bCs/>
        </w:rPr>
        <w:t>The following improvements could be considered for the next election:-</w:t>
      </w:r>
    </w:p>
    <w:p w:rsidR="00985FA0" w:rsidRPr="007C4963" w:rsidP="007C4963">
      <w:pPr>
        <w:numPr>
          <w:ilvl w:val="1"/>
          <w:numId w:val="14"/>
        </w:numPr>
        <w:tabs>
          <w:tab w:val="left" w:pos="720"/>
        </w:tabs>
        <w:contextualSpacing/>
        <w:rPr>
          <w:b/>
          <w:bCs/>
        </w:rPr>
      </w:pPr>
      <w:r w:rsidRPr="007C4963">
        <w:rPr>
          <w:b/>
          <w:bCs/>
        </w:rPr>
        <w:t>Workshops could be offered, for more detailed, face-to-face training</w:t>
      </w:r>
    </w:p>
    <w:p w:rsidR="00985FA0" w:rsidRPr="007C4963" w:rsidP="007C4963">
      <w:pPr>
        <w:numPr>
          <w:ilvl w:val="1"/>
          <w:numId w:val="14"/>
        </w:numPr>
        <w:tabs>
          <w:tab w:val="left" w:pos="720"/>
        </w:tabs>
        <w:contextualSpacing/>
        <w:rPr>
          <w:b/>
          <w:bCs/>
        </w:rPr>
      </w:pPr>
      <w:r w:rsidRPr="007C4963">
        <w:rPr>
          <w:b/>
          <w:bCs/>
        </w:rPr>
        <w:t>At that initial meeting, new Members could receive a pack of templates, including job descriptions, interview tests, interview questions and different model office structures, including ways in which they can support their staff through the EAP and other services provided by the House ; and</w:t>
      </w:r>
    </w:p>
    <w:p w:rsidR="00985FA0" w:rsidRPr="007C4963" w:rsidP="007C4963">
      <w:pPr>
        <w:numPr>
          <w:ilvl w:val="1"/>
          <w:numId w:val="14"/>
        </w:numPr>
        <w:tabs>
          <w:tab w:val="left" w:pos="720"/>
        </w:tabs>
        <w:contextualSpacing/>
        <w:rPr>
          <w:b/>
          <w:bCs/>
        </w:rPr>
      </w:pPr>
      <w:r w:rsidRPr="007C4963">
        <w:rPr>
          <w:b/>
          <w:bCs/>
        </w:rPr>
        <w:t>At their first meeting, new Members could book a follow-up meeting with their regional HR adviser.</w:t>
      </w:r>
    </w:p>
    <w:p w:rsidR="00985FA0" w:rsidRPr="007C4963" w:rsidP="007C4963">
      <w:pPr>
        <w:tabs>
          <w:tab w:val="left" w:pos="720"/>
        </w:tabs>
        <w:ind w:left="1440"/>
        <w:contextualSpacing/>
        <w:rPr>
          <w:b/>
          <w:bCs/>
        </w:rPr>
      </w:pPr>
    </w:p>
    <w:p w:rsidR="00985FA0" w:rsidRPr="007C4963" w:rsidP="00C919A5">
      <w:pPr>
        <w:numPr>
          <w:ilvl w:val="0"/>
          <w:numId w:val="14"/>
        </w:numPr>
        <w:tabs>
          <w:tab w:val="left" w:pos="720"/>
        </w:tabs>
        <w:contextualSpacing/>
        <w:rPr>
          <w:b/>
          <w:bCs/>
        </w:rPr>
      </w:pPr>
      <w:r w:rsidRPr="007C4963">
        <w:rPr>
          <w:b/>
          <w:bCs/>
        </w:rPr>
        <w:t xml:space="preserve">It would be helpful to understand the Administration Committee’s appetite for establishing a pool of experienced Members’ staff who could support new Members immediately after the election, despite the potential consequences for available office space for new Members and the fact that the vast majority of Members’ staff will be winding up the office of their former Members for up to four months. The model would also have implications for Members’ staff redundancy pay. </w:t>
      </w:r>
    </w:p>
    <w:p w:rsidR="00985FA0" w:rsidRPr="007C4963" w:rsidP="007C4963">
      <w:pPr>
        <w:pStyle w:val="Heading3"/>
        <w:rPr>
          <w:rFonts w:eastAsiaTheme="minorHAnsi" w:cstheme="minorBidi"/>
          <w:color w:val="auto"/>
          <w:sz w:val="22"/>
          <w:szCs w:val="22"/>
        </w:rPr>
      </w:pPr>
      <w:r w:rsidRPr="007C4963">
        <w:rPr>
          <w:rFonts w:eastAsiaTheme="minorHAnsi" w:cstheme="minorBidi"/>
          <w:color w:val="auto"/>
          <w:sz w:val="22"/>
          <w:szCs w:val="22"/>
        </w:rPr>
        <w:t>Departing Members and their staff</w:t>
      </w:r>
      <w:r>
        <w:rPr>
          <w:rFonts w:eastAsiaTheme="minorHAnsi" w:cstheme="minorBidi"/>
          <w:color w:val="auto"/>
          <w:sz w:val="22"/>
          <w:szCs w:val="22"/>
        </w:rPr>
        <w:pict>
          <v:shape id="_x0000_s1030" type="#_x0000_t202" style="height:139.58pt;margin-left:0;margin-top:27.85pt;mso-height-percent:200;mso-height-relative:margin;mso-position-horizontal-relative:margin;mso-width-percent:0;mso-width-relative:margin;mso-wrap-distance-bottom:3.6pt;mso-wrap-distance-left:9pt;mso-wrap-distance-right:9pt;mso-wrap-distance-top:3.6pt;mso-wrap-style:square;position:absolute;v-text-anchor:top;visibility:visible;width:448pt;z-index:251663360">
            <v:textbox style="mso-fit-shape-to-text:t">
              <w:txbxContent>
                <w:p w:rsidR="00985FA0" w:rsidRPr="002954AE" w:rsidP="004454DA">
                  <w:pPr>
                    <w:rPr>
                      <w:rFonts w:ascii="Gill Sans MT" w:eastAsia="Gill Sans MT" w:hAnsi="Gill Sans MT" w:cs="Gill Sans MT"/>
                      <w:b/>
                      <w:bCs/>
                      <w:color w:val="000000" w:themeColor="text1"/>
                    </w:rPr>
                  </w:pPr>
                  <w:r w:rsidRPr="002954AE">
                    <w:rPr>
                      <w:rFonts w:ascii="Gill Sans MT" w:eastAsia="Gill Sans MT" w:hAnsi="Gill Sans MT" w:cs="Gill Sans MT"/>
                      <w:b/>
                      <w:bCs/>
                      <w:color w:val="000000" w:themeColor="text1"/>
                    </w:rPr>
                    <w:t xml:space="preserve">Relevant Terms of Reference: </w:t>
                  </w:r>
                </w:p>
                <w:p w:rsidR="00985FA0" w:rsidRPr="00E02AD8" w:rsidP="004454DA">
                  <w:pPr>
                    <w:rPr>
                      <w:rFonts w:ascii="Gill Sans MT" w:eastAsia="Gill Sans MT" w:hAnsi="Gill Sans MT" w:cs="Gill Sans MT"/>
                      <w:i/>
                      <w:iCs/>
                      <w:color w:val="000000" w:themeColor="text1"/>
                    </w:rPr>
                  </w:pPr>
                  <w:r w:rsidRPr="001C1E6E">
                    <w:rPr>
                      <w:rFonts w:ascii="Gill Sans MT" w:eastAsia="Gill Sans MT" w:hAnsi="Gill Sans MT" w:cs="Gill Sans MT"/>
                      <w:i/>
                      <w:iCs/>
                      <w:color w:val="000000" w:themeColor="text1"/>
                    </w:rPr>
                    <w:t>Consider the effectiveness of the measures put in place by the Administration following the Committee’s 2023 report, which focused on the support for departing Members and their staff</w:t>
                  </w:r>
                </w:p>
              </w:txbxContent>
            </v:textbox>
            <w10:wrap type="square"/>
          </v:shape>
        </w:pict>
      </w:r>
    </w:p>
    <w:p w:rsidR="00985FA0" w:rsidP="007C4963">
      <w:pPr>
        <w:numPr>
          <w:ilvl w:val="0"/>
          <w:numId w:val="14"/>
        </w:numPr>
        <w:tabs>
          <w:tab w:val="left" w:pos="720"/>
        </w:tabs>
        <w:contextualSpacing/>
      </w:pPr>
      <w:r w:rsidRPr="007C4963">
        <w:t>An orderly end to Members’ time as elected officers is important for former Members, their staff and constituents who have current cases that need to be transferred to the incoming Member. For the 2024 General Election, departing Members Areas were run in Portcullis House (for Members standing down) and Richmond House (for non-returned Members) where former Members received advice and support for House teams and IPSA to wind-up their offices. In the run up to the last election, preliminary HR advice meeting</w:t>
      </w:r>
      <w:r w:rsidRPr="007C4963">
        <w:t>s were held with Members from 18 months prior to the General Election who had announced they were standing down and sessions were run in different Roadshow, across the UK, to help inform Members’ staff about the relevant processes.</w:t>
      </w:r>
    </w:p>
    <w:p w:rsidR="00985FA0" w:rsidRPr="007C4963" w:rsidP="007C4963">
      <w:pPr>
        <w:tabs>
          <w:tab w:val="left" w:pos="720"/>
        </w:tabs>
        <w:ind w:left="720"/>
        <w:contextualSpacing/>
      </w:pPr>
    </w:p>
    <w:p w:rsidR="00985FA0" w:rsidP="007C4963">
      <w:pPr>
        <w:numPr>
          <w:ilvl w:val="0"/>
          <w:numId w:val="14"/>
        </w:numPr>
        <w:tabs>
          <w:tab w:val="left" w:pos="720"/>
        </w:tabs>
        <w:contextualSpacing/>
      </w:pPr>
      <w:r w:rsidRPr="007C4963">
        <w:t xml:space="preserve">The House also implemented several improvements to the services for departing Members (both those stepping down and those who lost their seats) and their staff. This was informed by the previous Administration Committee report </w:t>
      </w:r>
      <w:r>
        <w:fldChar w:fldCharType="begin"/>
      </w:r>
      <w:r>
        <w:instrText xml:space="preserve"> HYPERLINK "https://publications.parliament.uk/pa/cm5803/cmselect/cmadmin/209/summary.html" </w:instrText>
      </w:r>
      <w:r>
        <w:fldChar w:fldCharType="separate"/>
      </w:r>
      <w:r w:rsidRPr="007C4963">
        <w:t>Smoothing the Cliff Edge: supporting MPs at their point of departure from elected office</w:t>
      </w:r>
      <w:r>
        <w:fldChar w:fldCharType="end"/>
      </w:r>
      <w:r w:rsidRPr="007C4963">
        <w:t xml:space="preserve">. These improvements have been seen as positive steps in recognition of the difficulties Members and their employees can face when leaving parliamentary life. </w:t>
      </w:r>
    </w:p>
    <w:p w:rsidR="00985FA0" w:rsidRPr="007C4963" w:rsidP="002134B0">
      <w:pPr>
        <w:tabs>
          <w:tab w:val="left" w:pos="720"/>
        </w:tabs>
        <w:contextualSpacing/>
      </w:pPr>
    </w:p>
    <w:p w:rsidR="00985FA0" w:rsidRPr="007C4963" w:rsidP="007C4963">
      <w:pPr>
        <w:numPr>
          <w:ilvl w:val="0"/>
          <w:numId w:val="14"/>
        </w:numPr>
        <w:tabs>
          <w:tab w:val="num" w:pos="435"/>
          <w:tab w:val="left" w:pos="720"/>
        </w:tabs>
        <w:contextualSpacing/>
      </w:pPr>
      <w:r w:rsidRPr="007C4963">
        <w:t>The changes included:</w:t>
      </w:r>
    </w:p>
    <w:p w:rsidR="00985FA0" w:rsidRPr="007C4963" w:rsidP="002134B0">
      <w:pPr>
        <w:numPr>
          <w:ilvl w:val="1"/>
          <w:numId w:val="14"/>
        </w:numPr>
        <w:tabs>
          <w:tab w:val="left" w:pos="720"/>
        </w:tabs>
        <w:contextualSpacing/>
      </w:pPr>
      <w:r w:rsidRPr="007C4963">
        <w:t xml:space="preserve">A longer winding-up period implemented by IPSA of four-months instead of two. This allowed Members more time for the orderly winding-up of constituency offices and to take their staff through the HR processes of being made redundant (supported by House and IPSA teams). Members were still required to leave their parliamentary offices within five days; </w:t>
      </w:r>
    </w:p>
    <w:p w:rsidR="00985FA0" w:rsidRPr="007C4963" w:rsidP="002134B0">
      <w:pPr>
        <w:numPr>
          <w:ilvl w:val="1"/>
          <w:numId w:val="14"/>
        </w:numPr>
        <w:tabs>
          <w:tab w:val="left" w:pos="720"/>
        </w:tabs>
        <w:contextualSpacing/>
      </w:pPr>
      <w:r w:rsidRPr="007C4963">
        <w:t>A Career Transition Service for Members who lost their seats on election night. This supported those Members to find new employment, with access for six months to unlimited career coaching and online resources, including guidance on CV writing, networking and navigating job search websites;</w:t>
      </w:r>
    </w:p>
    <w:p w:rsidR="00985FA0" w:rsidRPr="007C4963" w:rsidP="002134B0">
      <w:pPr>
        <w:numPr>
          <w:ilvl w:val="1"/>
          <w:numId w:val="14"/>
        </w:numPr>
        <w:tabs>
          <w:tab w:val="left" w:pos="720"/>
        </w:tabs>
        <w:contextualSpacing/>
      </w:pPr>
      <w:r w:rsidRPr="007C4963">
        <w:t xml:space="preserve">Access to the Individual Assistance Programme (Members) and Employee Assistance Programme (Members’ staff) was available for up to a year. This provided wellbeing support and other types of advice; and </w:t>
      </w:r>
    </w:p>
    <w:p w:rsidR="00985FA0" w:rsidRPr="007C4963" w:rsidP="002134B0">
      <w:pPr>
        <w:numPr>
          <w:ilvl w:val="1"/>
          <w:numId w:val="14"/>
        </w:numPr>
        <w:tabs>
          <w:tab w:val="left" w:pos="720"/>
        </w:tabs>
        <w:contextualSpacing/>
      </w:pPr>
      <w:r w:rsidRPr="007C4963">
        <w:t xml:space="preserve">The Association of Former MPs ran an optional mentoring programme. This was available to former Members who joined the Association. </w:t>
      </w:r>
    </w:p>
    <w:p w:rsidR="00985FA0" w:rsidP="002134B0">
      <w:pPr>
        <w:ind w:left="720"/>
        <w:contextualSpacing/>
      </w:pPr>
    </w:p>
    <w:p w:rsidR="00985FA0" w:rsidRPr="007C4963" w:rsidP="007C4963">
      <w:pPr>
        <w:numPr>
          <w:ilvl w:val="0"/>
          <w:numId w:val="14"/>
        </w:numPr>
        <w:tabs>
          <w:tab w:val="left" w:pos="720"/>
        </w:tabs>
        <w:contextualSpacing/>
      </w:pPr>
      <w:r w:rsidRPr="007C4963">
        <w:t>There are further changes the Committee might wish to consider:</w:t>
      </w:r>
    </w:p>
    <w:p w:rsidR="00985FA0" w:rsidP="007C4963">
      <w:pPr>
        <w:numPr>
          <w:ilvl w:val="0"/>
          <w:numId w:val="14"/>
        </w:numPr>
        <w:tabs>
          <w:tab w:val="num" w:pos="435"/>
          <w:tab w:val="left" w:pos="720"/>
        </w:tabs>
        <w:contextualSpacing/>
      </w:pPr>
      <w:r w:rsidRPr="007C4963">
        <w:t xml:space="preserve">The Career Transition Service was available to Members who lost their seats but not their staff. Some Members arranged for their staff to access this specific service and used their IPSA budgets to do so, which was permitted. Other Members use different services for their staff. The MMSST also ran CV writing and interview skills courses for Members’ staff in the lead up to the election. </w:t>
      </w:r>
    </w:p>
    <w:p w:rsidR="00985FA0" w:rsidRPr="007C4963" w:rsidP="002134B0">
      <w:pPr>
        <w:tabs>
          <w:tab w:val="left" w:pos="720"/>
        </w:tabs>
        <w:ind w:left="720"/>
        <w:contextualSpacing/>
      </w:pPr>
    </w:p>
    <w:p w:rsidR="00985FA0" w:rsidP="007C4963">
      <w:pPr>
        <w:numPr>
          <w:ilvl w:val="0"/>
          <w:numId w:val="14"/>
        </w:numPr>
        <w:tabs>
          <w:tab w:val="num" w:pos="435"/>
          <w:tab w:val="left" w:pos="720"/>
        </w:tabs>
        <w:contextualSpacing/>
      </w:pPr>
      <w:r w:rsidRPr="007C4963">
        <w:t xml:space="preserve">The Career Transition Service was felt to be positive and welcomed by those 138 former Members who accessed the service. The service provider reported a 100% satisfaction rate and 93 former Members found some form of paid work after the programme.2 An academic study of the service found that former Members would have found it more helpful if career development and future planning had happened while they were sitting Members. </w:t>
      </w:r>
    </w:p>
    <w:p w:rsidR="00985FA0" w:rsidRPr="007C4963" w:rsidP="002134B0">
      <w:pPr>
        <w:tabs>
          <w:tab w:val="left" w:pos="720"/>
        </w:tabs>
        <w:contextualSpacing/>
      </w:pPr>
    </w:p>
    <w:p w:rsidR="00985FA0" w:rsidRPr="007C4963" w:rsidP="007C4963">
      <w:pPr>
        <w:numPr>
          <w:ilvl w:val="0"/>
          <w:numId w:val="14"/>
        </w:numPr>
        <w:tabs>
          <w:tab w:val="num" w:pos="435"/>
          <w:tab w:val="left" w:pos="720"/>
        </w:tabs>
        <w:contextualSpacing/>
      </w:pPr>
      <w:r w:rsidRPr="007C4963">
        <w:t>In connection to (b), some former Members and their offices expressed that planning for a ‘worst-case scenario’ would have helped them manage the winding-up process better. This can be particularly important for former Members’ staff who are made redundant when their Member leaves parliament.</w:t>
      </w:r>
    </w:p>
    <w:p w:rsidR="00985FA0" w:rsidRPr="007C4963" w:rsidP="007C4963">
      <w:pPr>
        <w:tabs>
          <w:tab w:val="left" w:pos="720"/>
        </w:tabs>
        <w:ind w:left="720"/>
        <w:contextualSpacing/>
        <w:rPr>
          <w:b/>
          <w:bCs/>
        </w:rPr>
      </w:pPr>
    </w:p>
    <w:p w:rsidR="00985FA0" w:rsidRPr="007C4963" w:rsidP="007C4963">
      <w:pPr>
        <w:numPr>
          <w:ilvl w:val="0"/>
          <w:numId w:val="14"/>
        </w:numPr>
        <w:tabs>
          <w:tab w:val="left" w:pos="720"/>
        </w:tabs>
        <w:contextualSpacing/>
        <w:rPr>
          <w:b/>
          <w:bCs/>
        </w:rPr>
      </w:pPr>
      <w:r>
        <w:rPr>
          <w:b/>
          <w:bCs/>
        </w:rPr>
        <w:t xml:space="preserve">GEPG with the MSSTT </w:t>
      </w:r>
      <w:r w:rsidRPr="007C4963">
        <w:rPr>
          <w:b/>
          <w:bCs/>
        </w:rPr>
        <w:t xml:space="preserve">could shift its focus from former Members to current sitting Members, providing training and career development opportunities that allow Members to prepare for a potential career outside Parliament, while also building up skills to fulfil their parliamentary duties and their duties as employers.  </w:t>
      </w:r>
    </w:p>
    <w:p w:rsidR="00985FA0" w:rsidRPr="007C4963" w:rsidP="007C4963">
      <w:pPr>
        <w:tabs>
          <w:tab w:val="left" w:pos="720"/>
        </w:tabs>
        <w:ind w:left="720"/>
        <w:contextualSpacing/>
        <w:rPr>
          <w:b/>
          <w:bCs/>
        </w:rPr>
      </w:pPr>
    </w:p>
    <w:p w:rsidR="00985FA0" w:rsidRPr="007C4963" w:rsidP="007C4963">
      <w:pPr>
        <w:numPr>
          <w:ilvl w:val="0"/>
          <w:numId w:val="14"/>
        </w:numPr>
        <w:tabs>
          <w:tab w:val="left" w:pos="720"/>
        </w:tabs>
        <w:contextualSpacing/>
        <w:rPr>
          <w:b/>
          <w:bCs/>
        </w:rPr>
      </w:pPr>
      <w:r>
        <w:rPr>
          <w:b/>
          <w:bCs/>
        </w:rPr>
        <w:t xml:space="preserve">GEPG </w:t>
      </w:r>
      <w:r w:rsidRPr="007C4963">
        <w:rPr>
          <w:b/>
          <w:bCs/>
        </w:rPr>
        <w:t xml:space="preserve">could work with parties, independent Members and Members’ Staff forums and staff representatives to agree the most appropriate ways to help prepare Members and their staff for the possibility of defeat at a General Election. </w:t>
      </w:r>
    </w:p>
    <w:p w:rsidR="00985FA0" w:rsidRPr="007C4963" w:rsidP="007C4963">
      <w:pPr>
        <w:tabs>
          <w:tab w:val="left" w:pos="720"/>
        </w:tabs>
        <w:ind w:left="720"/>
        <w:contextualSpacing/>
        <w:rPr>
          <w:b/>
          <w:bCs/>
        </w:rPr>
      </w:pPr>
    </w:p>
    <w:p w:rsidR="00985FA0" w:rsidP="004454DA">
      <w:pPr>
        <w:pStyle w:val="Heading3"/>
        <w:rPr>
          <w:rFonts w:eastAsiaTheme="minorHAnsi" w:cstheme="minorBidi"/>
          <w:color w:val="auto"/>
          <w:sz w:val="22"/>
          <w:szCs w:val="22"/>
        </w:rPr>
      </w:pPr>
      <w:r>
        <w:rPr>
          <w:rFonts w:eastAsiaTheme="minorHAnsi" w:cstheme="minorBidi"/>
          <w:color w:val="auto"/>
          <w:sz w:val="22"/>
          <w:szCs w:val="22"/>
        </w:rPr>
        <w:pict>
          <v:shape id="_x0000_s1031" type="#_x0000_t202" style="height:139.58pt;margin-left:0;margin-top:36.1pt;mso-height-percent:200;mso-height-relative:margin;mso-position-horizontal:left;mso-position-horizontal-relative:margin;mso-width-percent:0;mso-width-relative:margin;mso-wrap-distance-bottom:3.6pt;mso-wrap-distance-left:9pt;mso-wrap-distance-right:9pt;mso-wrap-distance-top:3.6pt;mso-wrap-style:square;position:absolute;v-text-anchor:top;visibility:visible;width:448pt;z-index:251664384">
            <v:textbox style="mso-fit-shape-to-text:t">
              <w:txbxContent>
                <w:p w:rsidR="00985FA0" w:rsidRPr="00164B8B" w:rsidP="004454DA">
                  <w:pPr>
                    <w:rPr>
                      <w:rFonts w:ascii="Gill Sans MT" w:eastAsia="Gill Sans MT" w:hAnsi="Gill Sans MT" w:cs="Gill Sans MT"/>
                      <w:b/>
                      <w:bCs/>
                      <w:color w:val="000000" w:themeColor="text1"/>
                    </w:rPr>
                  </w:pPr>
                  <w:r w:rsidRPr="00164B8B">
                    <w:rPr>
                      <w:rFonts w:ascii="Gill Sans MT" w:eastAsia="Gill Sans MT" w:hAnsi="Gill Sans MT" w:cs="Gill Sans MT"/>
                      <w:b/>
                      <w:bCs/>
                      <w:color w:val="000000" w:themeColor="text1"/>
                    </w:rPr>
                    <w:t xml:space="preserve">Relevant Terms of Reference: </w:t>
                  </w:r>
                </w:p>
                <w:p w:rsidR="00985FA0" w:rsidRPr="00E02AD8" w:rsidP="004454DA">
                  <w:pPr>
                    <w:rPr>
                      <w:rFonts w:ascii="Gill Sans MT" w:eastAsia="Gill Sans MT" w:hAnsi="Gill Sans MT" w:cs="Gill Sans MT"/>
                      <w:i/>
                      <w:iCs/>
                      <w:color w:val="000000" w:themeColor="text1"/>
                    </w:rPr>
                  </w:pPr>
                  <w:r w:rsidRPr="00E72656">
                    <w:rPr>
                      <w:rFonts w:ascii="Gill Sans MT" w:eastAsia="Gill Sans MT" w:hAnsi="Gill Sans MT" w:cs="Gill Sans MT"/>
                      <w:i/>
                      <w:iCs/>
                      <w:color w:val="000000" w:themeColor="text1"/>
                    </w:rPr>
                    <w:t>Explore how adjustments for Members with accessibility needs could be better supported at the next election</w:t>
                  </w:r>
                </w:p>
              </w:txbxContent>
            </v:textbox>
            <w10:wrap type="square"/>
          </v:shape>
        </w:pict>
      </w:r>
      <w:r w:rsidRPr="00877893">
        <w:rPr>
          <w:rFonts w:eastAsiaTheme="minorHAnsi" w:cstheme="minorBidi"/>
          <w:color w:val="auto"/>
          <w:sz w:val="22"/>
          <w:szCs w:val="22"/>
        </w:rPr>
        <w:t xml:space="preserve">Adjustments for Members with accessibility needs </w:t>
      </w:r>
    </w:p>
    <w:p w:rsidR="00985FA0" w:rsidRPr="00877893" w:rsidP="00877893"/>
    <w:p w:rsidR="00985FA0" w:rsidP="00877893">
      <w:pPr>
        <w:numPr>
          <w:ilvl w:val="0"/>
          <w:numId w:val="14"/>
        </w:numPr>
        <w:tabs>
          <w:tab w:val="left" w:pos="720"/>
        </w:tabs>
        <w:contextualSpacing/>
      </w:pPr>
      <w:r w:rsidRPr="00877893">
        <w:t xml:space="preserve">In the run-up to the election and during the election campaign, </w:t>
      </w:r>
      <w:r>
        <w:t>GEPG</w:t>
      </w:r>
      <w:r w:rsidRPr="00877893">
        <w:t xml:space="preserve"> worked proactively with the parties to identify candidates standing for election who might require reasonable adjustments. Appropriate preparations were made to ensure they could be received inclusively at the New Members’ Reception Area (NMRA).</w:t>
      </w:r>
    </w:p>
    <w:p w:rsidR="00985FA0" w:rsidRPr="00877893" w:rsidP="00877893">
      <w:pPr>
        <w:tabs>
          <w:tab w:val="left" w:pos="720"/>
        </w:tabs>
        <w:ind w:left="720"/>
        <w:contextualSpacing/>
      </w:pPr>
    </w:p>
    <w:p w:rsidR="00985FA0" w:rsidP="00877893">
      <w:pPr>
        <w:numPr>
          <w:ilvl w:val="0"/>
          <w:numId w:val="14"/>
        </w:numPr>
        <w:tabs>
          <w:tab w:val="left" w:pos="720"/>
        </w:tabs>
        <w:contextualSpacing/>
      </w:pPr>
      <w:r w:rsidRPr="00877893">
        <w:t xml:space="preserve">As part of the induction process in the New Members’ Reception Area, all Members were asked whether they had any accessibility needs or reasonable adjustment requirements. The Workplace Adjustment Manger contacted all Members who said they </w:t>
      </w:r>
      <w:r w:rsidRPr="00877893">
        <w:t>had additional needs, to support their induction and discuss options for ensuring their participation.</w:t>
      </w:r>
    </w:p>
    <w:p w:rsidR="00985FA0" w:rsidRPr="00877893" w:rsidP="00877893">
      <w:pPr>
        <w:tabs>
          <w:tab w:val="left" w:pos="720"/>
        </w:tabs>
        <w:contextualSpacing/>
      </w:pPr>
    </w:p>
    <w:p w:rsidR="00985FA0" w:rsidP="00877893">
      <w:pPr>
        <w:numPr>
          <w:ilvl w:val="0"/>
          <w:numId w:val="14"/>
        </w:numPr>
        <w:tabs>
          <w:tab w:val="left" w:pos="720"/>
        </w:tabs>
        <w:contextualSpacing/>
      </w:pPr>
      <w:r w:rsidRPr="00877893">
        <w:t>Overall, Members with accessibility requirements found the House’s approach to be very positive, but that the join-up between House teams needed refining. The MMSST also identified that more ongoing support was needed for Members who had had assessments to then work with all the individuals and teams who could make adjustments for them and ensure that the adjustments were actioned and follow up meetings were offered.</w:t>
      </w:r>
    </w:p>
    <w:p w:rsidR="00985FA0" w:rsidRPr="00877893" w:rsidP="00BE032D">
      <w:pPr>
        <w:tabs>
          <w:tab w:val="left" w:pos="720"/>
        </w:tabs>
        <w:contextualSpacing/>
      </w:pPr>
    </w:p>
    <w:p w:rsidR="00985FA0" w:rsidP="00877893">
      <w:pPr>
        <w:numPr>
          <w:ilvl w:val="0"/>
          <w:numId w:val="14"/>
        </w:numPr>
        <w:tabs>
          <w:tab w:val="left" w:pos="720"/>
        </w:tabs>
        <w:contextualSpacing/>
      </w:pPr>
      <w:r w:rsidRPr="00877893">
        <w:t>As a result, since the beginning of 2025, a representative from the MMSST (the Head of Member Liaison or Director of MMSST), accompanies the Workplace Adjustments Manager at workplace adjustments meetings with Members. The assessments now cover a wider range of areas, for example, whether adjustments are needed in the Chamber, Westminster Hall, select and legislative committees, international visits, corporate spaces in Parliament such as catering areas, as well as the more usual office adaptations. The rep</w:t>
      </w:r>
      <w:r w:rsidRPr="00877893">
        <w:t xml:space="preserve">resentative from MMSST and Workplace Adjustments Manager then coordinate with teams across the House to ensure adjustments are made and maintained, and they advise the Member where Whips and/or the Speaker need to be involved. The two teams are developing a workplace adjustments passport for Members to make the communication of Members’ adjustments even more resilient. This work was commended by the Modernisation Committee in its report, </w:t>
      </w:r>
      <w:r>
        <w:fldChar w:fldCharType="begin"/>
      </w:r>
      <w:r>
        <w:instrText xml:space="preserve"> HYPERLINK "https://committees.parliament.uk/publications/50674/documents/277668/default/" </w:instrText>
      </w:r>
      <w:r>
        <w:fldChar w:fldCharType="separate"/>
      </w:r>
      <w:r w:rsidRPr="00877893">
        <w:t>Access to the House of Commons and its Procedures</w:t>
      </w:r>
      <w:r>
        <w:fldChar w:fldCharType="end"/>
      </w:r>
      <w:r w:rsidRPr="00877893">
        <w:t>.</w:t>
      </w:r>
    </w:p>
    <w:p w:rsidR="00985FA0" w:rsidRPr="00877893" w:rsidP="00BE032D">
      <w:pPr>
        <w:tabs>
          <w:tab w:val="left" w:pos="720"/>
        </w:tabs>
        <w:contextualSpacing/>
      </w:pPr>
    </w:p>
    <w:p w:rsidR="00985FA0" w:rsidRPr="00877893" w:rsidP="00877893">
      <w:pPr>
        <w:numPr>
          <w:ilvl w:val="0"/>
          <w:numId w:val="14"/>
        </w:numPr>
        <w:tabs>
          <w:tab w:val="left" w:pos="720"/>
        </w:tabs>
        <w:contextualSpacing/>
      </w:pPr>
      <w:r w:rsidRPr="00877893">
        <w:t xml:space="preserve">Since the election, a cross-party Members’ Accessibility Group has also been established, with a representative from the Administration Committee attending. This Group could be key in identifying further improvements for the next election. </w:t>
      </w:r>
    </w:p>
    <w:p w:rsidR="00985FA0" w:rsidRPr="00877893" w:rsidP="00BE032D">
      <w:pPr>
        <w:tabs>
          <w:tab w:val="left" w:pos="720"/>
        </w:tabs>
        <w:ind w:left="720"/>
        <w:contextualSpacing/>
      </w:pPr>
    </w:p>
    <w:p w:rsidR="00985FA0" w:rsidRPr="00BE032D" w:rsidP="00877893">
      <w:pPr>
        <w:numPr>
          <w:ilvl w:val="0"/>
          <w:numId w:val="14"/>
        </w:numPr>
        <w:tabs>
          <w:tab w:val="left" w:pos="720"/>
        </w:tabs>
        <w:contextualSpacing/>
        <w:rPr>
          <w:b/>
          <w:bCs/>
        </w:rPr>
      </w:pPr>
      <w:r w:rsidRPr="00BE032D">
        <w:rPr>
          <w:b/>
          <w:bCs/>
        </w:rPr>
        <w:t xml:space="preserve">At the next election, </w:t>
      </w:r>
      <w:r>
        <w:rPr>
          <w:b/>
          <w:bCs/>
        </w:rPr>
        <w:t>GEPG</w:t>
      </w:r>
      <w:r w:rsidRPr="00BE032D">
        <w:rPr>
          <w:b/>
          <w:bCs/>
        </w:rPr>
        <w:t xml:space="preserve"> could continue to support new Members with accessibility requirements for a longer period, with the help of a workplace adjustment passport, to ensure adjustments are made as they settle into their parliamentary duties. They would work with the Workplace Adjustment Manager in the PHWS, with House teams to implement adjustments, and with IPSA, including IPSA’s Disability Assistance Fund, especially for support outside the Parliamentary Estate. It would be helpful to include the type and range of availab</w:t>
      </w:r>
      <w:r w:rsidRPr="00BE032D">
        <w:rPr>
          <w:b/>
          <w:bCs/>
        </w:rPr>
        <w:t xml:space="preserve">le adjustments (including digital and procedural solutions), to make the range of adjustments available clearer for new Members. Members also need to understand their obligations as employers to those of their staff who need reasonable adjustments, with help from the MMSST. </w:t>
      </w:r>
    </w:p>
    <w:p w:rsidR="00985FA0" w:rsidRPr="005F30C5" w:rsidP="004454DA">
      <w:pPr>
        <w:pStyle w:val="Heading3"/>
        <w:rPr>
          <w:rFonts w:eastAsiaTheme="minorHAnsi" w:cstheme="minorBidi"/>
          <w:color w:val="auto"/>
          <w:sz w:val="22"/>
          <w:szCs w:val="22"/>
        </w:rPr>
      </w:pPr>
      <w:r>
        <w:rPr>
          <w:rFonts w:eastAsiaTheme="minorHAnsi" w:cstheme="minorBidi"/>
          <w:color w:val="auto"/>
          <w:sz w:val="22"/>
          <w:szCs w:val="22"/>
        </w:rPr>
        <w:pict>
          <v:shape id="_x0000_s1032" type="#_x0000_t202" style="height:139.58pt;margin-left:0;margin-top:22.6pt;mso-height-percent:200;mso-height-relative:margin;mso-position-horizontal-relative:margin;mso-width-percent:0;mso-width-relative:margin;mso-wrap-distance-bottom:3.6pt;mso-wrap-distance-left:9pt;mso-wrap-distance-right:9pt;mso-wrap-distance-top:3.6pt;mso-wrap-style:square;position:absolute;v-text-anchor:top;visibility:visible;width:448pt;z-index:251665408">
            <v:textbox style="mso-fit-shape-to-text:t">
              <w:txbxContent>
                <w:p w:rsidR="00985FA0" w:rsidRPr="004D5181" w:rsidP="004454DA">
                  <w:pPr>
                    <w:rPr>
                      <w:rFonts w:ascii="Gill Sans MT" w:eastAsia="Gill Sans MT" w:hAnsi="Gill Sans MT" w:cs="Gill Sans MT"/>
                      <w:b/>
                      <w:bCs/>
                      <w:color w:val="000000" w:themeColor="text1"/>
                    </w:rPr>
                  </w:pPr>
                  <w:r w:rsidRPr="004D5181">
                    <w:rPr>
                      <w:rFonts w:ascii="Gill Sans MT" w:eastAsia="Gill Sans MT" w:hAnsi="Gill Sans MT" w:cs="Gill Sans MT"/>
                      <w:b/>
                      <w:bCs/>
                      <w:color w:val="000000" w:themeColor="text1"/>
                    </w:rPr>
                    <w:t xml:space="preserve">Relevant Terms of Reference: </w:t>
                  </w:r>
                </w:p>
                <w:p w:rsidR="00985FA0" w:rsidRPr="004D5181" w:rsidP="004454DA">
                  <w:pPr>
                    <w:rPr>
                      <w:i/>
                      <w:iCs/>
                    </w:rPr>
                  </w:pPr>
                  <w:r w:rsidRPr="004D5181">
                    <w:rPr>
                      <w:rFonts w:ascii="Gill Sans MT" w:eastAsia="Gill Sans MT" w:hAnsi="Gill Sans MT" w:cs="Gill Sans MT"/>
                      <w:i/>
                      <w:iCs/>
                      <w:color w:val="000000" w:themeColor="text1"/>
                    </w:rPr>
                    <w:t>Investigate what newly appointed Members’ staff need from the House service in their first few weeks/ months</w:t>
                  </w:r>
                </w:p>
                <w:p w:rsidR="00985FA0" w:rsidRPr="00E02AD8" w:rsidP="004454DA">
                  <w:pPr>
                    <w:rPr>
                      <w:rFonts w:ascii="Gill Sans MT" w:eastAsia="Gill Sans MT" w:hAnsi="Gill Sans MT" w:cs="Gill Sans MT"/>
                      <w:i/>
                      <w:iCs/>
                      <w:color w:val="000000" w:themeColor="text1"/>
                    </w:rPr>
                  </w:pPr>
                </w:p>
              </w:txbxContent>
            </v:textbox>
            <w10:wrap type="square"/>
          </v:shape>
        </w:pict>
      </w:r>
      <w:r w:rsidRPr="005F30C5">
        <w:rPr>
          <w:rFonts w:eastAsiaTheme="minorHAnsi" w:cstheme="minorBidi"/>
          <w:color w:val="auto"/>
          <w:sz w:val="22"/>
          <w:szCs w:val="22"/>
        </w:rPr>
        <w:t>Support for new Members’ staff</w:t>
      </w:r>
    </w:p>
    <w:p w:rsidR="00985FA0" w:rsidP="004454DA">
      <w:pPr>
        <w:pStyle w:val="ListParagraph"/>
        <w:ind w:left="595"/>
        <w:rPr>
          <w:rFonts w:ascii="Gill Sans MT" w:eastAsia="Gill Sans MT" w:hAnsi="Gill Sans MT" w:cs="Gill Sans MT"/>
          <w:color w:val="000000" w:themeColor="text1"/>
        </w:rPr>
      </w:pPr>
    </w:p>
    <w:p w:rsidR="00985FA0" w:rsidRPr="005F30C5" w:rsidP="005F30C5">
      <w:pPr>
        <w:numPr>
          <w:ilvl w:val="0"/>
          <w:numId w:val="14"/>
        </w:numPr>
        <w:tabs>
          <w:tab w:val="left" w:pos="720"/>
        </w:tabs>
        <w:contextualSpacing/>
      </w:pPr>
      <w:r w:rsidRPr="005F30C5">
        <w:t xml:space="preserve">At the last General Election, following the Speaker’s Conference on the employment conditions of Members’ staff, inductions for new Members were replicated for Office Managers to ensure Members’ staff who acted as either HR or IPSA proxies were provided with the same information and guidance as provided to new Members. </w:t>
      </w:r>
    </w:p>
    <w:p w:rsidR="00985FA0" w:rsidP="005F30C5">
      <w:pPr>
        <w:numPr>
          <w:ilvl w:val="0"/>
          <w:numId w:val="14"/>
        </w:numPr>
        <w:tabs>
          <w:tab w:val="left" w:pos="720"/>
        </w:tabs>
        <w:contextualSpacing/>
      </w:pPr>
      <w:r w:rsidRPr="005F30C5">
        <w:t>Inductions for Office Managers started two weeks after the General Election and were repeated every two weeks thereafter, for the following six months. Inductions for Members’ staff were every month and followed the same format, excluding information about IPSA. Feedback on the inductions was positive.</w:t>
      </w:r>
    </w:p>
    <w:p w:rsidR="00985FA0" w:rsidRPr="005F30C5" w:rsidP="002805AE">
      <w:pPr>
        <w:tabs>
          <w:tab w:val="left" w:pos="720"/>
        </w:tabs>
        <w:ind w:left="720"/>
        <w:contextualSpacing/>
      </w:pPr>
    </w:p>
    <w:p w:rsidR="00985FA0" w:rsidRPr="005F30C5" w:rsidP="005F30C5">
      <w:pPr>
        <w:numPr>
          <w:ilvl w:val="0"/>
          <w:numId w:val="14"/>
        </w:numPr>
        <w:tabs>
          <w:tab w:val="left" w:pos="720"/>
        </w:tabs>
        <w:contextualSpacing/>
      </w:pPr>
      <w:r w:rsidRPr="005F30C5">
        <w:t xml:space="preserve">Since the General Election, the MMSST has created two new forums for parliamentary assistants and communications officers, to add to the existing Office Managers Forum and Caseworker Forum. These forums provide guidance, support and networking opportunities for new and existing Members’ staff. </w:t>
      </w:r>
    </w:p>
    <w:p w:rsidR="00985FA0" w:rsidRPr="005F30C5" w:rsidP="005F30C5">
      <w:pPr>
        <w:tabs>
          <w:tab w:val="left" w:pos="720"/>
        </w:tabs>
        <w:ind w:left="720"/>
        <w:contextualSpacing/>
      </w:pPr>
    </w:p>
    <w:p w:rsidR="00985FA0" w:rsidRPr="005F30C5" w:rsidP="005F30C5">
      <w:pPr>
        <w:numPr>
          <w:ilvl w:val="0"/>
          <w:numId w:val="14"/>
        </w:numPr>
        <w:tabs>
          <w:tab w:val="left" w:pos="720"/>
        </w:tabs>
        <w:contextualSpacing/>
        <w:rPr>
          <w:b/>
          <w:bCs/>
        </w:rPr>
      </w:pPr>
      <w:r w:rsidRPr="005F30C5">
        <w:rPr>
          <w:b/>
          <w:bCs/>
        </w:rPr>
        <w:t xml:space="preserve">At the next General Election, we advise that, wherever possible, all training, induction and advice that is given to new Members should, by default, also be provided to new Office Managers. This should provide consistency of approach and, in turn, will provide more support for new Members’ staff. </w:t>
      </w:r>
    </w:p>
    <w:p w:rsidR="00985FA0" w:rsidRPr="005F30C5" w:rsidP="005F30C5">
      <w:pPr>
        <w:tabs>
          <w:tab w:val="left" w:pos="720"/>
        </w:tabs>
        <w:ind w:left="720"/>
        <w:contextualSpacing/>
        <w:rPr>
          <w:b/>
          <w:bCs/>
        </w:rPr>
      </w:pPr>
    </w:p>
    <w:p w:rsidR="00985FA0" w:rsidRPr="005F30C5" w:rsidP="005F30C5">
      <w:pPr>
        <w:numPr>
          <w:ilvl w:val="0"/>
          <w:numId w:val="14"/>
        </w:numPr>
        <w:tabs>
          <w:tab w:val="left" w:pos="720"/>
        </w:tabs>
        <w:contextualSpacing/>
        <w:rPr>
          <w:b/>
          <w:bCs/>
        </w:rPr>
      </w:pPr>
      <w:r w:rsidRPr="005F30C5">
        <w:rPr>
          <w:b/>
          <w:bCs/>
        </w:rPr>
        <w:t xml:space="preserve">New Members have a backlog of emails and are inundated with parliamentary and constituency demands, at the same time as recruiting their new staff. As a result, some Members dissuade their staff from attending inductions and training sessions.  We recommend that all Members encourage their staff to attend inductions, training opportunities and relevant forums, and make contact with the MMSST. In the long run, this should save time and increase efficiencies. </w:t>
      </w:r>
    </w:p>
    <w:p w:rsidR="00985FA0" w:rsidRPr="005F30C5" w:rsidP="00804013">
      <w:pPr>
        <w:rPr>
          <w:b/>
          <w:bCs/>
        </w:rPr>
      </w:pPr>
    </w:p>
    <w:p w:rsidR="00985FA0" w:rsidP="00804013"/>
    <w:p w:rsidR="00985FA0" w:rsidP="004C5E14"/>
    <w:sectPr>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FA0" w:rsidRPr="00985FA0" w:rsidP="00985FA0">
    <w:pPr>
      <w:pStyle w:val="Footer"/>
      <w:jc w:val="center"/>
      <w:rPr>
        <w:b/>
        <w:bCs/>
      </w:rPr>
    </w:pPr>
    <w:r>
      <w:rPr>
        <w:b/>
        <w:bCs/>
      </w:rPr>
      <w:t>February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85FA0" w:rsidP="004454DA">
      <w:pPr>
        <w:spacing w:after="0" w:line="240" w:lineRule="auto"/>
      </w:pPr>
      <w:r>
        <w:separator/>
      </w:r>
    </w:p>
  </w:footnote>
  <w:footnote w:type="continuationSeparator" w:id="1">
    <w:p w:rsidR="00985FA0" w:rsidP="004454DA">
      <w:pPr>
        <w:spacing w:after="0" w:line="240" w:lineRule="auto"/>
      </w:pPr>
      <w:r>
        <w:continuationSeparator/>
      </w:r>
    </w:p>
  </w:footnote>
  <w:footnote w:id="2">
    <w:p w:rsidR="00985FA0" w:rsidP="004454DA">
      <w:pPr>
        <w:pStyle w:val="FootnoteText"/>
      </w:pPr>
      <w:r>
        <w:rPr>
          <w:rStyle w:val="FootnoteReference"/>
        </w:rPr>
        <w:footnoteRef/>
      </w:r>
      <w:r>
        <w:t xml:space="preserve"> The Code of Conduct for Members of Parliament, published 10 February 2023, HC1083</w:t>
      </w:r>
    </w:p>
  </w:footnote>
  <w:footnote w:id="3">
    <w:p w:rsidR="00985FA0" w:rsidP="004454DA">
      <w:pPr>
        <w:pStyle w:val="FootnoteText"/>
      </w:pPr>
      <w:r>
        <w:rPr>
          <w:rStyle w:val="FootnoteReference"/>
        </w:rPr>
        <w:footnoteRef/>
      </w:r>
      <w:r>
        <w:t xml:space="preserve"> This recommendation was made in the confidential annex to the First Report of the Speaker’s Conference on the security of MPs, candidates and elections, HC 570: “IPSA should also explore options for keeping on their payroll experienced office managers whose MP has stood down or lost their seat and who can act as office advisers for new MPs, offering guidance on establishing an office and supporting early engagement with constituents”.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FA0" w:rsidRPr="00985FA0" w:rsidP="00985FA0">
    <w:pPr>
      <w:pStyle w:val="Header"/>
      <w:jc w:val="center"/>
      <w:rPr>
        <w:b/>
        <w:bCs/>
      </w:rPr>
    </w:pPr>
    <w:r>
      <w:rPr>
        <w:b/>
        <w:bCs/>
      </w:rPr>
      <w:t>Written evidence from the General Election Planning Group (GEP0010)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B00F54"/>
    <w:multiLevelType w:val="multilevel"/>
    <w:tmpl w:val="5FCC97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F3180C"/>
    <w:multiLevelType w:val="multilevel"/>
    <w:tmpl w:val="5EFE962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253644"/>
    <w:multiLevelType w:val="multilevel"/>
    <w:tmpl w:val="85301C8A"/>
    <w:styleLink w:val="NumberedParas"/>
    <w:lvl w:ilvl="0">
      <w:start w:val="1"/>
      <w:numFmt w:val="decimal"/>
      <w:pStyle w:val="Para1"/>
      <w:lvlText w:val="%1."/>
      <w:lvlJc w:val="left"/>
      <w:pPr>
        <w:tabs>
          <w:tab w:val="num" w:pos="454"/>
        </w:tabs>
        <w:ind w:left="454" w:hanging="454"/>
      </w:pPr>
    </w:lvl>
    <w:lvl w:ilvl="1">
      <w:start w:val="1"/>
      <w:numFmt w:val="decimal"/>
      <w:pStyle w:val="Para2"/>
      <w:lvlText w:val="(%2)"/>
      <w:lvlJc w:val="left"/>
      <w:pPr>
        <w:tabs>
          <w:tab w:val="num" w:pos="907"/>
        </w:tabs>
        <w:ind w:left="907" w:hanging="453"/>
      </w:pPr>
    </w:lvl>
    <w:lvl w:ilvl="2">
      <w:start w:val="1"/>
      <w:numFmt w:val="lowerLetter"/>
      <w:pStyle w:val="Para3"/>
      <w:lvlText w:val="(%3)"/>
      <w:lvlJc w:val="left"/>
      <w:pPr>
        <w:tabs>
          <w:tab w:val="num" w:pos="1361"/>
        </w:tabs>
        <w:ind w:left="1361" w:hanging="454"/>
      </w:pPr>
    </w:lvl>
    <w:lvl w:ilvl="3">
      <w:start w:val="1"/>
      <w:numFmt w:val="lowerRoman"/>
      <w:pStyle w:val="Para4"/>
      <w:lvlText w:val="(%4)"/>
      <w:lvlJc w:val="left"/>
      <w:pPr>
        <w:tabs>
          <w:tab w:val="num" w:pos="1814"/>
        </w:tabs>
        <w:ind w:left="907" w:firstLine="454"/>
      </w:pPr>
      <w:rPr>
        <w:color w:val="auto"/>
      </w:rPr>
    </w:lvl>
    <w:lvl w:ilvl="4">
      <w:start w:val="1"/>
      <w:numFmt w:val="bullet"/>
      <w:lvlText w:val=""/>
      <w:lvlJc w:val="left"/>
      <w:pPr>
        <w:tabs>
          <w:tab w:val="num" w:pos="2268"/>
        </w:tabs>
        <w:ind w:left="1361" w:firstLine="453"/>
      </w:pPr>
      <w:rPr>
        <w:rFonts w:ascii="Symbol" w:hAnsi="Symbol" w:hint="default"/>
        <w:color w:val="auto"/>
      </w:rPr>
    </w:lvl>
    <w:lvl w:ilvl="5">
      <w:start w:val="1"/>
      <w:numFmt w:val="none"/>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Jc w:val="left"/>
      <w:pPr>
        <w:ind w:left="0" w:firstLine="0"/>
      </w:pPr>
    </w:lvl>
  </w:abstractNum>
  <w:abstractNum w:abstractNumId="3">
    <w:nsid w:val="0BCC34FF"/>
    <w:multiLevelType w:val="multilevel"/>
    <w:tmpl w:val="9C2845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0D3264DD"/>
    <w:multiLevelType w:val="multilevel"/>
    <w:tmpl w:val="93D0012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0EEF2025"/>
    <w:multiLevelType w:val="multilevel"/>
    <w:tmpl w:val="B096D6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DB7385"/>
    <w:multiLevelType w:val="multilevel"/>
    <w:tmpl w:val="313C248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934CCB"/>
    <w:multiLevelType w:val="multilevel"/>
    <w:tmpl w:val="7BFCF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668B1A5"/>
    <w:multiLevelType w:val="hybridMultilevel"/>
    <w:tmpl w:val="FCB093F6"/>
    <w:lvl w:ilvl="0">
      <w:start w:val="1"/>
      <w:numFmt w:val="decimal"/>
      <w:lvlText w:val="%1."/>
      <w:lvlJc w:val="left"/>
      <w:pPr>
        <w:ind w:left="595" w:hanging="454"/>
      </w:pPr>
      <w:rPr>
        <w:rFonts w:hint="default"/>
      </w:rPr>
    </w:lvl>
    <w:lvl w:ilvl="1">
      <w:start w:val="1"/>
      <w:numFmt w:val="decimal"/>
      <w:lvlText w:val="(%2)"/>
      <w:lvlJc w:val="left"/>
      <w:pPr>
        <w:ind w:left="907" w:hanging="453"/>
      </w:pPr>
    </w:lvl>
    <w:lvl w:ilvl="2">
      <w:start w:val="1"/>
      <w:numFmt w:val="lowerLetter"/>
      <w:lvlText w:val="(%3)"/>
      <w:lvlJc w:val="left"/>
      <w:pPr>
        <w:ind w:left="1361" w:hanging="454"/>
      </w:pPr>
    </w:lvl>
    <w:lvl w:ilvl="3">
      <w:start w:val="1"/>
      <w:numFmt w:val="lowerRoman"/>
      <w:lvlText w:val="(%4)"/>
      <w:lvlJc w:val="left"/>
      <w:pPr>
        <w:ind w:left="907" w:firstLine="454"/>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2430EFA"/>
    <w:multiLevelType w:val="multilevel"/>
    <w:tmpl w:val="A3FA30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616C13"/>
    <w:multiLevelType w:val="hybridMultilevel"/>
    <w:tmpl w:val="E0084F8A"/>
    <w:lvl w:ilvl="0">
      <w:start w:val="1"/>
      <w:numFmt w:val="decimal"/>
      <w:lvlText w:val="%1"/>
      <w:lvlJc w:val="left"/>
      <w:pPr>
        <w:ind w:left="979" w:hanging="720"/>
      </w:pPr>
      <w:rPr>
        <w:rFonts w:hint="default"/>
      </w:rPr>
    </w:lvl>
    <w:lvl w:ilvl="1" w:tentative="1">
      <w:start w:val="1"/>
      <w:numFmt w:val="lowerLetter"/>
      <w:lvlText w:val="%2."/>
      <w:lvlJc w:val="left"/>
      <w:pPr>
        <w:ind w:left="1339" w:hanging="360"/>
      </w:pPr>
    </w:lvl>
    <w:lvl w:ilvl="2" w:tentative="1">
      <w:start w:val="1"/>
      <w:numFmt w:val="lowerRoman"/>
      <w:lvlText w:val="%3."/>
      <w:lvlJc w:val="right"/>
      <w:pPr>
        <w:ind w:left="2059" w:hanging="180"/>
      </w:pPr>
    </w:lvl>
    <w:lvl w:ilvl="3" w:tentative="1">
      <w:start w:val="1"/>
      <w:numFmt w:val="decimal"/>
      <w:lvlText w:val="%4."/>
      <w:lvlJc w:val="left"/>
      <w:pPr>
        <w:ind w:left="2779" w:hanging="360"/>
      </w:pPr>
    </w:lvl>
    <w:lvl w:ilvl="4" w:tentative="1">
      <w:start w:val="1"/>
      <w:numFmt w:val="lowerLetter"/>
      <w:lvlText w:val="%5."/>
      <w:lvlJc w:val="left"/>
      <w:pPr>
        <w:ind w:left="3499" w:hanging="360"/>
      </w:pPr>
    </w:lvl>
    <w:lvl w:ilvl="5" w:tentative="1">
      <w:start w:val="1"/>
      <w:numFmt w:val="lowerRoman"/>
      <w:lvlText w:val="%6."/>
      <w:lvlJc w:val="right"/>
      <w:pPr>
        <w:ind w:left="4219" w:hanging="180"/>
      </w:pPr>
    </w:lvl>
    <w:lvl w:ilvl="6" w:tentative="1">
      <w:start w:val="1"/>
      <w:numFmt w:val="decimal"/>
      <w:lvlText w:val="%7."/>
      <w:lvlJc w:val="left"/>
      <w:pPr>
        <w:ind w:left="4939" w:hanging="360"/>
      </w:pPr>
    </w:lvl>
    <w:lvl w:ilvl="7" w:tentative="1">
      <w:start w:val="1"/>
      <w:numFmt w:val="lowerLetter"/>
      <w:lvlText w:val="%8."/>
      <w:lvlJc w:val="left"/>
      <w:pPr>
        <w:ind w:left="5659" w:hanging="360"/>
      </w:pPr>
    </w:lvl>
    <w:lvl w:ilvl="8" w:tentative="1">
      <w:start w:val="1"/>
      <w:numFmt w:val="lowerRoman"/>
      <w:lvlText w:val="%9."/>
      <w:lvlJc w:val="right"/>
      <w:pPr>
        <w:ind w:left="6379" w:hanging="180"/>
      </w:pPr>
    </w:lvl>
  </w:abstractNum>
  <w:abstractNum w:abstractNumId="11">
    <w:nsid w:val="24674945"/>
    <w:multiLevelType w:val="hybridMultilevel"/>
    <w:tmpl w:val="579C7F6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7A928F7"/>
    <w:multiLevelType w:val="multilevel"/>
    <w:tmpl w:val="92C6630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nsid w:val="2A67DEA7"/>
    <w:multiLevelType w:val="multilevel"/>
    <w:tmpl w:val="FFFFFFFF"/>
    <w:lvl w:ilvl="0">
      <w:start w:val="1"/>
      <w:numFmt w:val="decimal"/>
      <w:lvlText w:val="%1."/>
      <w:lvlJc w:val="left"/>
      <w:pPr>
        <w:ind w:left="595" w:hanging="45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11832B1"/>
    <w:multiLevelType w:val="hybridMultilevel"/>
    <w:tmpl w:val="F4201E9E"/>
    <w:lvl w:ilvl="0">
      <w:start w:val="1"/>
      <w:numFmt w:val="decimal"/>
      <w:lvlText w:val="%1."/>
      <w:lvlJc w:val="left"/>
      <w:pPr>
        <w:ind w:left="713" w:hanging="454"/>
      </w:pPr>
      <w:rPr>
        <w:rFonts w:ascii="Gill Sans MT" w:eastAsia="Gill Sans MT" w:hAnsi="Gill Sans MT" w:cs="Gill Sans MT" w:hint="default"/>
        <w:b w:val="0"/>
        <w:bCs w:val="0"/>
        <w:i w:val="0"/>
        <w:iCs w:val="0"/>
        <w:spacing w:val="-1"/>
        <w:w w:val="100"/>
        <w:sz w:val="24"/>
        <w:szCs w:val="24"/>
        <w:lang w:val="en-US" w:eastAsia="en-US" w:bidi="ar-SA"/>
      </w:rPr>
    </w:lvl>
    <w:lvl w:ilvl="1">
      <w:start w:val="0"/>
      <w:numFmt w:val="bullet"/>
      <w:lvlText w:val=""/>
      <w:lvlJc w:val="left"/>
      <w:pPr>
        <w:ind w:left="1042" w:hanging="36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1958" w:hanging="360"/>
      </w:pPr>
      <w:rPr>
        <w:rFonts w:hint="default"/>
        <w:lang w:val="en-US" w:eastAsia="en-US" w:bidi="ar-SA"/>
      </w:rPr>
    </w:lvl>
    <w:lvl w:ilvl="3">
      <w:start w:val="0"/>
      <w:numFmt w:val="bullet"/>
      <w:lvlText w:val="•"/>
      <w:lvlJc w:val="left"/>
      <w:pPr>
        <w:ind w:left="2876" w:hanging="360"/>
      </w:pPr>
      <w:rPr>
        <w:rFonts w:hint="default"/>
        <w:lang w:val="en-US" w:eastAsia="en-US" w:bidi="ar-SA"/>
      </w:rPr>
    </w:lvl>
    <w:lvl w:ilvl="4">
      <w:start w:val="0"/>
      <w:numFmt w:val="bullet"/>
      <w:lvlText w:val="•"/>
      <w:lvlJc w:val="left"/>
      <w:pPr>
        <w:ind w:left="3795" w:hanging="360"/>
      </w:pPr>
      <w:rPr>
        <w:rFonts w:hint="default"/>
        <w:lang w:val="en-US" w:eastAsia="en-US" w:bidi="ar-SA"/>
      </w:rPr>
    </w:lvl>
    <w:lvl w:ilvl="5">
      <w:start w:val="0"/>
      <w:numFmt w:val="bullet"/>
      <w:lvlText w:val="•"/>
      <w:lvlJc w:val="left"/>
      <w:pPr>
        <w:ind w:left="4713" w:hanging="360"/>
      </w:pPr>
      <w:rPr>
        <w:rFonts w:hint="default"/>
        <w:lang w:val="en-US" w:eastAsia="en-US" w:bidi="ar-SA"/>
      </w:rPr>
    </w:lvl>
    <w:lvl w:ilvl="6">
      <w:start w:val="0"/>
      <w:numFmt w:val="bullet"/>
      <w:lvlText w:val="•"/>
      <w:lvlJc w:val="left"/>
      <w:pPr>
        <w:ind w:left="5632" w:hanging="360"/>
      </w:pPr>
      <w:rPr>
        <w:rFonts w:hint="default"/>
        <w:lang w:val="en-US" w:eastAsia="en-US" w:bidi="ar-SA"/>
      </w:rPr>
    </w:lvl>
    <w:lvl w:ilvl="7">
      <w:start w:val="0"/>
      <w:numFmt w:val="bullet"/>
      <w:lvlText w:val="•"/>
      <w:lvlJc w:val="left"/>
      <w:pPr>
        <w:ind w:left="6550" w:hanging="360"/>
      </w:pPr>
      <w:rPr>
        <w:rFonts w:hint="default"/>
        <w:lang w:val="en-US" w:eastAsia="en-US" w:bidi="ar-SA"/>
      </w:rPr>
    </w:lvl>
    <w:lvl w:ilvl="8">
      <w:start w:val="0"/>
      <w:numFmt w:val="bullet"/>
      <w:lvlText w:val="•"/>
      <w:lvlJc w:val="left"/>
      <w:pPr>
        <w:ind w:left="7469" w:hanging="360"/>
      </w:pPr>
      <w:rPr>
        <w:rFonts w:hint="default"/>
        <w:lang w:val="en-US" w:eastAsia="en-US" w:bidi="ar-SA"/>
      </w:rPr>
    </w:lvl>
  </w:abstractNum>
  <w:abstractNum w:abstractNumId="15">
    <w:nsid w:val="369A7C8D"/>
    <w:multiLevelType w:val="multilevel"/>
    <w:tmpl w:val="07BAA3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A63A45"/>
    <w:multiLevelType w:val="hybridMultilevel"/>
    <w:tmpl w:val="4B881C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4BCD3AD6"/>
    <w:multiLevelType w:val="multilevel"/>
    <w:tmpl w:val="E34EDE2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4C058A"/>
    <w:multiLevelType w:val="multilevel"/>
    <w:tmpl w:val="5FCC97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30C2D3A"/>
    <w:multiLevelType w:val="multilevel"/>
    <w:tmpl w:val="7DB8717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AC1E17"/>
    <w:multiLevelType w:val="multilevel"/>
    <w:tmpl w:val="F9FA89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26D2C75"/>
    <w:multiLevelType w:val="hybridMultilevel"/>
    <w:tmpl w:val="A29E0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4956808"/>
    <w:multiLevelType w:val="multilevel"/>
    <w:tmpl w:val="8CFC485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nsid w:val="65163F74"/>
    <w:multiLevelType w:val="multilevel"/>
    <w:tmpl w:val="24948E4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DC6610"/>
    <w:multiLevelType w:val="multilevel"/>
    <w:tmpl w:val="4030FFFA"/>
    <w:lvl w:ilvl="0">
      <w:start w:val="13"/>
      <w:numFmt w:val="decimal"/>
      <w:lvlText w:val="%1."/>
      <w:lvlJc w:val="left"/>
      <w:pPr>
        <w:tabs>
          <w:tab w:val="num" w:pos="720"/>
        </w:tabs>
        <w:ind w:left="720" w:hanging="360"/>
      </w:pPr>
    </w:lvl>
    <w:lvl w:ilvl="1">
      <w:start w:val="1"/>
      <w:numFmt w:val="lowerRoman"/>
      <w:lvlText w:val="%2."/>
      <w:lvlJc w:val="righ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78A6782"/>
    <w:multiLevelType w:val="hybridMultilevel"/>
    <w:tmpl w:val="98D6F94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B141D79"/>
    <w:multiLevelType w:val="multilevel"/>
    <w:tmpl w:val="EA3C7D5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E803AA"/>
    <w:multiLevelType w:val="hybridMultilevel"/>
    <w:tmpl w:val="5B00AC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709722D9"/>
    <w:multiLevelType w:val="multilevel"/>
    <w:tmpl w:val="3496E3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11043A4"/>
    <w:multiLevelType w:val="multilevel"/>
    <w:tmpl w:val="5FCC97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2487E6D"/>
    <w:multiLevelType w:val="multilevel"/>
    <w:tmpl w:val="E7B6EF9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865D5A"/>
    <w:multiLevelType w:val="multilevel"/>
    <w:tmpl w:val="FBDE13A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5"/>
  </w:num>
  <w:num w:numId="3">
    <w:abstractNumId w:val="14"/>
  </w:num>
  <w:num w:numId="4">
    <w:abstractNumId w:val="2"/>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8"/>
  </w:num>
  <w:num w:numId="8">
    <w:abstractNumId w:val="18"/>
  </w:num>
  <w:num w:numId="9">
    <w:abstractNumId w:val="5"/>
  </w:num>
  <w:num w:numId="10">
    <w:abstractNumId w:val="9"/>
  </w:num>
  <w:num w:numId="11">
    <w:abstractNumId w:val="20"/>
  </w:num>
  <w:num w:numId="12">
    <w:abstractNumId w:val="31"/>
  </w:num>
  <w:num w:numId="13">
    <w:abstractNumId w:val="15"/>
  </w:num>
  <w:num w:numId="14">
    <w:abstractNumId w:val="24"/>
  </w:num>
  <w:num w:numId="15">
    <w:abstractNumId w:val="12"/>
  </w:num>
  <w:num w:numId="16">
    <w:abstractNumId w:val="4"/>
  </w:num>
  <w:num w:numId="17">
    <w:abstractNumId w:val="19"/>
  </w:num>
  <w:num w:numId="18">
    <w:abstractNumId w:val="6"/>
  </w:num>
  <w:num w:numId="19">
    <w:abstractNumId w:val="30"/>
  </w:num>
  <w:num w:numId="20">
    <w:abstractNumId w:val="26"/>
  </w:num>
  <w:num w:numId="21">
    <w:abstractNumId w:val="23"/>
  </w:num>
  <w:num w:numId="22">
    <w:abstractNumId w:val="1"/>
  </w:num>
  <w:num w:numId="23">
    <w:abstractNumId w:val="17"/>
  </w:num>
  <w:num w:numId="24">
    <w:abstractNumId w:val="21"/>
  </w:num>
  <w:num w:numId="25">
    <w:abstractNumId w:val="10"/>
  </w:num>
  <w:num w:numId="26">
    <w:abstractNumId w:val="11"/>
  </w:num>
  <w:num w:numId="27">
    <w:abstractNumId w:val="16"/>
  </w:num>
  <w:num w:numId="28">
    <w:abstractNumId w:val="7"/>
  </w:num>
  <w:num w:numId="29">
    <w:abstractNumId w:val="27"/>
  </w:num>
  <w:num w:numId="30">
    <w:abstractNumId w:val="16"/>
  </w:num>
  <w:num w:numId="31">
    <w:abstractNumId w:val="29"/>
  </w:num>
  <w:num w:numId="32">
    <w:abstractNumId w:val="13"/>
  </w:num>
  <w:num w:numId="33">
    <w:abstractNumId w:val="8"/>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C5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5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5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5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5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E14"/>
    <w:rPr>
      <w:rFonts w:eastAsiaTheme="majorEastAsia" w:cstheme="majorBidi"/>
      <w:color w:val="272727" w:themeColor="text1" w:themeTint="D8"/>
    </w:rPr>
  </w:style>
  <w:style w:type="paragraph" w:styleId="Title">
    <w:name w:val="Title"/>
    <w:basedOn w:val="Normal"/>
    <w:next w:val="Normal"/>
    <w:link w:val="TitleChar"/>
    <w:uiPriority w:val="10"/>
    <w:qFormat/>
    <w:rsid w:val="004C5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E14"/>
    <w:pPr>
      <w:spacing w:before="160"/>
      <w:jc w:val="center"/>
    </w:pPr>
    <w:rPr>
      <w:i/>
      <w:iCs/>
      <w:color w:val="404040" w:themeColor="text1" w:themeTint="BF"/>
    </w:rPr>
  </w:style>
  <w:style w:type="character" w:customStyle="1" w:styleId="QuoteChar">
    <w:name w:val="Quote Char"/>
    <w:basedOn w:val="DefaultParagraphFont"/>
    <w:link w:val="Quote"/>
    <w:uiPriority w:val="29"/>
    <w:rsid w:val="004C5E14"/>
    <w:rPr>
      <w:i/>
      <w:iCs/>
      <w:color w:val="404040" w:themeColor="text1" w:themeTint="BF"/>
    </w:rPr>
  </w:style>
  <w:style w:type="paragraph" w:styleId="ListParagraph">
    <w:name w:val="List Paragraph"/>
    <w:basedOn w:val="Normal"/>
    <w:uiPriority w:val="34"/>
    <w:qFormat/>
    <w:rsid w:val="004C5E14"/>
    <w:pPr>
      <w:ind w:left="720"/>
      <w:contextualSpacing/>
    </w:pPr>
  </w:style>
  <w:style w:type="character" w:styleId="IntenseEmphasis">
    <w:name w:val="Intense Emphasis"/>
    <w:basedOn w:val="DefaultParagraphFont"/>
    <w:uiPriority w:val="21"/>
    <w:qFormat/>
    <w:rsid w:val="004C5E14"/>
    <w:rPr>
      <w:i/>
      <w:iCs/>
      <w:color w:val="0F4761" w:themeColor="accent1" w:themeShade="BF"/>
    </w:rPr>
  </w:style>
  <w:style w:type="paragraph" w:styleId="IntenseQuote">
    <w:name w:val="Intense Quote"/>
    <w:basedOn w:val="Normal"/>
    <w:next w:val="Normal"/>
    <w:link w:val="IntenseQuoteChar"/>
    <w:uiPriority w:val="30"/>
    <w:qFormat/>
    <w:rsid w:val="004C5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E14"/>
    <w:rPr>
      <w:i/>
      <w:iCs/>
      <w:color w:val="0F4761" w:themeColor="accent1" w:themeShade="BF"/>
    </w:rPr>
  </w:style>
  <w:style w:type="character" w:styleId="IntenseReference">
    <w:name w:val="Intense Reference"/>
    <w:basedOn w:val="DefaultParagraphFont"/>
    <w:uiPriority w:val="32"/>
    <w:qFormat/>
    <w:rsid w:val="004C5E14"/>
    <w:rPr>
      <w:b/>
      <w:bCs/>
      <w:smallCaps/>
      <w:color w:val="0F4761" w:themeColor="accent1" w:themeShade="BF"/>
      <w:spacing w:val="5"/>
    </w:rPr>
  </w:style>
  <w:style w:type="paragraph" w:customStyle="1" w:styleId="Para1">
    <w:name w:val="Para 1"/>
    <w:basedOn w:val="Normal"/>
    <w:qFormat/>
    <w:rsid w:val="00804013"/>
    <w:pPr>
      <w:numPr>
        <w:numId w:val="4"/>
      </w:numPr>
      <w:snapToGrid w:val="0"/>
      <w:spacing w:after="200" w:line="240" w:lineRule="auto"/>
    </w:pPr>
    <w:rPr>
      <w:rFonts w:ascii="Gill Sans MT" w:eastAsia="Batang" w:hAnsi="Gill Sans MT" w:cs="Times New Roman"/>
      <w:kern w:val="0"/>
      <w:sz w:val="24"/>
      <w:szCs w:val="20"/>
      <w:lang w:eastAsia="en-GB"/>
    </w:rPr>
  </w:style>
  <w:style w:type="paragraph" w:customStyle="1" w:styleId="Para2">
    <w:name w:val="Para 2"/>
    <w:basedOn w:val="Normal"/>
    <w:qFormat/>
    <w:rsid w:val="00804013"/>
    <w:pPr>
      <w:numPr>
        <w:ilvl w:val="1"/>
        <w:numId w:val="4"/>
      </w:numPr>
      <w:snapToGrid w:val="0"/>
      <w:spacing w:after="200" w:line="240" w:lineRule="auto"/>
    </w:pPr>
    <w:rPr>
      <w:rFonts w:ascii="Gill Sans MT" w:eastAsia="Batang" w:hAnsi="Gill Sans MT" w:cs="Times New Roman"/>
      <w:kern w:val="0"/>
      <w:sz w:val="24"/>
      <w:szCs w:val="20"/>
      <w:lang w:eastAsia="en-GB"/>
    </w:rPr>
  </w:style>
  <w:style w:type="paragraph" w:customStyle="1" w:styleId="Para3">
    <w:name w:val="Para 3"/>
    <w:basedOn w:val="Normal"/>
    <w:qFormat/>
    <w:rsid w:val="00804013"/>
    <w:pPr>
      <w:numPr>
        <w:ilvl w:val="2"/>
        <w:numId w:val="4"/>
      </w:numPr>
      <w:snapToGrid w:val="0"/>
      <w:spacing w:after="200" w:line="240" w:lineRule="auto"/>
    </w:pPr>
    <w:rPr>
      <w:rFonts w:ascii="Gill Sans MT" w:eastAsia="Batang" w:hAnsi="Gill Sans MT" w:cs="Times New Roman"/>
      <w:kern w:val="0"/>
      <w:sz w:val="24"/>
      <w:szCs w:val="20"/>
      <w:lang w:eastAsia="en-GB"/>
    </w:rPr>
  </w:style>
  <w:style w:type="paragraph" w:customStyle="1" w:styleId="Para4">
    <w:name w:val="Para 4"/>
    <w:basedOn w:val="Normal"/>
    <w:qFormat/>
    <w:rsid w:val="00804013"/>
    <w:pPr>
      <w:numPr>
        <w:ilvl w:val="3"/>
        <w:numId w:val="4"/>
      </w:numPr>
      <w:snapToGrid w:val="0"/>
      <w:spacing w:after="200" w:line="240" w:lineRule="auto"/>
      <w:ind w:left="1815" w:hanging="454"/>
    </w:pPr>
    <w:rPr>
      <w:rFonts w:ascii="Gill Sans MT" w:eastAsia="Batang" w:hAnsi="Gill Sans MT" w:cs="Times New Roman"/>
      <w:kern w:val="0"/>
      <w:sz w:val="24"/>
      <w:szCs w:val="20"/>
      <w:lang w:eastAsia="en-GB"/>
    </w:rPr>
  </w:style>
  <w:style w:type="numbering" w:customStyle="1" w:styleId="NumberedParas">
    <w:name w:val="NumberedParas"/>
    <w:uiPriority w:val="99"/>
    <w:rsid w:val="00804013"/>
    <w:pPr>
      <w:numPr>
        <w:numId w:val="4"/>
      </w:numPr>
    </w:pPr>
  </w:style>
  <w:style w:type="character" w:styleId="Hyperlink">
    <w:name w:val="Hyperlink"/>
    <w:basedOn w:val="DefaultParagraphFont"/>
    <w:uiPriority w:val="99"/>
    <w:unhideWhenUsed/>
    <w:rsid w:val="004454DA"/>
    <w:rPr>
      <w:color w:val="467886" w:themeColor="hyperlink"/>
      <w:u w:val="single"/>
    </w:rPr>
  </w:style>
  <w:style w:type="character" w:styleId="CommentReference">
    <w:name w:val="annotation reference"/>
    <w:basedOn w:val="DefaultParagraphFont"/>
    <w:uiPriority w:val="99"/>
    <w:semiHidden/>
    <w:unhideWhenUsed/>
    <w:rsid w:val="004454DA"/>
    <w:rPr>
      <w:sz w:val="16"/>
      <w:szCs w:val="16"/>
    </w:rPr>
  </w:style>
  <w:style w:type="paragraph" w:styleId="CommentText">
    <w:name w:val="annotation text"/>
    <w:basedOn w:val="Normal"/>
    <w:link w:val="CommentTextChar"/>
    <w:uiPriority w:val="99"/>
    <w:unhideWhenUsed/>
    <w:rsid w:val="004454DA"/>
    <w:pPr>
      <w:spacing w:line="240" w:lineRule="auto"/>
    </w:pPr>
    <w:rPr>
      <w:rFonts w:eastAsiaTheme="minorEastAsia"/>
      <w:kern w:val="0"/>
      <w:sz w:val="20"/>
      <w:szCs w:val="20"/>
      <w:lang w:eastAsia="ja-JP"/>
    </w:rPr>
  </w:style>
  <w:style w:type="character" w:customStyle="1" w:styleId="CommentTextChar">
    <w:name w:val="Comment Text Char"/>
    <w:basedOn w:val="DefaultParagraphFont"/>
    <w:link w:val="CommentText"/>
    <w:uiPriority w:val="99"/>
    <w:rsid w:val="004454DA"/>
    <w:rPr>
      <w:rFonts w:eastAsiaTheme="minorEastAsia"/>
      <w:kern w:val="0"/>
      <w:sz w:val="20"/>
      <w:szCs w:val="20"/>
      <w:lang w:eastAsia="ja-JP"/>
    </w:rPr>
  </w:style>
  <w:style w:type="paragraph" w:styleId="FootnoteText">
    <w:name w:val="footnote text"/>
    <w:basedOn w:val="Normal"/>
    <w:link w:val="FootnoteTextChar"/>
    <w:uiPriority w:val="99"/>
    <w:semiHidden/>
    <w:unhideWhenUsed/>
    <w:rsid w:val="004454DA"/>
    <w:pPr>
      <w:spacing w:after="0" w:line="240" w:lineRule="auto"/>
    </w:pPr>
    <w:rPr>
      <w:rFonts w:eastAsiaTheme="minorEastAsia"/>
      <w:kern w:val="0"/>
      <w:sz w:val="20"/>
      <w:szCs w:val="20"/>
      <w:lang w:eastAsia="ja-JP"/>
    </w:rPr>
  </w:style>
  <w:style w:type="character" w:customStyle="1" w:styleId="FootnoteTextChar">
    <w:name w:val="Footnote Text Char"/>
    <w:basedOn w:val="DefaultParagraphFont"/>
    <w:link w:val="FootnoteText"/>
    <w:uiPriority w:val="99"/>
    <w:semiHidden/>
    <w:rsid w:val="004454DA"/>
    <w:rPr>
      <w:rFonts w:eastAsiaTheme="minorEastAsia"/>
      <w:kern w:val="0"/>
      <w:sz w:val="20"/>
      <w:szCs w:val="20"/>
      <w:lang w:eastAsia="ja-JP"/>
    </w:rPr>
  </w:style>
  <w:style w:type="character" w:styleId="FootnoteReference">
    <w:name w:val="footnote reference"/>
    <w:basedOn w:val="DefaultParagraphFont"/>
    <w:uiPriority w:val="99"/>
    <w:semiHidden/>
    <w:unhideWhenUsed/>
    <w:rsid w:val="004454DA"/>
    <w:rPr>
      <w:vertAlign w:val="superscript"/>
    </w:rPr>
  </w:style>
  <w:style w:type="paragraph" w:styleId="Header">
    <w:name w:val="header"/>
    <w:basedOn w:val="Normal"/>
    <w:link w:val="HeaderChar"/>
    <w:uiPriority w:val="99"/>
    <w:unhideWhenUsed/>
    <w:rsid w:val="00985F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FA0"/>
  </w:style>
  <w:style w:type="paragraph" w:styleId="Footer">
    <w:name w:val="footer"/>
    <w:basedOn w:val="Normal"/>
    <w:link w:val="FooterChar"/>
    <w:uiPriority w:val="99"/>
    <w:unhideWhenUsed/>
    <w:rsid w:val="00985F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GEP0010</dc:title>
  <cp:revision>0</cp:revision>
</cp:coreProperties>
</file>