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54B3">
      <w:pPr>
        <w:pStyle w:val="Heading1"/>
      </w:pPr>
      <w:r>
        <w:t>Call for Evidence</w:t>
      </w:r>
    </w:p>
    <w:p w:rsidR="003554B3">
      <w:pPr>
        <w:pStyle w:val="Heading2"/>
      </w:pPr>
      <w:r>
        <w:t>Children and Young Adults in the Secure Estate</w:t>
      </w:r>
    </w:p>
    <w:p w:rsidR="003554B3">
      <w:pPr>
        <w:pStyle w:val="Heading2"/>
      </w:pPr>
      <w:r>
        <w:t xml:space="preserve">About Advance </w:t>
      </w:r>
    </w:p>
    <w:p w:rsidR="003554B3">
      <w:pPr>
        <w:spacing w:before="100" w:after="100" w:line="300" w:lineRule="atLeast"/>
      </w:pPr>
      <w:r>
        <w:t xml:space="preserve">Advance is a charity that supports women, girls, and children affected by domestic abuse, exploitation, and the criminal justice system. </w:t>
      </w:r>
      <w:r>
        <w:t>While we recognise that girls represent a minority within the youth justice system, it is precisely for this reason that their needs have historically lacked sufficient policy focus.</w:t>
      </w:r>
    </w:p>
    <w:p w:rsidR="003554B3">
      <w:pPr>
        <w:spacing w:before="100" w:after="100" w:line="300" w:lineRule="atLeast"/>
      </w:pPr>
      <w:r>
        <w:t>Through our work, we know that tailored interventions for young women and girls are essential. Effective support must recognise how age and gender, alongside other intersecting identities, shape their experiences and pathways into the justice system. This makes specialist, gender</w:t>
      </w:r>
      <w:r>
        <w:noBreakHyphen/>
        <w:t>responsive policy interventions vital for this cohort, distinct from those designed for boys and for adult women.</w:t>
      </w:r>
    </w:p>
    <w:p w:rsidR="003554B3">
      <w:r>
        <w:t>Young women and girls (YWG), survivors of domestic abuse, and women involved in the criminal justice system (CJS) are interconnected groups who are disproportionately affected by gender</w:t>
      </w:r>
      <w:r>
        <w:noBreakHyphen/>
        <w:t>based violence. Many YWG experience abuse from an early age, which can lead to criminalisation through coercion, exploitation, or survival</w:t>
      </w:r>
      <w:r>
        <w:noBreakHyphen/>
        <w:t>driven behaviours. Similarly, women in the CJS are overwhelmingly victim</w:t>
      </w:r>
      <w:r>
        <w:noBreakHyphen/>
        <w:t>survivors whose unaddressed trauma and unmet needs shape their pathways into the system. These cycles compound one another, creating layered harms that require specialist, gender</w:t>
      </w:r>
      <w:r>
        <w:noBreakHyphen/>
        <w:t xml:space="preserve"> and age</w:t>
      </w:r>
      <w:r>
        <w:noBreakHyphen/>
        <w:t>responsive support. Our three strands of specialist services enable us to support women and girls at every stag</w:t>
      </w:r>
      <w:r>
        <w:t xml:space="preserve">e; Young Women and Girls services, Domestic Abuse services, Criminal Justice services. </w:t>
      </w:r>
    </w:p>
    <w:p w:rsidR="003554B3">
      <w:pPr>
        <w:pStyle w:val="Heading2"/>
      </w:pPr>
      <w:r>
        <w:t xml:space="preserve">Summary </w:t>
      </w:r>
    </w:p>
    <w:p w:rsidR="003554B3">
      <w:r>
        <w:t>The decision to end YOI placements for girls marks an important shift towards recognising the distinct, highly complex, and trauma</w:t>
      </w:r>
      <w:r>
        <w:noBreakHyphen/>
        <w:t>driven needs of this small but exceptionally vulnerable cohort. As a specialist women and girls organisation with a dedicated Young Women and Girls (YWG) service stream, Advance’s evidence and expertise are rooted in long</w:t>
      </w:r>
      <w:r>
        <w:noBreakHyphen/>
        <w:t xml:space="preserve">term work with this cohort, and our response reflects the realities of what girls and young women require to be safe, supported, and able to thrive. </w:t>
      </w:r>
    </w:p>
    <w:p w:rsidR="003554B3">
      <w:r>
        <w:t>Although girls and young women make up a very small minority of those entering the justice system, we are advocating for both a stronger response to their needs in secure settings and a broader shift towards improved community</w:t>
      </w:r>
      <w:r>
        <w:noBreakHyphen/>
        <w:t xml:space="preserve">based models that are specifically designed around the experiences of YWG. </w:t>
      </w:r>
    </w:p>
    <w:p w:rsidR="003554B3">
      <w:r>
        <w:t>We also want to see far greater emphasis on prevention and early intervention delivered through cross</w:t>
      </w:r>
      <w:r>
        <w:noBreakHyphen/>
        <w:t xml:space="preserve">departmental approaches aligned with the VAWG Strategy, the national youth strategy, and the rollout of Young Futures Hubs and panels. Crucially, we believe </w:t>
      </w:r>
      <w:r>
        <w:t>these developments must embed a gender</w:t>
      </w:r>
      <w:r>
        <w:noBreakHyphen/>
        <w:t xml:space="preserve"> and age</w:t>
      </w:r>
      <w:r>
        <w:noBreakHyphen/>
        <w:t>informed lens from the outset, ensuring staff are trained to recognise safeguarding concerns and to collaborate with and refer girls to specialist services such as Advance. The following section outlines the challenges that must be addressed to ensure Secure Children’s Homes and the Secure School are genu</w:t>
      </w:r>
      <w:r>
        <w:t>inely equipped to meet the needs of justice</w:t>
      </w:r>
      <w:r>
        <w:noBreakHyphen/>
        <w:t xml:space="preserve">involved girls, as well as the wider justice system. </w:t>
      </w:r>
    </w:p>
    <w:p w:rsidR="003554B3">
      <w:pPr>
        <w:pStyle w:val="Heading2"/>
        <w:rPr>
          <w:lang w:val="en-US"/>
        </w:rPr>
      </w:pPr>
      <w:r>
        <w:rPr>
          <w:lang w:val="en-US"/>
        </w:rPr>
        <w:t>Gender and Age Specialism</w:t>
      </w:r>
    </w:p>
    <w:p w:rsidR="003554B3">
      <w:pPr>
        <w:rPr>
          <w:lang w:val="en-US"/>
        </w:rPr>
      </w:pPr>
      <w:r>
        <w:rPr>
          <w:lang w:val="en-US"/>
        </w:rPr>
        <w:t xml:space="preserve">Children should only be held in custody in genuinely exceptional circumstances, and clearer national guidance is needed to define when those circumstances apply. This principle is particularly important for girls. While it is positive that no girls have been placed in the YOI estate since November 2024, with the permanent end to such placements confirmed in March 2025, we would like to see more done for this particularly vulnerable cohort. </w:t>
      </w:r>
    </w:p>
    <w:p w:rsidR="003554B3">
      <w:pPr>
        <w:rPr>
          <w:lang w:val="en-US"/>
        </w:rPr>
      </w:pPr>
      <w:r>
        <w:rPr>
          <w:lang w:val="en-US"/>
        </w:rPr>
        <w:t>Advance advocates for early intervention and prevention</w:t>
      </w:r>
      <w:r>
        <w:rPr>
          <w:lang w:val="en-US"/>
        </w:rPr>
        <w:noBreakHyphen/>
        <w:t>focused support for girls, recognising that misunderstandings about how trauma presents can limit the help they receive. These misunderstandings disproportionately affect Black, migrant, and minoritised girls, alongside those with neurodiversity or extensive trauma histories. Stereotyping, adultification, and misinterpretation of trauma</w:t>
      </w:r>
      <w:r>
        <w:rPr>
          <w:lang w:val="en-US"/>
        </w:rPr>
        <w:noBreakHyphen/>
        <w:t>driven behaviours frequently harm girls within the justice system, including through harsher sentencing outcomes. A child</w:t>
      </w:r>
      <w:r>
        <w:rPr>
          <w:lang w:val="en-US"/>
        </w:rPr>
        <w:noBreakHyphen/>
        <w:t>first, intersectional approach that fully consider</w:t>
      </w:r>
      <w:r>
        <w:rPr>
          <w:lang w:val="en-US"/>
        </w:rPr>
        <w:t xml:space="preserve">s gender, age, and overlapping identities is essential. </w:t>
      </w:r>
    </w:p>
    <w:p w:rsidR="003554B3">
      <w:r>
        <w:t>Building trusted relationships, through adult mentors whether in custody or in the community,  and giving girls the time and space to understand and reflect on their experiences is crucial to meaningful change.</w:t>
      </w:r>
    </w:p>
    <w:p w:rsidR="003554B3">
      <w:pPr>
        <w:pStyle w:val="Heading2"/>
      </w:pPr>
      <w:r>
        <w:t xml:space="preserve">Domestic abuse and Gender Based Trauma </w:t>
      </w:r>
    </w:p>
    <w:p w:rsidR="003554B3">
      <w:r>
        <w:t xml:space="preserve">Young women supported by Advance often describe encountering this issue across multiple contexts — including </w:t>
      </w:r>
      <w:r>
        <w:t>their interactions with police, probation, and prison staff — where their experiences of abuse were often misunderstood, minimised, or disregarded. They tell us that they need a more flexible, trauma</w:t>
      </w:r>
      <w:r>
        <w:noBreakHyphen/>
        <w:t>informed, and gender</w:t>
      </w:r>
      <w:r>
        <w:noBreakHyphen/>
        <w:t>responsive approach, rather than one that is purely punitive. Such an approach would better reflect the realities of their lives and support safer, more sustainable outcomes.</w:t>
      </w:r>
    </w:p>
    <w:p w:rsidR="003554B3">
      <w:r>
        <w:t xml:space="preserve">Our research, </w:t>
      </w:r>
      <w:r>
        <w:rPr>
          <w:i/>
          <w:iCs/>
        </w:rPr>
        <w:t>A Space to Learn About Relationships</w:t>
      </w:r>
      <w:r>
        <w:rPr>
          <w:rStyle w:val="EndnoteReference"/>
          <w:i/>
          <w:iCs/>
        </w:rPr>
        <w:endnoteReference w:id="2"/>
      </w:r>
      <w:r>
        <w:t>, focuses specifically on young women who have had contact with the criminal justice system and builds on the limited evidence around young women’s early sexual experiences, their impact on health, and links to justice involvement. Key findings include:</w:t>
      </w:r>
    </w:p>
    <w:p w:rsidR="003554B3">
      <w:pPr>
        <w:numPr>
          <w:ilvl w:val="0"/>
          <w:numId w:val="1"/>
        </w:numPr>
      </w:pPr>
      <w:r>
        <w:t>74% of participants felt they began sexual relationships too early, with peer pressure identified as the main influence.</w:t>
      </w:r>
    </w:p>
    <w:p w:rsidR="003554B3">
      <w:pPr>
        <w:numPr>
          <w:ilvl w:val="0"/>
          <w:numId w:val="1"/>
        </w:numPr>
      </w:pPr>
      <w:r>
        <w:t>73% said they should have known more about consent, highlighting a lack of knowledge and confidence around saying no.</w:t>
      </w:r>
    </w:p>
    <w:p w:rsidR="003554B3">
      <w:pPr>
        <w:numPr>
          <w:ilvl w:val="0"/>
          <w:numId w:val="1"/>
        </w:numPr>
      </w:pPr>
      <w:r>
        <w:t>65% were survivors of childhood sexual abuse; most did not link this abuse to their first sexual experiences.</w:t>
      </w:r>
    </w:p>
    <w:p w:rsidR="003554B3">
      <w:pPr>
        <w:numPr>
          <w:ilvl w:val="0"/>
          <w:numId w:val="1"/>
        </w:numPr>
      </w:pPr>
      <w:r>
        <w:t>91% reported that previous relationships negatively affected their mental health, often due to controlling or unhealthy dynamics.</w:t>
      </w:r>
    </w:p>
    <w:p w:rsidR="003554B3">
      <w:r>
        <w:t>These findings underline the importance of prevention and early intervention for young women in the justice system. Any sentencing or intervention framework must recognise that violence against women and girls disproportionately affects justice</w:t>
      </w:r>
      <w:r>
        <w:noBreakHyphen/>
        <w:t>involved girls and respond in a way that is trauma</w:t>
      </w:r>
      <w:r>
        <w:noBreakHyphen/>
        <w:t>informed, gender</w:t>
      </w:r>
      <w:r>
        <w:noBreakHyphen/>
        <w:t>specific, and focused on long</w:t>
      </w:r>
      <w:r>
        <w:noBreakHyphen/>
        <w:t>term wellbeing rather than punishment.</w:t>
      </w:r>
    </w:p>
    <w:p w:rsidR="003554B3">
      <w:pPr>
        <w:rPr>
          <w:lang w:val="en-US"/>
        </w:rPr>
      </w:pPr>
      <w:r>
        <w:rPr>
          <w:lang w:val="en-US"/>
        </w:rPr>
        <w:t>Evidence consistently shows that coordinated, community</w:t>
      </w:r>
      <w:r>
        <w:rPr>
          <w:lang w:val="en-US"/>
        </w:rPr>
        <w:noBreakHyphen/>
        <w:t>based responses are the most effective way to support girls, yet provision remains inconsistent, creating a postcode lottery for support. Embedding diversionary services within youth provision, and investing in specialist community organisations, can reduce offending among girls while strengthening training and support for YOT and Probation teams. This requires long</w:t>
      </w:r>
      <w:r>
        <w:rPr>
          <w:lang w:val="en-US"/>
        </w:rPr>
        <w:noBreakHyphen/>
        <w:t>term, flexible funding and approaches that acknowledge girls’ intersecting needs, while giving workers the time required to build trust with h</w:t>
      </w:r>
      <w:r>
        <w:rPr>
          <w:lang w:val="en-US"/>
        </w:rPr>
        <w:t>ighly vulnerable young people.</w:t>
      </w:r>
    </w:p>
    <w:p w:rsidR="003554B3">
      <w:pPr>
        <w:rPr>
          <w:lang w:val="en-US"/>
        </w:rPr>
      </w:pPr>
    </w:p>
    <w:p w:rsidR="003554B3">
      <w:pPr>
        <w:pStyle w:val="Heading2"/>
        <w:rPr>
          <w:lang w:val="en-US"/>
        </w:rPr>
      </w:pPr>
      <w:r>
        <w:rPr>
          <w:lang w:val="en-US"/>
        </w:rPr>
        <w:t>Meaningful Engagement</w:t>
      </w:r>
    </w:p>
    <w:p w:rsidR="003554B3">
      <w:pPr>
        <w:rPr>
          <w:lang w:val="en-US"/>
        </w:rPr>
      </w:pPr>
      <w:r>
        <w:rPr>
          <w:lang w:val="en-US"/>
        </w:rPr>
        <w:t>Too often, activities and services are not designed with girls and young women in mind. Although girls remain a small minority within the youth justice system, it is vital that services reflect their specific needs and experiences. The Ministry of Justice should consult more routinely with specialist third</w:t>
      </w:r>
      <w:r>
        <w:rPr>
          <w:lang w:val="en-US"/>
        </w:rPr>
        <w:noBreakHyphen/>
        <w:t xml:space="preserve">sector organisations that work directly with girls and young women. </w:t>
      </w:r>
    </w:p>
    <w:p w:rsidR="003554B3">
      <w:pPr>
        <w:rPr>
          <w:lang w:val="en-US"/>
        </w:rPr>
      </w:pPr>
      <w:r>
        <w:rPr>
          <w:lang w:val="en-US"/>
        </w:rPr>
        <w:t xml:space="preserve">Across the justice system, mental health support remains inadequate. Many girls enter custody without significant mental health needs but leave with them; for others, custody exacerbates existing difficulties. Wider health care provision mirrors these gaps, particularly in relation to gendered health like puberty and menstruation. </w:t>
      </w:r>
    </w:p>
    <w:p w:rsidR="003554B3">
      <w:r>
        <w:rPr>
          <w:lang w:val="en-US"/>
        </w:rPr>
        <w:t>Girls who offend frequently have experiences shaped by control, abuse, systemic failures, or significant mental ill health, including suicidality and self</w:t>
      </w:r>
      <w:r>
        <w:rPr>
          <w:lang w:val="en-US"/>
        </w:rPr>
        <w:noBreakHyphen/>
        <w:t xml:space="preserve">harm. They often present with highly complex, intersecting needs: they are more likely than boys to be on a child protection plan, and girls in care are nearly four times more likely to have experienced sexual abuse. These vulnerabilities sit alongside rising levels of domestic </w:t>
      </w:r>
      <w:r>
        <w:rPr>
          <w:lang w:val="en-US"/>
        </w:rPr>
        <w:t>abuse within young people’s intimate relationships and although girls make up a very small proportion of the custodial population at around 2.5%, they account for more than 20% of self</w:t>
      </w:r>
      <w:r>
        <w:rPr>
          <w:lang w:val="en-US"/>
        </w:rPr>
        <w:noBreakHyphen/>
        <w:t>harm incidents</w:t>
      </w:r>
      <w:r>
        <w:rPr>
          <w:rStyle w:val="EndnoteReference"/>
          <w:lang w:val="en-US"/>
        </w:rPr>
        <w:endnoteReference w:id="3"/>
      </w:r>
      <w:r>
        <w:rPr>
          <w:lang w:val="en-US"/>
        </w:rPr>
        <w:t xml:space="preserve">, reflecting the extent of unmet need. </w:t>
      </w:r>
    </w:p>
    <w:p w:rsidR="003554B3">
      <w:pPr>
        <w:rPr>
          <w:lang w:val="en-US"/>
        </w:rPr>
      </w:pPr>
      <w:r>
        <w:rPr>
          <w:lang w:val="en-US"/>
        </w:rPr>
        <w:t>A lack of trust in statutory services, multiple experiences of trauma, and inconsistent assessments mean that many girls’ needs go unidentified. When staff are not trained to recognise trauma responses, girls can be further harmed or unnecessarily criminalised. Capacity pressures and resource shortages often result in girls being placed in inappropriate or rushed interventions, while gaps in communication between agencies lead to lost or delayed education and medical records, undermining continuity of care.</w:t>
      </w:r>
    </w:p>
    <w:p w:rsidR="003554B3">
      <w:pPr>
        <w:pStyle w:val="Heading2"/>
        <w:rPr>
          <w:lang w:val="en-US"/>
        </w:rPr>
      </w:pPr>
      <w:r>
        <w:rPr>
          <w:lang w:val="en-US"/>
        </w:rPr>
        <w:t>Community</w:t>
      </w:r>
      <w:r>
        <w:rPr>
          <w:lang w:val="en-US"/>
        </w:rPr>
        <w:noBreakHyphen/>
        <w:t>Based Support</w:t>
      </w:r>
    </w:p>
    <w:p w:rsidR="003554B3">
      <w:r>
        <w:rPr>
          <w:lang w:val="en-US"/>
        </w:rPr>
        <w:t>Despite some positive developments, current responses for girls and young women remain insufficient. The youth justice system has been designed largely by and for men and boys, meaning girls’ needs are frequently overlooked. While 1,900 girls received a caution or sentence in the year ending March 2025—a 5% decrease on the previous year</w:t>
      </w:r>
      <w:r>
        <w:rPr>
          <w:rStyle w:val="EndnoteReference"/>
          <w:lang w:val="en-US"/>
        </w:rPr>
        <w:endnoteReference w:id="4"/>
      </w:r>
      <w:r>
        <w:rPr>
          <w:lang w:val="en-US"/>
        </w:rPr>
        <w:t xml:space="preserve">—their distinct needs are still not being met. The decision to end YOI placements for girls and the creation of the Girls in Youth Justice Board are welcome steps, but significant gaps persist. </w:t>
      </w:r>
    </w:p>
    <w:p w:rsidR="003554B3">
      <w:pPr>
        <w:rPr>
          <w:lang w:val="en-US"/>
        </w:rPr>
      </w:pPr>
      <w:r>
        <w:rPr>
          <w:lang w:val="en-US"/>
        </w:rPr>
        <w:t xml:space="preserve">Many pathways into offending are rooted in childhood adversity and need to be understood through a gendered lens. This is further compounded by intersecting identities, including disability, neurodiversity (diagnosed or not), race, religion, culture, sexuality, and ethnicity. </w:t>
      </w:r>
    </w:p>
    <w:p w:rsidR="003554B3">
      <w:pPr>
        <w:rPr>
          <w:lang w:val="en-US"/>
        </w:rPr>
      </w:pPr>
      <w:r>
        <w:rPr>
          <w:lang w:val="en-US"/>
        </w:rPr>
        <w:t>We advocate for a decisive shift toward ending custodial sentences for girls altogether, replacing them with specialist community</w:t>
      </w:r>
      <w:r>
        <w:rPr>
          <w:lang w:val="en-US"/>
        </w:rPr>
        <w:noBreakHyphen/>
        <w:t>based alternatives such as multi</w:t>
      </w:r>
      <w:r>
        <w:rPr>
          <w:lang w:val="en-US"/>
        </w:rPr>
        <w:noBreakHyphen/>
        <w:t>dimensional intensive fostering and safe</w:t>
      </w:r>
      <w:r>
        <w:rPr>
          <w:lang w:val="en-US"/>
        </w:rPr>
        <w:noBreakHyphen/>
        <w:t>space hubs delivered by women’s sector organisations. Advance’s Bloom Hub model offers an example of a trauma</w:t>
      </w:r>
      <w:r>
        <w:rPr>
          <w:lang w:val="en-US"/>
        </w:rPr>
        <w:noBreakHyphen/>
        <w:t>informed, community</w:t>
      </w:r>
      <w:r>
        <w:rPr>
          <w:lang w:val="en-US"/>
        </w:rPr>
        <w:noBreakHyphen/>
        <w:t>rooted space where girls and young women can access one</w:t>
      </w:r>
      <w:r>
        <w:rPr>
          <w:lang w:val="en-US"/>
        </w:rPr>
        <w:noBreakHyphen/>
        <w:t>to</w:t>
      </w:r>
      <w:r>
        <w:rPr>
          <w:lang w:val="en-US"/>
        </w:rPr>
        <w:noBreakHyphen/>
        <w:t>one support, peer networks, specialist partners, and safe environments designed around their needs.</w:t>
      </w:r>
    </w:p>
    <w:p w:rsidR="003554B3">
      <w:pPr>
        <w:rPr>
          <w:lang w:val="en-US"/>
        </w:rPr>
      </w:pPr>
    </w:p>
    <w:p w:rsidR="003554B3">
      <w:pPr>
        <w:pStyle w:val="Heading2"/>
        <w:rPr>
          <w:lang w:val="en-US"/>
        </w:rPr>
      </w:pPr>
      <w:r>
        <w:rPr>
          <w:lang w:val="en-US"/>
        </w:rPr>
        <w:t>Family</w:t>
      </w:r>
    </w:p>
    <w:p w:rsidR="003554B3">
      <w:r>
        <w:t>Research shows that up to 90% of young women in the criminal justice system have experienced abuse perpetrated by family members or other trusted individuals</w:t>
      </w:r>
      <w:r>
        <w:rPr>
          <w:rStyle w:val="EndnoteReference"/>
        </w:rPr>
        <w:endnoteReference w:id="5"/>
      </w:r>
      <w:r>
        <w:t xml:space="preserve">, and many grow up in environments marked by abandonment, instability, and inconsistent parenting. These experiences contribute to the complex and often harmful familial relationships that many girls and young women carry with them into custody. </w:t>
      </w:r>
    </w:p>
    <w:p w:rsidR="003554B3">
      <w:r>
        <w:t>Given the high prevalence of violence against women and girls within this cohort, support must prioritise safety, relational practice, and long</w:t>
      </w:r>
      <w:r>
        <w:noBreakHyphen/>
        <w:t xml:space="preserve">term wellbeing rather than </w:t>
      </w:r>
      <w:r>
        <w:t>punishment. While families can play a crucial role in supporting desistance, their ability to do so varies widely depending on dynamics and histories of harm. Early intervention and diversion through safe community</w:t>
      </w:r>
      <w:r>
        <w:noBreakHyphen/>
        <w:t>based spaces allow practitioners to understand girls’ experiences before crises escalate, with meaningful family engagement—where appropriate—strengthening this work. In cases involving domestic abuse, models such as Safe and Together</w:t>
      </w:r>
      <w:r>
        <w:rPr>
          <w:rStyle w:val="EndnoteReference"/>
        </w:rPr>
        <w:endnoteReference w:id="6"/>
      </w:r>
      <w:r>
        <w:t xml:space="preserve"> demonstrate how supporting the non</w:t>
      </w:r>
      <w:r>
        <w:noBreakHyphen/>
        <w:t>offending parent while centring the child’s safety can improve outcomes. Addressing intergenerational harm requires coordinated, trauma</w:t>
      </w:r>
      <w:r>
        <w:noBreakHyphen/>
        <w:t>informed responses delivered in partnership with specialist services for girls, ensuring consistent access to trusted adults who can help stabilise, support, and advocate for them.</w:t>
      </w:r>
    </w:p>
    <w:p w:rsidR="003554B3"/>
    <w:p w:rsidR="003554B3">
      <w:pPr>
        <w:pStyle w:val="Heading2"/>
      </w:pPr>
      <w:r>
        <w:t xml:space="preserve">Neurodiversity </w:t>
      </w:r>
    </w:p>
    <w:p w:rsidR="003554B3">
      <w:r>
        <w:t>Identification and assessment of neurodivergent YWG in custody remain significantly inadequate. Although rates of neurodivergence in the youth justice system (YJS) are known to be extremely high—around 80% of children cautioned or sentenced are from the SEND cohort</w:t>
      </w:r>
      <w:r>
        <w:rPr>
          <w:rStyle w:val="EndnoteReference"/>
        </w:rPr>
        <w:endnoteReference w:id="7"/>
      </w:r>
      <w:r>
        <w:t>—there is virtually no data specific to girls, meaning their needs are routinely overlooked . In practice, we must assume prevalence rates are comparable to boys, but girls are far less likely to enter custody with an existing diagnosis. Their neurodivergence is frequently missed or misattributed to behavioural or personality</w:t>
      </w:r>
      <w:r>
        <w:noBreakHyphen/>
        <w:t>based difficulties, largely because female presentations of conditions such as autism and ADHD differ substantially from male norms, and this difference is poorly understood across the</w:t>
      </w:r>
      <w:r>
        <w:t xml:space="preserve"> system. As a result, identification is inconsistent, delayed, or entirely absent, creating significant barriers to timely assessment and appropriate support.</w:t>
      </w:r>
    </w:p>
    <w:p w:rsidR="003554B3">
      <w:r>
        <w:t>Where neurodivergence is identified, assessments often fail to capture the complex and intersecting needs of YWG. Girls are more likely than boys to have experienced multiple adverse childhood experiences (ACEs), high levels of trauma, and comorbid mental health difficulties, yet assessments in custody do not reliably reflect this complexity. Autistic girls, for example, are more likely to mask, imitate peers, and attempt to fit into custodial social environments, increasing their vulnerability to manipulat</w:t>
      </w:r>
      <w:r>
        <w:t>ion and bullying while simultaneously contributing to diagnostic oversight. Girls with ADHD are more likely to present with the inattentive subtype—again, less visible and more easily misinterpreted—which contributes to misdiagnosis with internalising conditions or personality disorders.</w:t>
      </w:r>
      <w:r>
        <w:rPr>
          <w:rStyle w:val="EndnoteReference"/>
        </w:rPr>
        <w:endnoteReference w:id="8"/>
      </w:r>
      <w:r>
        <w:t xml:space="preserve"> Because diagnosis is often the “ticket in” to tailored support, these assessment failures leave </w:t>
      </w:r>
      <w:r>
        <w:t>many YWG without any meaningful recognition of their needs.</w:t>
      </w:r>
    </w:p>
    <w:p w:rsidR="003554B3">
      <w:r>
        <w:t xml:space="preserve">As a result, provision in custody is rarely tailored to the specific developmental, emotional, and cognitive needs of neurodivergent YWG. Girls with autism may struggle with heightened vulnerability, sensory overwhelm, and difficulties navigating custodial </w:t>
      </w:r>
      <w:r>
        <w:t>social hierarchies, leading in some cases to imitation of antisocial behaviour simply to cope or to avoid harm. Girls with ADHD often enter custody younger and experience longer periods relative to their age, which exacerbates their risks of substance misuse, impulsivity</w:t>
      </w:r>
      <w:r>
        <w:noBreakHyphen/>
        <w:t>driven behaviour, and mental health deterioration. Across neurodivergent YWG, mental health challenges—such as anxiety, depression, suicidality, and increased prevalence of conditions like bipolar disorder and schizophrenia—are common</w:t>
      </w:r>
      <w:r>
        <w:rPr>
          <w:rStyle w:val="EndnoteReference"/>
        </w:rPr>
        <w:endnoteReference w:id="9"/>
      </w:r>
      <w:r>
        <w:t>, yet services inside custody rarely match the level of specialist understanding required for effective intervention.</w:t>
      </w:r>
    </w:p>
    <w:p w:rsidR="003554B3">
      <w:r>
        <w:t>One of the most overlooked areas of need is acquired brain injury (ABI), which presents a particularly stark gender disparity. ABI is strongly linked to experiences of physical abuse and head trauma, which disproportionately affect girls. Despite this, ABI remains under</w:t>
      </w:r>
      <w:r>
        <w:noBreakHyphen/>
        <w:t>researched and under</w:t>
      </w:r>
      <w:r>
        <w:noBreakHyphen/>
        <w:t>identified in the YJS, meaning many affected YWG receive no adapted provision to account for impaired executive functioning or cognitive changes following injury. The absence of gender</w:t>
      </w:r>
      <w:r>
        <w:noBreakHyphen/>
        <w:t>specific screening or routine inquiry into trauma</w:t>
      </w:r>
      <w:r>
        <w:noBreakHyphen/>
        <w:t>related injury further compounds the invisibility of these needs.</w:t>
      </w:r>
    </w:p>
    <w:p w:rsidR="003554B3">
      <w:r>
        <w:t>Overall, the system struggles to provide neurodivergent YWG with the tailored provision required to meet their specific and complex needs. Gaps in identification, inconsistent assessment practices, lack of gender</w:t>
      </w:r>
      <w:r>
        <w:noBreakHyphen/>
        <w:t>informed understanding, and limited specialist provision mean that the majority of these girls have needs that remain unmet throughout their time in custody. Their neurodiversity, trauma histories, and mental health difficulties interact to create a uniquely complex profile that current custodial provision is not equipped to support effectively.</w:t>
      </w:r>
    </w:p>
    <w:p w:rsidR="003554B3">
      <w:pPr>
        <w:rPr>
          <w:lang w:val="en-US"/>
        </w:rPr>
      </w:pPr>
    </w:p>
    <w:p w:rsidR="003554B3">
      <w:pPr>
        <w:pStyle w:val="Heading2"/>
        <w:rPr>
          <w:lang w:val="en-US"/>
        </w:rPr>
      </w:pPr>
      <w:r>
        <w:rPr>
          <w:lang w:val="en-US"/>
        </w:rPr>
        <w:t>Training for Staff</w:t>
      </w:r>
    </w:p>
    <w:p w:rsidR="003554B3">
      <w:pPr>
        <w:rPr>
          <w:lang w:val="en-US"/>
        </w:rPr>
      </w:pPr>
      <w:r>
        <w:rPr>
          <w:lang w:val="en-US"/>
        </w:rPr>
        <w:t>It is essential that staff across the youth estate—and those supporting girls transitioning into the adult estate—are trained to understand the distinct needs of girls and young women. This includes adopting gender</w:t>
      </w:r>
      <w:r>
        <w:rPr>
          <w:lang w:val="en-US"/>
        </w:rPr>
        <w:noBreakHyphen/>
        <w:t xml:space="preserve"> and age</w:t>
      </w:r>
      <w:r>
        <w:rPr>
          <w:lang w:val="en-US"/>
        </w:rPr>
        <w:noBreakHyphen/>
        <w:t xml:space="preserve">specific approaches, recognising how trauma influences behaviour, and avoiding responses that escalate harm or criminalisation. </w:t>
      </w:r>
    </w:p>
    <w:p w:rsidR="003554B3">
      <w:pPr>
        <w:rPr>
          <w:lang w:val="en-US"/>
        </w:rPr>
      </w:pPr>
      <w:r>
        <w:rPr>
          <w:lang w:val="en-US"/>
        </w:rPr>
        <w:t>Training should be delivered by specialist women’s services and shaped by the lived experience of young women. Key areas include gendered trauma, intersectionality, relational practice, contextual safeguarding, identity, online abuse and misogyny, power imbalances, and trust</w:t>
      </w:r>
      <w:r>
        <w:rPr>
          <w:lang w:val="en-US"/>
        </w:rPr>
        <w:noBreakHyphen/>
        <w:t>building. Youth offending officers must be equipped to understand trauma responses and avoid criminalising survival behaviours. De</w:t>
      </w:r>
      <w:r>
        <w:rPr>
          <w:lang w:val="en-US"/>
        </w:rPr>
        <w:noBreakHyphen/>
        <w:t>escalation approaches should be gender</w:t>
      </w:r>
      <w:r>
        <w:rPr>
          <w:lang w:val="en-US"/>
        </w:rPr>
        <w:noBreakHyphen/>
        <w:t>sensitive, and greater multi</w:t>
      </w:r>
      <w:r>
        <w:rPr>
          <w:lang w:val="en-US"/>
        </w:rPr>
        <w:noBreakHyphen/>
        <w:t xml:space="preserve">agency working with specialist young women’s organisations is needed. </w:t>
      </w:r>
    </w:p>
    <w:p w:rsidR="003554B3">
      <w:pPr>
        <w:rPr>
          <w:lang w:val="en-US"/>
        </w:rPr>
      </w:pPr>
      <w:r>
        <w:rPr>
          <w:lang w:val="en-US"/>
        </w:rPr>
        <w:t xml:space="preserve">Regular, unplanned spot checks across youth custody establishments should evaluate practice against a gold standard for working with girls. Training must also address the </w:t>
      </w:r>
      <w:r>
        <w:rPr>
          <w:lang w:val="en-US"/>
        </w:rPr>
        <w:t>impact of adultification, particularly on Black girls, whose experiences of victim</w:t>
      </w:r>
      <w:r>
        <w:rPr>
          <w:lang w:val="en-US"/>
        </w:rPr>
        <w:noBreakHyphen/>
        <w:t xml:space="preserve">blaming and stereotyping can lead to mistrust, harm and criminalisation. </w:t>
      </w:r>
    </w:p>
    <w:p w:rsidR="003554B3">
      <w:pPr>
        <w:pStyle w:val="Heading2"/>
        <w:rPr>
          <w:lang w:val="en-US"/>
        </w:rPr>
      </w:pPr>
      <w:r>
        <w:rPr>
          <w:lang w:val="en-US"/>
        </w:rPr>
        <w:t>Education</w:t>
      </w:r>
    </w:p>
    <w:p w:rsidR="003554B3">
      <w:pPr>
        <w:rPr>
          <w:lang w:val="en-US"/>
        </w:rPr>
      </w:pPr>
      <w:r>
        <w:rPr>
          <w:lang w:val="en-US"/>
        </w:rPr>
        <w:t xml:space="preserve">A stronger and more preventative education response is required to support girls and young women before they enter custody. Organisations like Advance, which work with girls at risk of school exclusion or who are NEET, need greater recognition and investment. Rising exclusions among girls risk increasing criminalisation, making early support critical. It is essential that no girl disappears from education, as disengagement often reinforces a sense of invisibility and worthlessness. </w:t>
      </w:r>
    </w:p>
    <w:p w:rsidR="003554B3">
      <w:pPr>
        <w:rPr>
          <w:lang w:val="en-US"/>
        </w:rPr>
      </w:pPr>
      <w:r>
        <w:rPr>
          <w:lang w:val="en-US"/>
        </w:rPr>
        <w:t>For girls in custody or supported by YOTs in the community, access to meaningful, engaging education is vital. Given that justice</w:t>
      </w:r>
      <w:r>
        <w:rPr>
          <w:lang w:val="en-US"/>
        </w:rPr>
        <w:noBreakHyphen/>
        <w:t>involved girls are disproportionately likely to be neurodivergent, educational provision must adopt a holistic, child</w:t>
      </w:r>
      <w:r>
        <w:rPr>
          <w:lang w:val="en-US"/>
        </w:rPr>
        <w:noBreakHyphen/>
        <w:t>first approach that responds to individual learning styles and needs.</w:t>
      </w:r>
    </w:p>
    <w:p w:rsidR="003554B3">
      <w:r>
        <w:t>Many of the girls and young women we support tell us they would benefit from structured life</w:t>
      </w:r>
      <w:r>
        <w:noBreakHyphen/>
        <w:t>skills education, as many have never had the opportunity to learn these skills. Life</w:t>
      </w:r>
      <w:r>
        <w:noBreakHyphen/>
        <w:t>skills provision should be prioritised as a core element of resettlement for young women, beginning from the start of custody rather than only pre</w:t>
      </w:r>
      <w:r>
        <w:noBreakHyphen/>
        <w:t>release. Support should be practical, trauma</w:t>
      </w:r>
      <w:r>
        <w:noBreakHyphen/>
        <w:t>informed, and accessible — including for neurodivergent young women — with step</w:t>
      </w:r>
      <w:r>
        <w:noBreakHyphen/>
        <w:t>by</w:t>
      </w:r>
      <w:r>
        <w:noBreakHyphen/>
        <w:t>step guidance rather than simple signposting. Prisons should also enable safe access to digital systems for essential real</w:t>
      </w:r>
      <w:r>
        <w:noBreakHyphen/>
        <w:t>world tasks such as applying</w:t>
      </w:r>
      <w:r>
        <w:t xml:space="preserve"> for benefits, managing housing processes, verifying ID, or registering with a GP.</w:t>
      </w:r>
    </w:p>
    <w:p w:rsidR="003554B3">
      <w:r>
        <w:t>Strengthening life skills in this way can help young women build independence, stability, and long</w:t>
      </w:r>
      <w:r>
        <w:noBreakHyphen/>
        <w:t>term desistance, as well as reduce day</w:t>
      </w:r>
      <w:r>
        <w:noBreakHyphen/>
        <w:t>to</w:t>
      </w:r>
      <w:r>
        <w:noBreakHyphen/>
        <w:t>day chaos and crisis escalation. Resettlement planning should include early links to community</w:t>
      </w:r>
      <w:r>
        <w:noBreakHyphen/>
        <w:t>based women’s services to build trust before release, particularly for those without supportive networks. Key areas of life</w:t>
      </w:r>
      <w:r>
        <w:noBreakHyphen/>
        <w:t>skills support include financial stability, tenancy and home</w:t>
      </w:r>
      <w:r>
        <w:noBreakHyphen/>
        <w:t>management skills, emotional regulation, digital inclusion, and navigating community services such as healthcare, education, and employment opportunities.</w:t>
      </w:r>
    </w:p>
    <w:p w:rsidR="003554B3">
      <w:pPr>
        <w:rPr>
          <w:lang w:val="en-US"/>
        </w:rPr>
      </w:pPr>
    </w:p>
    <w:p w:rsidR="003554B3">
      <w:pPr>
        <w:pStyle w:val="Heading2"/>
        <w:rPr>
          <w:lang w:val="en-US"/>
        </w:rPr>
      </w:pPr>
      <w:r>
        <w:rPr>
          <w:lang w:val="en-US"/>
        </w:rPr>
        <w:t>Transitions</w:t>
      </w:r>
    </w:p>
    <w:p w:rsidR="003554B3">
      <w:pPr>
        <w:rPr>
          <w:lang w:val="en-US"/>
        </w:rPr>
      </w:pPr>
      <w:r>
        <w:rPr>
          <w:lang w:val="en-US"/>
        </w:rPr>
        <w:t>Girls frequently experience a significant loss of support during the transition from Youth Offending Teams to adult Probation. This shift—from a child</w:t>
      </w:r>
      <w:r>
        <w:rPr>
          <w:lang w:val="en-US"/>
        </w:rPr>
        <w:noBreakHyphen/>
        <w:t xml:space="preserve">centered model to one dominated by enforcement—creates a cliff edge that disrupts progress and undermines rehabilitation. </w:t>
      </w:r>
    </w:p>
    <w:p w:rsidR="003554B3">
      <w:pPr>
        <w:rPr>
          <w:lang w:val="en-US"/>
        </w:rPr>
      </w:pPr>
      <w:r>
        <w:rPr>
          <w:lang w:val="en-US"/>
        </w:rPr>
        <w:t>Girls’ needs often relate to trauma, exploitation, and violence, meaning that transitions must be carefully managed through coordinated, trauma</w:t>
      </w:r>
      <w:r>
        <w:rPr>
          <w:lang w:val="en-US"/>
        </w:rPr>
        <w:noBreakHyphen/>
        <w:t>informed, multi</w:t>
      </w:r>
      <w:r>
        <w:rPr>
          <w:lang w:val="en-US"/>
        </w:rPr>
        <w:noBreakHyphen/>
        <w:t>agency support. Assessments must be designed to identify gender</w:t>
      </w:r>
      <w:r>
        <w:rPr>
          <w:lang w:val="en-US"/>
        </w:rPr>
        <w:noBreakHyphen/>
        <w:t xml:space="preserve"> and age</w:t>
      </w:r>
      <w:r>
        <w:rPr>
          <w:lang w:val="en-US"/>
        </w:rPr>
        <w:noBreakHyphen/>
        <w:t xml:space="preserve">specific needs, </w:t>
      </w:r>
      <w:r>
        <w:rPr>
          <w:lang w:val="en-US"/>
        </w:rPr>
        <w:t>including experiences of gender</w:t>
      </w:r>
      <w:r>
        <w:rPr>
          <w:lang w:val="en-US"/>
        </w:rPr>
        <w:noBreakHyphen/>
        <w:t xml:space="preserve">based violence, adverse childhood experiences, exploitation, mental health challenges, reproductive health needs, neurodivergence, and intersecting identities. This should all inform what support in put in place to help them navigate the transition into the adult estate, but also the transition back into the community. </w:t>
      </w:r>
    </w:p>
    <w:p w:rsidR="003554B3">
      <w:pPr>
        <w:rPr>
          <w:lang w:val="en-US"/>
        </w:rPr>
      </w:pPr>
      <w:r>
        <w:rPr>
          <w:lang w:val="en-US"/>
        </w:rPr>
        <w:t>We agree, that support for 18</w:t>
      </w:r>
      <w:r>
        <w:rPr>
          <w:lang w:val="en-US"/>
        </w:rPr>
        <w:noBreakHyphen/>
        <w:t xml:space="preserve"> to 25</w:t>
      </w:r>
      <w:r>
        <w:rPr>
          <w:lang w:val="en-US"/>
        </w:rPr>
        <w:noBreakHyphen/>
        <w:t>year</w:t>
      </w:r>
      <w:r>
        <w:rPr>
          <w:lang w:val="en-US"/>
        </w:rPr>
        <w:noBreakHyphen/>
        <w:t>olds should be determined by developmental need rather than chronological age, while recognising the specific vulnerabilities of young women. Advance continues to argue for a dedicated justice approach for girls and young women, grounded in community</w:t>
      </w:r>
      <w:r>
        <w:rPr>
          <w:lang w:val="en-US"/>
        </w:rPr>
        <w:noBreakHyphen/>
        <w:t>based provision as the default. Sustainable housing, long</w:t>
      </w:r>
      <w:r>
        <w:rPr>
          <w:lang w:val="en-US"/>
        </w:rPr>
        <w:noBreakHyphen/>
        <w:t>term mental health services, contextual safeguarding, and a child</w:t>
      </w:r>
      <w:r>
        <w:rPr>
          <w:lang w:val="en-US"/>
        </w:rPr>
        <w:noBreakHyphen/>
        <w:t>first, person-centered ethos are essential. The adult prison estate is not an appropriate environment for young women, whose</w:t>
      </w:r>
      <w:r>
        <w:rPr>
          <w:lang w:val="en-US"/>
        </w:rPr>
        <w:t xml:space="preserve"> mental health is often significantly worsened by or develops because of custody, including through increased segregation and social isolation. Early, sustained support is crucial to breaking cycles of harm and offending.</w:t>
      </w:r>
    </w:p>
    <w:p w:rsidR="003554B3">
      <w:pPr>
        <w:rPr>
          <w:lang w:val="en-US"/>
        </w:rPr>
      </w:pPr>
    </w:p>
    <w:p w:rsidR="003554B3">
      <w:pPr>
        <w:rPr>
          <w:b/>
          <w:bCs/>
          <w:lang w:val="en-US"/>
        </w:rPr>
      </w:pPr>
      <w:r>
        <w:rPr>
          <w:b/>
          <w:bCs/>
          <w:lang w:val="en-US"/>
        </w:rPr>
        <w:t>Contact: Leonie Loftus, Senior Policy Manager</w:t>
      </w:r>
    </w:p>
    <w:p w:rsidR="003554B3">
      <w:r>
        <w:fldChar w:fldCharType="begin"/>
      </w:r>
      <w:r>
        <w:instrText xml:space="preserve"> HYPERLINK "mailto:Leonie.l@advancecharity.org.uk" </w:instrText>
      </w:r>
      <w:r>
        <w:fldChar w:fldCharType="separate"/>
      </w:r>
      <w:r>
        <w:rPr>
          <w:rStyle w:val="Hyperlink"/>
          <w:b/>
          <w:bCs/>
          <w:lang w:val="en-US"/>
        </w:rPr>
        <w:t>Leonie.l@advancecharity.org.uk</w:t>
      </w:r>
      <w:r>
        <w:fldChar w:fldCharType="end"/>
      </w:r>
      <w:r>
        <w:rPr>
          <w:b/>
          <w:bCs/>
          <w:lang w:val="en-US"/>
        </w:rPr>
        <w:t xml:space="preserve"> </w:t>
      </w:r>
    </w:p>
    <w:sectPr>
      <w:headerReference w:type="default" r:id="rId5"/>
      <w:footerReference w:type="default" r:id="rId6"/>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B26A70">
      <w:pPr>
        <w:spacing w:after="0" w:line="240" w:lineRule="auto"/>
      </w:pPr>
      <w:r>
        <w:separator/>
      </w:r>
    </w:p>
  </w:endnote>
  <w:endnote w:type="continuationSeparator" w:id="1">
    <w:p w:rsidR="00B26A70">
      <w:pPr>
        <w:spacing w:after="0" w:line="240" w:lineRule="auto"/>
      </w:pPr>
      <w:r>
        <w:continuationSeparator/>
      </w:r>
    </w:p>
  </w:endnote>
  <w:endnote w:id="2">
    <w:p w:rsidR="00B26A70" w:rsidP="00F30519">
      <w:pPr>
        <w:pStyle w:val="EndnoteText"/>
      </w:pPr>
      <w:r>
        <w:rPr>
          <w:rStyle w:val="EndnoteReference"/>
        </w:rPr>
        <w:endnoteRef/>
      </w:r>
      <w:r>
        <w:t xml:space="preserve"> Advance (2020) </w:t>
      </w:r>
      <w:r>
        <w:fldChar w:fldCharType="begin"/>
      </w:r>
      <w:r>
        <w:instrText xml:space="preserve"> HYPERLINK "https://www.advancecharity.org.uk/wp-content/uploads/2020/09/Space-to-learn-Relationships-report.pdf" </w:instrText>
      </w:r>
      <w:r>
        <w:fldChar w:fldCharType="separate"/>
      </w:r>
      <w:r>
        <w:rPr>
          <w:rStyle w:val="Hyperlink"/>
        </w:rPr>
        <w:t>A Space to Learn About Relationships</w:t>
      </w:r>
      <w:r>
        <w:fldChar w:fldCharType="end"/>
      </w:r>
      <w:r>
        <w:t xml:space="preserve"> </w:t>
      </w:r>
    </w:p>
  </w:endnote>
  <w:endnote w:id="3">
    <w:p w:rsidR="00B26A70" w:rsidP="00F30519">
      <w:pPr>
        <w:pStyle w:val="EndnoteText"/>
      </w:pPr>
      <w:r>
        <w:rPr>
          <w:rStyle w:val="EndnoteReference"/>
        </w:rPr>
        <w:endnoteRef/>
      </w:r>
      <w:r>
        <w:t xml:space="preserve"> Ministry of Justice (2025) </w:t>
      </w:r>
      <w:r>
        <w:fldChar w:fldCharType="begin"/>
      </w:r>
      <w:r>
        <w:instrText xml:space="preserve"> HYPERLINK "https://www.gov.uk/government/statistics/safety-in-the-children-and-young-people-secure-estate-update-to-september-2025/safety-in-the-children-and-young-people-secure-estate-update-to-september-2025" </w:instrText>
      </w:r>
      <w:r>
        <w:fldChar w:fldCharType="separate"/>
      </w:r>
      <w:r>
        <w:rPr>
          <w:rStyle w:val="Hyperlink"/>
          <w:b/>
          <w:bCs/>
        </w:rPr>
        <w:t>Safety in the Children and Young People Secure Estate: Update to September 2025</w:t>
      </w:r>
      <w:r>
        <w:fldChar w:fldCharType="end"/>
      </w:r>
    </w:p>
  </w:endnote>
  <w:endnote w:id="4">
    <w:p w:rsidR="00B26A70" w:rsidP="00F30519">
      <w:pPr>
        <w:pStyle w:val="EndnoteText"/>
      </w:pPr>
      <w:r>
        <w:rPr>
          <w:rStyle w:val="EndnoteReference"/>
        </w:rPr>
        <w:endnoteRef/>
      </w:r>
      <w:r>
        <w:t xml:space="preserve"> Youth Justice Board (2025) </w:t>
      </w:r>
      <w:r>
        <w:fldChar w:fldCharType="begin"/>
      </w:r>
      <w:r>
        <w:instrText xml:space="preserve"> HYPERLINK "https://www.gov.uk/government/statistics/youth-justice-statistics-2024-to-2025/youth-justice-statistics-2024-to-2025" </w:instrText>
      </w:r>
      <w:r>
        <w:fldChar w:fldCharType="separate"/>
      </w:r>
      <w:r>
        <w:rPr>
          <w:rStyle w:val="Hyperlink"/>
          <w:b/>
          <w:bCs/>
        </w:rPr>
        <w:t>Youth Justice Statistics: 2024 to 2025</w:t>
      </w:r>
      <w:r>
        <w:fldChar w:fldCharType="end"/>
      </w:r>
    </w:p>
  </w:endnote>
  <w:endnote w:id="5">
    <w:p w:rsidR="00B26A70" w:rsidP="00F30519">
      <w:pPr>
        <w:pStyle w:val="EndnoteText"/>
      </w:pPr>
      <w:r>
        <w:rPr>
          <w:rStyle w:val="EndnoteReference"/>
        </w:rPr>
        <w:endnoteRef/>
      </w:r>
      <w:r>
        <w:t xml:space="preserve"> Agenda(2022) </w:t>
      </w:r>
      <w:r>
        <w:fldChar w:fldCharType="begin"/>
      </w:r>
      <w:r>
        <w:instrText xml:space="preserve"> HYPERLINK "https://www.agendaalliance.org/news/new-report-reveals-criminal-justice-system-harming-vulnerable-girls-and-young-women/" </w:instrText>
      </w:r>
      <w:r>
        <w:fldChar w:fldCharType="separate"/>
      </w:r>
      <w:r>
        <w:rPr>
          <w:rStyle w:val="Hyperlink"/>
          <w:b/>
          <w:bCs/>
        </w:rPr>
        <w:t>New Report Reveals Criminal Justice System Harming Vulnerable Girls and Young Women</w:t>
      </w:r>
      <w:r>
        <w:fldChar w:fldCharType="end"/>
      </w:r>
    </w:p>
  </w:endnote>
  <w:endnote w:id="6">
    <w:p w:rsidR="00B26A70" w:rsidP="00F30519">
      <w:pPr>
        <w:pStyle w:val="EndnoteText"/>
      </w:pPr>
      <w:r>
        <w:rPr>
          <w:rStyle w:val="EndnoteReference"/>
        </w:rPr>
        <w:endnoteRef/>
      </w:r>
      <w:r>
        <w:t xml:space="preserve"> safeandtogetherinstitute.com </w:t>
      </w:r>
    </w:p>
  </w:endnote>
  <w:endnote w:id="7">
    <w:p w:rsidR="00B26A70" w:rsidP="00F30519">
      <w:pPr>
        <w:pStyle w:val="EndnoteText"/>
      </w:pPr>
      <w:r>
        <w:rPr>
          <w:rStyle w:val="EndnoteReference"/>
        </w:rPr>
        <w:endnoteRef/>
      </w:r>
      <w:r>
        <w:t xml:space="preserve"> Youth Justice Legal Centre (2025)</w:t>
      </w:r>
      <w:r>
        <w:fldChar w:fldCharType="begin"/>
      </w:r>
      <w:r>
        <w:instrText xml:space="preserve"> HYPERLINK "https://yjlc.uk/resources/legal-updates/justice-children-send-neurodivergence-review-current-systems-failings" </w:instrText>
      </w:r>
      <w:r>
        <w:fldChar w:fldCharType="separate"/>
      </w:r>
      <w:r>
        <w:rPr>
          <w:rStyle w:val="Hyperlink"/>
        </w:rPr>
        <w:t xml:space="preserve"> Justice for children with SEND &amp; neurodivergence: A review into the current system’s failings</w:t>
      </w:r>
      <w:r>
        <w:fldChar w:fldCharType="end"/>
      </w:r>
    </w:p>
  </w:endnote>
  <w:endnote w:id="8">
    <w:p w:rsidR="00B26A70" w:rsidP="00F30519">
      <w:pPr>
        <w:pStyle w:val="EndnoteText"/>
      </w:pPr>
      <w:r>
        <w:rPr>
          <w:rStyle w:val="EndnoteReference"/>
        </w:rPr>
        <w:endnoteRef/>
      </w:r>
      <w:r>
        <w:t xml:space="preserve"> Young, S. et al. </w:t>
      </w:r>
      <w:r>
        <w:rPr>
          <w:i/>
          <w:iCs/>
        </w:rPr>
        <w:t>Females with ADHD: Expert consensus on identifying and treating ADHD in girls and women.</w:t>
      </w:r>
      <w:r>
        <w:t xml:space="preserve"> </w:t>
      </w:r>
      <w:r>
        <w:rPr>
          <w:b/>
          <w:bCs/>
        </w:rPr>
        <w:t>BMC Psychiatry</w:t>
      </w:r>
      <w:r>
        <w:t>, 2020; 20:404. https://doi.org/10.1186/s12888-020-02707-9</w:t>
      </w:r>
    </w:p>
  </w:endnote>
  <w:endnote w:id="9">
    <w:p w:rsidR="003554B3">
      <w:pPr>
        <w:pStyle w:val="EndnoteText"/>
      </w:pPr>
      <w:r>
        <w:rPr>
          <w:rStyle w:val="EndnoteReference"/>
        </w:rPr>
        <w:endnoteRef/>
      </w:r>
      <w:r>
        <w:t xml:space="preserve"> McKinney, A. et al. </w:t>
      </w:r>
      <w:r>
        <w:rPr>
          <w:i/>
          <w:iCs/>
        </w:rPr>
        <w:t>Camouflaging in neurodivergent and neurotypical girls during early adolescence and links to mental health.</w:t>
      </w:r>
      <w:r>
        <w:t xml:space="preserve"> </w:t>
      </w:r>
      <w:r>
        <w:rPr>
          <w:b/>
          <w:bCs/>
        </w:rPr>
        <w:t>JCPP Advances</w:t>
      </w:r>
      <w:r>
        <w:t>, 2024; 4(4</w:t>
      </w:r>
      <w:r>
        <w:t>):e</w:t>
      </w:r>
      <w:r>
        <w:t>12294. https://doi.org/10.1002/jcv2.12294</w:t>
      </w:r>
    </w:p>
    <w:p w:rsidR="00B26A70"/>
    <w:p w:rsidR="00F30519"/>
    <w:p w:rsidR="00F30519" w:rsidRPr="00F30519">
      <w:pPr>
        <w:rPr>
          <w:i/>
          <w:iCs/>
        </w:rPr>
      </w:pPr>
      <w:r>
        <w:rPr>
          <w:i/>
          <w:iCs/>
        </w:rPr>
        <w:t>March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5107114"/>
      <w:docPartObj>
        <w:docPartGallery w:val="Page Numbers (Bottom of Page)"/>
        <w:docPartUnique/>
      </w:docPartObj>
    </w:sdtPr>
    <w:sdtEndPr>
      <w:rPr>
        <w:noProof/>
      </w:rPr>
    </w:sdtEndPr>
    <w:sdtContent>
      <w:p w:rsidR="00F30519">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p>
    </w:sdtContent>
  </w:sdt>
  <w:p w:rsidR="00F3051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A70" w:rsidRPr="00F30519" w:rsidP="00F30519">
    <w:pPr>
      <w:pStyle w:val="Header"/>
      <w:rPr>
        <w:b/>
        <w:bCs/>
        <w:u w:val="single"/>
      </w:rPr>
    </w:pPr>
    <w:r w:rsidRPr="00F30519">
      <w:rPr>
        <w:b/>
        <w:bCs/>
        <w:u w:val="single"/>
      </w:rPr>
      <w:t>CYA0004 - Advance</w:t>
    </w:r>
  </w:p>
  <w:p w:rsidR="00B26A7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FF417B"/>
    <w:multiLevelType w:val="multilevel"/>
    <w:tmpl w:val="9FAE3C58"/>
    <w:lvl w:ilvl="0">
      <w:start w:val="0"/>
      <w:numFmt w:val="bullet"/>
      <w:lvlText w:val=""/>
      <w:lvlJc w:val="left"/>
      <w:pPr>
        <w:ind w:left="720" w:hanging="360"/>
      </w:pPr>
      <w:rPr>
        <w:rFonts w:ascii="Symbol" w:hAnsi="Symbol"/>
        <w:sz w:val="20"/>
      </w:rPr>
    </w:lvl>
    <w:lvl w:ilvl="1">
      <w:start w:val="0"/>
      <w:numFmt w:val="bullet"/>
      <w:lvlText w:val="o"/>
      <w:lvlJc w:val="left"/>
      <w:pPr>
        <w:ind w:left="1440" w:hanging="360"/>
      </w:pPr>
      <w:rPr>
        <w:rFonts w:ascii="Courier New" w:hAnsi="Courier New"/>
        <w:sz w:val="20"/>
      </w:rPr>
    </w:lvl>
    <w:lvl w:ilvl="2">
      <w:start w:val="0"/>
      <w:numFmt w:val="bullet"/>
      <w:lvlText w:val=""/>
      <w:lvlJc w:val="left"/>
      <w:pPr>
        <w:ind w:left="2160" w:hanging="360"/>
      </w:pPr>
      <w:rPr>
        <w:rFonts w:ascii="Wingdings" w:hAnsi="Wingdings"/>
        <w:sz w:val="20"/>
      </w:rPr>
    </w:lvl>
    <w:lvl w:ilvl="3">
      <w:start w:val="0"/>
      <w:numFmt w:val="bullet"/>
      <w:lvlText w:val=""/>
      <w:lvlJc w:val="left"/>
      <w:pPr>
        <w:ind w:left="2880" w:hanging="360"/>
      </w:pPr>
      <w:rPr>
        <w:rFonts w:ascii="Wingdings" w:hAnsi="Wingdings"/>
        <w:sz w:val="20"/>
      </w:rPr>
    </w:lvl>
    <w:lvl w:ilvl="4">
      <w:start w:val="0"/>
      <w:numFmt w:val="bullet"/>
      <w:lvlText w:val=""/>
      <w:lvlJc w:val="left"/>
      <w:pPr>
        <w:ind w:left="3600" w:hanging="360"/>
      </w:pPr>
      <w:rPr>
        <w:rFonts w:ascii="Wingdings" w:hAnsi="Wingdings"/>
        <w:sz w:val="20"/>
      </w:rPr>
    </w:lvl>
    <w:lvl w:ilvl="5">
      <w:start w:val="0"/>
      <w:numFmt w:val="bullet"/>
      <w:lvlText w:val=""/>
      <w:lvlJc w:val="left"/>
      <w:pPr>
        <w:ind w:left="4320" w:hanging="360"/>
      </w:pPr>
      <w:rPr>
        <w:rFonts w:ascii="Wingdings" w:hAnsi="Wingdings"/>
        <w:sz w:val="20"/>
      </w:rPr>
    </w:lvl>
    <w:lvl w:ilvl="6">
      <w:start w:val="0"/>
      <w:numFmt w:val="bullet"/>
      <w:lvlText w:val=""/>
      <w:lvlJc w:val="left"/>
      <w:pPr>
        <w:ind w:left="5040" w:hanging="360"/>
      </w:pPr>
      <w:rPr>
        <w:rFonts w:ascii="Wingdings" w:hAnsi="Wingdings"/>
        <w:sz w:val="20"/>
      </w:rPr>
    </w:lvl>
    <w:lvl w:ilvl="7">
      <w:start w:val="0"/>
      <w:numFmt w:val="bullet"/>
      <w:lvlText w:val=""/>
      <w:lvlJc w:val="left"/>
      <w:pPr>
        <w:ind w:left="5760" w:hanging="360"/>
      </w:pPr>
      <w:rPr>
        <w:rFonts w:ascii="Wingdings" w:hAnsi="Wingdings"/>
        <w:sz w:val="20"/>
      </w:rPr>
    </w:lvl>
    <w:lvl w:ilvl="8">
      <w:start w:val="0"/>
      <w:numFmt w:val="bullet"/>
      <w:lvlText w:val=""/>
      <w:lvlJc w:val="left"/>
      <w:pPr>
        <w:ind w:left="6480" w:hanging="360"/>
      </w:pPr>
      <w:rPr>
        <w:rFonts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efaultTabStop w:val="720"/>
  <w:autoHyphenation/>
  <w:characterSpacingControl w:val="doNotCompress"/>
  <w:endnotePr>
    <w:endnote w:id="0"/>
    <w:endnote w:id="1"/>
  </w:endnotePr>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SubtleReference">
    <w:name w:val="Subtle Reference"/>
    <w:basedOn w:val="DefaultParagraphFont"/>
    <w:rPr>
      <w:smallCaps/>
      <w:color w:val="5A5A5A"/>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Hyperlink">
    <w:name w:val="Hyperlink"/>
    <w:basedOn w:val="DefaultParagraphFont"/>
    <w:rPr>
      <w:color w:val="467886"/>
      <w:u w:val="single"/>
    </w:rPr>
  </w:style>
  <w:style w:type="character" w:customStyle="1" w:styleId="UnresolvedMention">
    <w:name w:val="Unresolved Mention"/>
    <w:basedOn w:val="DefaultParagraphFont"/>
    <w:rPr>
      <w:color w:val="605E5C"/>
      <w:shd w:val="clear" w:color="auto" w:fill="E1DFDD"/>
    </w:r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rPr>
      <w:sz w:val="20"/>
      <w:szCs w:val="20"/>
    </w:rPr>
  </w:style>
  <w:style w:type="character" w:styleId="EndnoteReference">
    <w:name w:val="endnote reference"/>
    <w:basedOn w:val="DefaultParagraphFon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Norma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CYA0004</dc:title>
  <cp:revision>0</cp:revision>
</cp:coreProperties>
</file>