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4.0.0 -->
  <w:body>
    <w:p w:rsidR="00000000" w:rsidP="00C12BAB">
      <w:pPr>
        <w:pStyle w:val="Heading1"/>
        <w:jc w:val="both"/>
      </w:pPr>
      <w:r>
        <w:t>Submission to</w:t>
      </w:r>
      <w:r>
        <w:t xml:space="preserve"> Justice Committee Inquiry</w:t>
      </w:r>
    </w:p>
    <w:p w:rsidR="00000000" w:rsidRPr="00692B73" w:rsidP="002B38DC">
      <w:pPr>
        <w:pStyle w:val="Heading3"/>
      </w:pPr>
      <w:r>
        <w:t>Dr Jayne Price</w:t>
      </w:r>
    </w:p>
    <w:p w:rsidR="00000000" w:rsidP="00C12BAB">
      <w:pPr>
        <w:pStyle w:val="Heading1"/>
        <w:jc w:val="both"/>
      </w:pPr>
      <w:r w:rsidRPr="0007607C">
        <w:t>Children and Young Adults in the Secure Estate</w:t>
      </w:r>
    </w:p>
    <w:p w:rsidR="00000000" w:rsidP="00C12BAB">
      <w:pPr>
        <w:jc w:val="both"/>
      </w:pPr>
      <w:r>
        <w:t>We now</w:t>
      </w:r>
      <w:r>
        <w:t xml:space="preserve"> have a </w:t>
      </w:r>
      <w:r>
        <w:t>ten-year</w:t>
      </w:r>
      <w:r>
        <w:t xml:space="preserve"> picture of transitions data </w:t>
      </w:r>
      <w:r>
        <w:t>(YJB 2020, 2026</w:t>
      </w:r>
      <w:r>
        <w:t>)</w:t>
      </w:r>
      <w:r>
        <w:t xml:space="preserve">. This </w:t>
      </w:r>
      <w:r>
        <w:t xml:space="preserve">shows that </w:t>
      </w:r>
      <w:r>
        <w:t xml:space="preserve">despite the decline in the number of children and young people within youth custody, </w:t>
      </w:r>
      <w:r>
        <w:t>the proportion of those transitioning to the over 18 estate</w:t>
      </w:r>
      <w:r>
        <w:t xml:space="preserve"> peaked 2021/2022 and is</w:t>
      </w:r>
      <w:r>
        <w:t xml:space="preserve"> in the most recent data, slightly higher than where published records began.</w:t>
      </w:r>
    </w:p>
    <w:tbl>
      <w:tblPr>
        <w:tblpPr w:leftFromText="180" w:rightFromText="180" w:vertAnchor="text" w:horzAnchor="margin" w:tblpXSpec="center" w:tblpY="274"/>
        <w:tblW w:w="11220" w:type="dxa"/>
        <w:tblLook w:val="04A0"/>
      </w:tblPr>
      <w:tblGrid>
        <w:gridCol w:w="4720"/>
        <w:gridCol w:w="1300"/>
        <w:gridCol w:w="1300"/>
        <w:gridCol w:w="1300"/>
        <w:gridCol w:w="1300"/>
        <w:gridCol w:w="1300"/>
      </w:tblGrid>
      <w:tr w:rsidTr="000F291D">
        <w:tblPrEx>
          <w:tblW w:w="11220" w:type="dxa"/>
          <w:tblLook w:val="04A0"/>
        </w:tblPrEx>
        <w:trPr>
          <w:trHeight w:val="32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FA48FA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FA48FA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 xml:space="preserve">Year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FA48FA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FA48FA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2015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FA48FA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FA48FA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2016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FA48FA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FA48FA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2017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FA48FA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FA48FA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FA48FA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FA48FA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2019</w:t>
            </w:r>
          </w:p>
        </w:tc>
      </w:tr>
      <w:tr w:rsidTr="000F291D">
        <w:tblPrEx>
          <w:tblW w:w="11220" w:type="dxa"/>
          <w:tblLook w:val="04A0"/>
        </w:tblPrEx>
        <w:trPr>
          <w:trHeight w:val="3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FA48FA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color w:val="000000"/>
                <w:kern w:val="0"/>
                <w:sz w:val="20"/>
                <w:szCs w:val="20"/>
                <w:lang w:eastAsia="en-GB"/>
              </w:rPr>
            </w:pPr>
            <w:r w:rsidRPr="00FA48FA">
              <w:rPr>
                <w:rFonts w:eastAsia="Times New Roman" w:asciiTheme="majorHAnsi" w:hAnsiTheme="majorHAnsi" w:cs="Arial"/>
                <w:color w:val="000000"/>
                <w:kern w:val="0"/>
                <w:sz w:val="20"/>
                <w:szCs w:val="20"/>
                <w:lang w:eastAsia="en-GB"/>
              </w:rPr>
              <w:t>Custody population (including 18 years and older)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FA48FA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kern w:val="0"/>
                <w:sz w:val="20"/>
                <w:szCs w:val="20"/>
                <w:lang w:eastAsia="en-GB"/>
              </w:rPr>
            </w:pPr>
            <w:r w:rsidRPr="00FA48FA">
              <w:rPr>
                <w:rFonts w:eastAsia="Times New Roman" w:asciiTheme="majorHAnsi" w:hAnsiTheme="majorHAnsi" w:cs="Arial"/>
                <w:kern w:val="0"/>
                <w:sz w:val="20"/>
                <w:szCs w:val="20"/>
                <w:lang w:eastAsia="en-GB"/>
              </w:rPr>
              <w:t>1,135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FA48FA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kern w:val="0"/>
                <w:sz w:val="20"/>
                <w:szCs w:val="20"/>
                <w:lang w:eastAsia="en-GB"/>
              </w:rPr>
            </w:pPr>
            <w:r w:rsidRPr="00FA48FA">
              <w:rPr>
                <w:rFonts w:eastAsia="Times New Roman" w:asciiTheme="majorHAnsi" w:hAnsiTheme="majorHAnsi" w:cs="Arial"/>
                <w:kern w:val="0"/>
                <w:sz w:val="20"/>
                <w:szCs w:val="20"/>
                <w:lang w:eastAsia="en-GB"/>
              </w:rPr>
              <w:t>1,049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FA48FA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kern w:val="0"/>
                <w:sz w:val="20"/>
                <w:szCs w:val="20"/>
                <w:lang w:eastAsia="en-GB"/>
              </w:rPr>
            </w:pPr>
            <w:r w:rsidRPr="00FA48FA">
              <w:rPr>
                <w:rFonts w:eastAsia="Times New Roman" w:asciiTheme="majorHAnsi" w:hAnsiTheme="majorHAnsi" w:cs="Arial"/>
                <w:kern w:val="0"/>
                <w:sz w:val="20"/>
                <w:szCs w:val="20"/>
                <w:lang w:eastAsia="en-GB"/>
              </w:rPr>
              <w:t>960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FA48FA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kern w:val="0"/>
                <w:sz w:val="20"/>
                <w:szCs w:val="20"/>
                <w:lang w:eastAsia="en-GB"/>
              </w:rPr>
            </w:pPr>
            <w:r w:rsidRPr="00FA48FA">
              <w:rPr>
                <w:rFonts w:eastAsia="Times New Roman" w:asciiTheme="majorHAnsi" w:hAnsiTheme="majorHAnsi" w:cs="Arial"/>
                <w:kern w:val="0"/>
                <w:sz w:val="20"/>
                <w:szCs w:val="20"/>
                <w:lang w:eastAsia="en-GB"/>
              </w:rPr>
              <w:t>986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FA48FA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kern w:val="0"/>
                <w:sz w:val="20"/>
                <w:szCs w:val="20"/>
                <w:lang w:eastAsia="en-GB"/>
              </w:rPr>
            </w:pPr>
            <w:r w:rsidRPr="00FA48FA">
              <w:rPr>
                <w:rFonts w:eastAsia="Times New Roman" w:asciiTheme="majorHAnsi" w:hAnsiTheme="majorHAnsi" w:cs="Arial"/>
                <w:kern w:val="0"/>
                <w:sz w:val="20"/>
                <w:szCs w:val="20"/>
                <w:lang w:eastAsia="en-GB"/>
              </w:rPr>
              <w:t>942</w:t>
            </w:r>
          </w:p>
        </w:tc>
      </w:tr>
      <w:tr w:rsidTr="000F291D">
        <w:tblPrEx>
          <w:tblW w:w="11220" w:type="dxa"/>
          <w:tblLook w:val="04A0"/>
        </w:tblPrEx>
        <w:trPr>
          <w:trHeight w:val="3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FA48FA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FA48FA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 xml:space="preserve">Number transition to over 18 estate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FA48FA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FA48FA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>406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FA48FA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FA48FA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>358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FA48FA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FA48FA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>318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FA48FA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FA48FA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>349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FA48FA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FA48FA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363 </w:t>
            </w:r>
          </w:p>
        </w:tc>
      </w:tr>
      <w:tr w:rsidTr="000F291D">
        <w:tblPrEx>
          <w:tblW w:w="11220" w:type="dxa"/>
          <w:tblLook w:val="04A0"/>
        </w:tblPrEx>
        <w:trPr>
          <w:trHeight w:val="3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FA48FA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FA48FA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 xml:space="preserve">% of population making transition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FA48FA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FA48FA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>36%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FA48FA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FA48FA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>34%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FA48FA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FA48FA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>33%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FA48FA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FA48FA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>35%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FA48FA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FA48FA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>39%</w:t>
            </w:r>
          </w:p>
        </w:tc>
      </w:tr>
    </w:tbl>
    <w:p w:rsidR="00000000" w:rsidRPr="00FA48FA" w:rsidP="00C12BAB">
      <w:pPr>
        <w:jc w:val="both"/>
        <w:rPr>
          <w:rFonts w:asciiTheme="majorHAnsi" w:hAnsiTheme="majorHAnsi"/>
        </w:rPr>
      </w:pPr>
    </w:p>
    <w:tbl>
      <w:tblPr>
        <w:tblW w:w="7920" w:type="dxa"/>
        <w:tblInd w:w="2185" w:type="dxa"/>
        <w:tblLook w:val="04A0"/>
      </w:tblPr>
      <w:tblGrid>
        <w:gridCol w:w="1320"/>
        <w:gridCol w:w="1320"/>
        <w:gridCol w:w="1320"/>
        <w:gridCol w:w="1320"/>
        <w:gridCol w:w="1320"/>
        <w:gridCol w:w="1320"/>
      </w:tblGrid>
      <w:tr w:rsidTr="001E7A66">
        <w:tblPrEx>
          <w:tblW w:w="7920" w:type="dxa"/>
          <w:tblInd w:w="2185" w:type="dxa"/>
          <w:tblLook w:val="04A0"/>
        </w:tblPrEx>
        <w:trPr>
          <w:trHeight w:val="31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1E7A66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1E7A66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2020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1E7A66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1E7A66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2021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1E7A66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1E7A66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2022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1E7A66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1E7A66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2023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1E7A66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1E7A66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1E7A66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1E7A66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2025</w:t>
            </w:r>
          </w:p>
        </w:tc>
      </w:tr>
      <w:tr w:rsidTr="001E7A66">
        <w:tblPrEx>
          <w:tblW w:w="7920" w:type="dxa"/>
          <w:tblInd w:w="2185" w:type="dxa"/>
          <w:tblLook w:val="04A0"/>
        </w:tblPrEx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1E7A66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kern w:val="0"/>
                <w:sz w:val="20"/>
                <w:szCs w:val="20"/>
                <w:lang w:eastAsia="en-GB"/>
              </w:rPr>
            </w:pPr>
            <w:r w:rsidRPr="001E7A66">
              <w:rPr>
                <w:rFonts w:eastAsia="Times New Roman" w:asciiTheme="majorHAnsi" w:hAnsiTheme="majorHAnsi" w:cs="Arial"/>
                <w:kern w:val="0"/>
                <w:sz w:val="20"/>
                <w:szCs w:val="20"/>
                <w:lang w:eastAsia="en-GB"/>
              </w:rPr>
              <w:t>855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1E7A66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kern w:val="0"/>
                <w:sz w:val="20"/>
                <w:szCs w:val="20"/>
                <w:lang w:eastAsia="en-GB"/>
              </w:rPr>
            </w:pPr>
            <w:r w:rsidRPr="001E7A66">
              <w:rPr>
                <w:rFonts w:eastAsia="Times New Roman" w:asciiTheme="majorHAnsi" w:hAnsiTheme="majorHAnsi" w:cs="Arial"/>
                <w:kern w:val="0"/>
                <w:sz w:val="20"/>
                <w:szCs w:val="20"/>
                <w:lang w:eastAsia="en-GB"/>
              </w:rPr>
              <w:t>643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1E7A66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kern w:val="0"/>
                <w:sz w:val="20"/>
                <w:szCs w:val="20"/>
                <w:lang w:eastAsia="en-GB"/>
              </w:rPr>
            </w:pPr>
            <w:r w:rsidRPr="001E7A66">
              <w:rPr>
                <w:rFonts w:eastAsia="Times New Roman" w:asciiTheme="majorHAnsi" w:hAnsiTheme="majorHAnsi" w:cs="Arial"/>
                <w:kern w:val="0"/>
                <w:sz w:val="20"/>
                <w:szCs w:val="20"/>
                <w:lang w:eastAsia="en-GB"/>
              </w:rPr>
              <w:t>522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1E7A66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kern w:val="0"/>
                <w:sz w:val="20"/>
                <w:szCs w:val="20"/>
                <w:lang w:eastAsia="en-GB"/>
              </w:rPr>
            </w:pPr>
            <w:r w:rsidRPr="001E7A66">
              <w:rPr>
                <w:rFonts w:eastAsia="Times New Roman" w:asciiTheme="majorHAnsi" w:hAnsiTheme="majorHAnsi" w:cs="Arial"/>
                <w:kern w:val="0"/>
                <w:sz w:val="20"/>
                <w:szCs w:val="20"/>
                <w:lang w:eastAsia="en-GB"/>
              </w:rPr>
              <w:t>504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1E7A66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kern w:val="0"/>
                <w:sz w:val="20"/>
                <w:szCs w:val="20"/>
                <w:lang w:eastAsia="en-GB"/>
              </w:rPr>
            </w:pPr>
            <w:r w:rsidRPr="001E7A66">
              <w:rPr>
                <w:rFonts w:eastAsia="Times New Roman" w:asciiTheme="majorHAnsi" w:hAnsiTheme="majorHAnsi" w:cs="Arial"/>
                <w:kern w:val="0"/>
                <w:sz w:val="20"/>
                <w:szCs w:val="20"/>
                <w:lang w:eastAsia="en-GB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1E7A66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kern w:val="0"/>
                <w:sz w:val="20"/>
                <w:szCs w:val="20"/>
                <w:lang w:eastAsia="en-GB"/>
              </w:rPr>
            </w:pPr>
            <w:r w:rsidRPr="001E7A66">
              <w:rPr>
                <w:rFonts w:eastAsia="Times New Roman" w:asciiTheme="majorHAnsi" w:hAnsiTheme="majorHAnsi" w:cs="Arial"/>
                <w:kern w:val="0"/>
                <w:sz w:val="20"/>
                <w:szCs w:val="20"/>
                <w:lang w:eastAsia="en-GB"/>
              </w:rPr>
              <w:t>528</w:t>
            </w:r>
          </w:p>
        </w:tc>
      </w:tr>
      <w:tr w:rsidTr="001E7A66">
        <w:tblPrEx>
          <w:tblW w:w="7920" w:type="dxa"/>
          <w:tblInd w:w="2185" w:type="dxa"/>
          <w:tblLook w:val="04A0"/>
        </w:tblPrEx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1E7A66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1E7A66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360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1E7A66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1E7A66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296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1E7A66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1E7A66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269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1E7A66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1E7A66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155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1E7A66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1E7A66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165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1E7A66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1E7A66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190 </w:t>
            </w:r>
          </w:p>
        </w:tc>
      </w:tr>
      <w:tr w:rsidTr="001E7A66">
        <w:tblPrEx>
          <w:tblW w:w="7920" w:type="dxa"/>
          <w:tblInd w:w="2185" w:type="dxa"/>
          <w:tblLook w:val="04A0"/>
        </w:tblPrEx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1E7A66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1E7A66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>42%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1E7A66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1E7A66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>46%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1E7A66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1E7A66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>52%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1E7A66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1E7A66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>31%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1E7A66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1E7A66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>28%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1E7A66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1E7A66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>38%</w:t>
            </w:r>
          </w:p>
        </w:tc>
      </w:tr>
    </w:tbl>
    <w:p w:rsidR="00000000" w:rsidRPr="00FA48FA" w:rsidP="00C12BAB">
      <w:pPr>
        <w:jc w:val="both"/>
        <w:rPr>
          <w:rFonts w:asciiTheme="majorHAnsi" w:hAnsiTheme="majorHAnsi"/>
        </w:rPr>
      </w:pPr>
    </w:p>
    <w:p w:rsidR="00000000" w:rsidRPr="00FA48FA" w:rsidP="00C12BAB">
      <w:pPr>
        <w:jc w:val="both"/>
        <w:rPr>
          <w:rFonts w:asciiTheme="majorHAnsi" w:hAnsiTheme="majorHAnsi"/>
        </w:rPr>
      </w:pPr>
      <w:r w:rsidRPr="00FA48FA">
        <w:rPr>
          <w:rFonts w:asciiTheme="majorHAnsi" w:hAnsiTheme="majorHAnsi"/>
        </w:rPr>
        <w:t xml:space="preserve">As a proportion of </w:t>
      </w:r>
      <w:r w:rsidRPr="00FA48FA">
        <w:rPr>
          <w:rFonts w:asciiTheme="majorHAnsi" w:hAnsiTheme="majorHAnsi"/>
        </w:rPr>
        <w:t xml:space="preserve">the ‘release type’ </w:t>
      </w:r>
      <w:r w:rsidRPr="00FA48FA">
        <w:rPr>
          <w:rFonts w:asciiTheme="majorHAnsi" w:hAnsiTheme="majorHAnsi"/>
        </w:rPr>
        <w:t>transitions</w:t>
      </w:r>
      <w:r w:rsidRPr="00FA48FA">
        <w:rPr>
          <w:rFonts w:asciiTheme="majorHAnsi" w:hAnsiTheme="majorHAnsi"/>
        </w:rPr>
        <w:t xml:space="preserve"> </w:t>
      </w:r>
      <w:r w:rsidRPr="00FA48FA">
        <w:rPr>
          <w:rFonts w:asciiTheme="majorHAnsi" w:hAnsiTheme="majorHAnsi"/>
        </w:rPr>
        <w:t>similarly</w:t>
      </w:r>
      <w:r w:rsidRPr="00FA48FA">
        <w:rPr>
          <w:rFonts w:asciiTheme="majorHAnsi" w:hAnsiTheme="majorHAnsi"/>
        </w:rPr>
        <w:t xml:space="preserve"> peaked 202</w:t>
      </w:r>
      <w:r w:rsidRPr="00FA48FA">
        <w:rPr>
          <w:rFonts w:asciiTheme="majorHAnsi" w:hAnsiTheme="majorHAnsi"/>
        </w:rPr>
        <w:t xml:space="preserve">1/2022 and again are slightly higher than </w:t>
      </w:r>
      <w:r w:rsidRPr="00FA48FA">
        <w:rPr>
          <w:rFonts w:asciiTheme="majorHAnsi" w:hAnsiTheme="majorHAnsi"/>
        </w:rPr>
        <w:t>ten years ago</w:t>
      </w:r>
      <w:r>
        <w:rPr>
          <w:rStyle w:val="FootnoteReference"/>
          <w:rFonts w:asciiTheme="majorHAnsi" w:hAnsiTheme="majorHAnsi"/>
        </w:rPr>
        <w:footnoteReference w:id="2"/>
      </w:r>
      <w:r w:rsidRPr="00FA48FA">
        <w:rPr>
          <w:rFonts w:asciiTheme="majorHAnsi" w:hAnsiTheme="majorHAnsi"/>
        </w:rPr>
        <w:t>:</w:t>
      </w:r>
    </w:p>
    <w:tbl>
      <w:tblPr>
        <w:tblW w:w="11320" w:type="dxa"/>
        <w:tblInd w:w="-1155" w:type="dxa"/>
        <w:tblLook w:val="04A0"/>
      </w:tblPr>
      <w:tblGrid>
        <w:gridCol w:w="4720"/>
        <w:gridCol w:w="1320"/>
        <w:gridCol w:w="1320"/>
        <w:gridCol w:w="1320"/>
        <w:gridCol w:w="1320"/>
        <w:gridCol w:w="1320"/>
      </w:tblGrid>
      <w:tr w:rsidTr="000C739F">
        <w:tblPrEx>
          <w:tblW w:w="11320" w:type="dxa"/>
          <w:tblInd w:w="-1155" w:type="dxa"/>
          <w:tblLook w:val="04A0"/>
        </w:tblPrEx>
        <w:trPr>
          <w:trHeight w:val="31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5E75B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5E75BF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 xml:space="preserve">Year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5E75B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5E75BF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2015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5E75B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5E75BF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2016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5E75B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5E75BF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2017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5E75B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5E75BF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2018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5E75B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5E75BF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2019</w:t>
            </w:r>
          </w:p>
        </w:tc>
      </w:tr>
      <w:tr w:rsidTr="000C739F">
        <w:tblPrEx>
          <w:tblW w:w="11320" w:type="dxa"/>
          <w:tblInd w:w="-1155" w:type="dxa"/>
          <w:tblLook w:val="04A0"/>
        </w:tblPrEx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5E75B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5E75BF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 xml:space="preserve">Total releases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5E75B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GB"/>
              </w:rPr>
            </w:pPr>
            <w:r w:rsidRPr="005E75BF">
              <w:rPr>
                <w:rFonts w:eastAsia="Times New Roman" w:asciiTheme="majorHAnsi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GB"/>
              </w:rPr>
              <w:t>3,192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5E75B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GB"/>
              </w:rPr>
            </w:pPr>
            <w:r w:rsidRPr="005E75BF">
              <w:rPr>
                <w:rFonts w:eastAsia="Times New Roman" w:asciiTheme="majorHAnsi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GB"/>
              </w:rPr>
              <w:t>2,730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5E75B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GB"/>
              </w:rPr>
            </w:pPr>
            <w:r w:rsidRPr="005E75BF">
              <w:rPr>
                <w:rFonts w:eastAsia="Times New Roman" w:asciiTheme="majorHAnsi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GB"/>
              </w:rPr>
              <w:t>2,347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5E75B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GB"/>
              </w:rPr>
            </w:pPr>
            <w:r w:rsidRPr="005E75BF">
              <w:rPr>
                <w:rFonts w:eastAsia="Times New Roman" w:asciiTheme="majorHAnsi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GB"/>
              </w:rPr>
              <w:t>2,232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0000" w:rsidRPr="005E75B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5E75BF">
              <w:rPr>
                <w:rFonts w:eastAsia="Times New Roman" w:asciiTheme="majorHAnsi" w:hAnsiTheme="majorHAnsi" w:cs="Arial"/>
                <w:b/>
                <w:bCs/>
                <w:kern w:val="0"/>
                <w:sz w:val="20"/>
                <w:szCs w:val="20"/>
                <w:lang w:eastAsia="en-GB"/>
              </w:rPr>
              <w:t>2,720</w:t>
            </w:r>
          </w:p>
        </w:tc>
      </w:tr>
      <w:tr w:rsidTr="000C739F">
        <w:tblPrEx>
          <w:tblW w:w="11320" w:type="dxa"/>
          <w:tblInd w:w="-1155" w:type="dxa"/>
          <w:tblLook w:val="04A0"/>
        </w:tblPrEx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5E75B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5E75BF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 xml:space="preserve">Number transition to over 18 estate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5E75B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5E75BF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>406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5E75B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5E75BF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>358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5E75B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5E75BF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>318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5E75B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5E75BF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>349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5E75B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5E75BF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363 </w:t>
            </w:r>
          </w:p>
        </w:tc>
      </w:tr>
      <w:tr w:rsidTr="000C739F">
        <w:tblPrEx>
          <w:tblW w:w="11320" w:type="dxa"/>
          <w:tblInd w:w="-1155" w:type="dxa"/>
          <w:tblLook w:val="04A0"/>
        </w:tblPrEx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5E75B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5E75BF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 xml:space="preserve">Proportion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5E75B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5E75BF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>13%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5E75B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5E75BF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>13%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5E75B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5E75BF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>14%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5E75B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5E75BF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>16%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5E75B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5E75BF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>13%</w:t>
            </w:r>
          </w:p>
        </w:tc>
      </w:tr>
    </w:tbl>
    <w:tbl>
      <w:tblPr>
        <w:tblpPr w:leftFromText="180" w:rightFromText="180" w:vertAnchor="text" w:horzAnchor="page" w:tblpX="3661" w:tblpY="128"/>
        <w:tblW w:w="7920" w:type="dxa"/>
        <w:tblLook w:val="04A0"/>
      </w:tblPr>
      <w:tblGrid>
        <w:gridCol w:w="1320"/>
        <w:gridCol w:w="1320"/>
        <w:gridCol w:w="1320"/>
        <w:gridCol w:w="1320"/>
        <w:gridCol w:w="1320"/>
        <w:gridCol w:w="1320"/>
      </w:tblGrid>
      <w:tr w:rsidTr="000C739F">
        <w:tblPrEx>
          <w:tblW w:w="7920" w:type="dxa"/>
          <w:tblLook w:val="04A0"/>
        </w:tblPrEx>
        <w:trPr>
          <w:trHeight w:val="31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0C739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0C739F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2020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0C739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0C739F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2021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0C739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0C739F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2022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0C739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0C739F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2023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0C739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0C739F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0C739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0C739F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2025</w:t>
            </w:r>
          </w:p>
        </w:tc>
      </w:tr>
      <w:tr w:rsidTr="000C739F">
        <w:tblPrEx>
          <w:tblW w:w="7920" w:type="dxa"/>
          <w:tblLook w:val="04A0"/>
        </w:tblPrEx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0000" w:rsidRPr="000C739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0C739F">
              <w:rPr>
                <w:rFonts w:eastAsia="Times New Roman" w:asciiTheme="majorHAnsi" w:hAnsiTheme="majorHAnsi" w:cs="Arial"/>
                <w:b/>
                <w:bCs/>
                <w:kern w:val="0"/>
                <w:sz w:val="20"/>
                <w:szCs w:val="20"/>
                <w:lang w:eastAsia="en-GB"/>
              </w:rPr>
              <w:t>2,421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0000" w:rsidRPr="000C739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0C739F">
              <w:rPr>
                <w:rFonts w:eastAsia="Times New Roman" w:asciiTheme="majorHAnsi" w:hAnsiTheme="majorHAnsi" w:cs="Arial"/>
                <w:b/>
                <w:bCs/>
                <w:kern w:val="0"/>
                <w:sz w:val="20"/>
                <w:szCs w:val="20"/>
                <w:lang w:eastAsia="en-GB"/>
              </w:rPr>
              <w:t>1,559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0000" w:rsidRPr="000C739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0C739F">
              <w:rPr>
                <w:rFonts w:eastAsia="Times New Roman" w:asciiTheme="majorHAnsi" w:hAnsiTheme="majorHAnsi" w:cs="Arial"/>
                <w:b/>
                <w:bCs/>
                <w:kern w:val="0"/>
                <w:sz w:val="20"/>
                <w:szCs w:val="20"/>
                <w:lang w:eastAsia="en-GB"/>
              </w:rPr>
              <w:t>1,405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0000" w:rsidRPr="000C739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0C739F">
              <w:rPr>
                <w:rFonts w:eastAsia="Times New Roman" w:asciiTheme="majorHAnsi" w:hAnsiTheme="majorHAnsi" w:cs="Arial"/>
                <w:b/>
                <w:bCs/>
                <w:kern w:val="0"/>
                <w:sz w:val="20"/>
                <w:szCs w:val="20"/>
                <w:lang w:eastAsia="en-GB"/>
              </w:rPr>
              <w:t>1,268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0000" w:rsidRPr="000C739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0C739F">
              <w:rPr>
                <w:rFonts w:eastAsia="Times New Roman" w:asciiTheme="majorHAnsi" w:hAnsiTheme="majorHAnsi" w:cs="Arial"/>
                <w:b/>
                <w:bCs/>
                <w:kern w:val="0"/>
                <w:sz w:val="20"/>
                <w:szCs w:val="20"/>
                <w:lang w:eastAsia="en-GB"/>
              </w:rPr>
              <w:t>1,427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0000" w:rsidRPr="000C739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0C739F">
              <w:rPr>
                <w:rFonts w:eastAsia="Times New Roman" w:asciiTheme="majorHAnsi" w:hAnsiTheme="majorHAnsi" w:cs="Arial"/>
                <w:b/>
                <w:bCs/>
                <w:kern w:val="0"/>
                <w:sz w:val="20"/>
                <w:szCs w:val="20"/>
                <w:lang w:eastAsia="en-GB"/>
              </w:rPr>
              <w:t>1,354</w:t>
            </w:r>
          </w:p>
        </w:tc>
      </w:tr>
      <w:tr w:rsidTr="000C739F">
        <w:tblPrEx>
          <w:tblW w:w="7920" w:type="dxa"/>
          <w:tblLook w:val="04A0"/>
        </w:tblPrEx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0C739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0C739F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360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0C739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0C739F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296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0C739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0C739F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269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0C739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0C739F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155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0C739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0C739F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165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0C739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0C739F">
              <w:rPr>
                <w:rFonts w:eastAsia="Times New Roman"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190 </w:t>
            </w:r>
          </w:p>
        </w:tc>
      </w:tr>
      <w:tr w:rsidTr="000C739F">
        <w:tblPrEx>
          <w:tblW w:w="7920" w:type="dxa"/>
          <w:tblLook w:val="04A0"/>
        </w:tblPrEx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0C739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0C739F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>15%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0C739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0C739F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>19%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0C739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0C739F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>19%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0C739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0C739F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>12%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0C739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0C739F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>12%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00" w:rsidRPr="000C739F" w:rsidP="00C12BAB">
            <w:pPr>
              <w:spacing w:after="0" w:line="240" w:lineRule="auto"/>
              <w:jc w:val="both"/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</w:pPr>
            <w:r w:rsidRPr="000C739F">
              <w:rPr>
                <w:rFonts w:eastAsia="Times New Roman" w:asciiTheme="majorHAnsi" w:hAnsiTheme="majorHAnsi" w:cs="Times New Roman"/>
                <w:color w:val="000000"/>
                <w:kern w:val="0"/>
                <w:sz w:val="24"/>
                <w:szCs w:val="24"/>
                <w:lang w:eastAsia="en-GB"/>
              </w:rPr>
              <w:t>14%</w:t>
            </w:r>
          </w:p>
        </w:tc>
      </w:tr>
    </w:tbl>
    <w:p w:rsidR="00000000" w:rsidP="00C12BAB">
      <w:pPr>
        <w:jc w:val="both"/>
      </w:pPr>
    </w:p>
    <w:p w:rsidR="00000000" w:rsidP="00C12BAB">
      <w:pPr>
        <w:jc w:val="both"/>
      </w:pPr>
    </w:p>
    <w:p w:rsidR="00000000" w:rsidP="00C12BAB">
      <w:pPr>
        <w:jc w:val="both"/>
      </w:pPr>
    </w:p>
    <w:p w:rsidR="00000000" w:rsidP="00C12BAB">
      <w:pPr>
        <w:jc w:val="both"/>
      </w:pPr>
    </w:p>
    <w:p w:rsidR="00000000" w:rsidP="00C12BAB">
      <w:pPr>
        <w:jc w:val="both"/>
      </w:pPr>
      <w:r>
        <w:t xml:space="preserve">This shows us that </w:t>
      </w:r>
      <w:r>
        <w:t xml:space="preserve">despite the reduction of children and young people within </w:t>
      </w:r>
      <w:r>
        <w:t xml:space="preserve">youth custody, the proportion of those transitioning remains </w:t>
      </w:r>
      <w:r>
        <w:t xml:space="preserve">stable and in need of </w:t>
      </w:r>
      <w:r>
        <w:t xml:space="preserve">great attention. There is an emerging literature base regarding the </w:t>
      </w:r>
      <w:r>
        <w:t xml:space="preserve">distinct vulnerability of young adults, how this is a formative stage of the life course with distinct needs alike that of children but distinctly different as they seek to transition to </w:t>
      </w:r>
      <w:r>
        <w:t xml:space="preserve">adulthood (see </w:t>
      </w:r>
      <w:r>
        <w:fldChar w:fldCharType="begin"/>
      </w:r>
      <w:r>
        <w:instrText xml:space="preserve"> HYPERLINK "https://t2a.org.uk/" </w:instrText>
      </w:r>
      <w:r>
        <w:fldChar w:fldCharType="separate"/>
      </w:r>
      <w:r w:rsidRPr="002E4479">
        <w:rPr>
          <w:rStyle w:val="Hyperlink"/>
        </w:rPr>
        <w:t>https://t2a.org.uk/</w:t>
      </w:r>
      <w:r>
        <w:fldChar w:fldCharType="end"/>
      </w:r>
      <w:r>
        <w:t xml:space="preserve">).  </w:t>
      </w:r>
      <w:r>
        <w:t>This has led in</w:t>
      </w:r>
      <w:r w:rsidRPr="00697C57">
        <w:rPr>
          <w:rFonts w:cstheme="minorHAnsi"/>
          <w:color w:val="212121"/>
        </w:rPr>
        <w:t xml:space="preserve"> England and Wales there have been calls for a definition of young adulthood and a distinct approach within the CJS for those aged 18 to 24 years (Harris, 2015; House of Commons Justice Committee, 2018a; HM Inspectorate of Prisons, 2021).</w:t>
      </w:r>
    </w:p>
    <w:p w:rsidR="00000000" w:rsidRPr="00A0517A" w:rsidP="00C12BAB">
      <w:pPr>
        <w:jc w:val="both"/>
        <w:rPr>
          <w:b/>
          <w:bCs/>
        </w:rPr>
      </w:pPr>
      <w:r w:rsidRPr="00A0517A">
        <w:rPr>
          <w:b/>
          <w:bCs/>
        </w:rPr>
        <w:t>16. How effective is the planning and support for the transition of young people (aged 18+) into the adult prison system and are their complex needs adequately transferred and maintained?</w:t>
      </w:r>
    </w:p>
    <w:p w:rsidR="00000000" w:rsidP="00C12BAB">
      <w:pPr>
        <w:jc w:val="both"/>
        <w:rPr>
          <w:rFonts w:cstheme="minorHAnsi"/>
        </w:rPr>
      </w:pPr>
      <w:r>
        <w:t>In terms of planning,</w:t>
      </w:r>
      <w:r>
        <w:t xml:space="preserve"> my research has found a range of issues for children and young people </w:t>
      </w:r>
      <w:r>
        <w:t xml:space="preserve">owing to a distinct gap in policy and practice. </w:t>
      </w:r>
      <w:r w:rsidRPr="0067180D">
        <w:t>Although the</w:t>
      </w:r>
      <w:r>
        <w:t xml:space="preserve"> children and</w:t>
      </w:r>
      <w:r w:rsidRPr="0067180D">
        <w:t xml:space="preserve"> young people felt ready to move and progress through the system, they </w:t>
      </w:r>
      <w:r>
        <w:t xml:space="preserve">had little information and involvement through the transition and thus felt </w:t>
      </w:r>
      <w:r w:rsidRPr="0067180D">
        <w:t>unprepared.</w:t>
      </w:r>
      <w:r>
        <w:t xml:space="preserve"> Follow-up interviews with the same cohort post-transition revealed that</w:t>
      </w:r>
      <w:r w:rsidRPr="0067180D">
        <w:t xml:space="preserve"> the support </w:t>
      </w:r>
      <w:r>
        <w:t>they</w:t>
      </w:r>
      <w:r w:rsidRPr="0067180D">
        <w:t xml:space="preserve"> required post-transition was not available</w:t>
      </w:r>
      <w:r>
        <w:t xml:space="preserve"> </w:t>
      </w:r>
      <w:r>
        <w:t>(Price, 2019</w:t>
      </w:r>
      <w:r>
        <w:t>, 2020</w:t>
      </w:r>
      <w:r>
        <w:t>)</w:t>
      </w:r>
      <w:r>
        <w:t>.</w:t>
      </w:r>
      <w:r>
        <w:t xml:space="preserve"> Transitions guidance (YJB, 2021; MoJ and HMPPS, 2022) </w:t>
      </w:r>
      <w:r>
        <w:t xml:space="preserve">recognises the importance of individual planning </w:t>
      </w:r>
      <w:r>
        <w:rPr>
          <w:rFonts w:cstheme="minorHAnsi"/>
        </w:rPr>
        <w:t xml:space="preserve">which </w:t>
      </w:r>
      <w:r w:rsidRPr="00697C57">
        <w:rPr>
          <w:rFonts w:cstheme="minorHAnsi"/>
          <w:color w:val="333333"/>
          <w:shd w:val="clear" w:color="auto" w:fill="FFFFFF"/>
        </w:rPr>
        <w:t xml:space="preserve">is intended to take place from point of entry with preparation of placement three months in advance of transfer, and post-transition review three months after formal handover. Institutional placements should be determined on a case-by-case basis </w:t>
      </w:r>
      <w:r w:rsidRPr="00697C57">
        <w:rPr>
          <w:rFonts w:cstheme="minorHAnsi"/>
        </w:rPr>
        <w:t>by a centrally co-ordinated Transitions Board</w:t>
      </w:r>
      <w:r>
        <w:rPr>
          <w:rFonts w:cstheme="minorHAnsi"/>
        </w:rPr>
        <w:t xml:space="preserve">. </w:t>
      </w:r>
      <w:r>
        <w:rPr>
          <w:rFonts w:cstheme="minorHAnsi"/>
        </w:rPr>
        <w:t>There remains a lack of information and clari</w:t>
      </w:r>
      <w:r>
        <w:rPr>
          <w:rFonts w:cstheme="minorHAnsi"/>
        </w:rPr>
        <w:t>ty for children and young people about when they will transition (Alliance for Youth Justice, 2025)</w:t>
      </w:r>
      <w:r>
        <w:rPr>
          <w:rFonts w:cstheme="minorHAnsi"/>
        </w:rPr>
        <w:t xml:space="preserve">. </w:t>
      </w:r>
      <w:r>
        <w:rPr>
          <w:rFonts w:cstheme="minorHAnsi"/>
        </w:rPr>
        <w:t xml:space="preserve"> </w:t>
      </w:r>
    </w:p>
    <w:p w:rsidR="00000000" w:rsidP="00C12BAB">
      <w:pPr>
        <w:jc w:val="both"/>
      </w:pPr>
      <w:r>
        <w:rPr>
          <w:rFonts w:cstheme="minorHAnsi"/>
        </w:rPr>
        <w:t xml:space="preserve">The distinct needs of children and young people that are recognised within the YJS and responded to by the child-first approach of recognising strengths and potential (YJB, 2019) translate into the young adult </w:t>
      </w:r>
      <w:r>
        <w:rPr>
          <w:rFonts w:cstheme="minorHAnsi"/>
        </w:rPr>
        <w:t xml:space="preserve">estate, but the support does not transition over. The shift in child to adult custody is premised on risk with AssetPlus and OASys taking distinctly different approaches. </w:t>
      </w:r>
      <w:r>
        <w:rPr>
          <w:rFonts w:cstheme="minorHAnsi"/>
        </w:rPr>
        <w:t>The focus moves from welfare to control, security and risk (Price &amp; Truner, 2021)</w:t>
      </w:r>
      <w:r>
        <w:rPr>
          <w:rFonts w:cstheme="minorHAnsi"/>
        </w:rPr>
        <w:t xml:space="preserve"> and the distinct shift in approach between institutions and services means that </w:t>
      </w:r>
      <w:r>
        <w:rPr>
          <w:rFonts w:cstheme="minorHAnsi"/>
        </w:rPr>
        <w:t>transitions</w:t>
      </w:r>
      <w:r>
        <w:rPr>
          <w:rFonts w:cstheme="minorHAnsi"/>
        </w:rPr>
        <w:t xml:space="preserve"> are distorted and hazardous (Goldson, 2019)</w:t>
      </w:r>
      <w:r>
        <w:rPr>
          <w:rFonts w:cstheme="minorHAnsi"/>
        </w:rPr>
        <w:t xml:space="preserve">.  </w:t>
      </w:r>
    </w:p>
    <w:p w:rsidR="00000000" w:rsidRPr="006A1C85" w:rsidP="00C12BAB">
      <w:pPr>
        <w:jc w:val="both"/>
        <w:rPr>
          <w:b/>
          <w:bCs/>
        </w:rPr>
      </w:pPr>
      <w:r w:rsidRPr="006A1C85">
        <w:rPr>
          <w:b/>
          <w:bCs/>
        </w:rPr>
        <w:t>17. To what extent should support for young adults (18-25) in custody be determined by their developmental needs rather than age?</w:t>
      </w:r>
    </w:p>
    <w:p w:rsidR="00000000" w:rsidRPr="009143F2" w:rsidP="009143F2">
      <w:pPr>
        <w:spacing w:line="360" w:lineRule="auto"/>
        <w:jc w:val="both"/>
        <w:rPr>
          <w:rFonts w:cstheme="minorHAnsi"/>
        </w:rPr>
      </w:pPr>
      <w:r>
        <w:t xml:space="preserve">Recent data also shows that the </w:t>
      </w:r>
      <w:r>
        <w:t xml:space="preserve">number of those aged 18 years and over </w:t>
      </w:r>
      <w:r>
        <w:t xml:space="preserve">is raising </w:t>
      </w:r>
      <w:r>
        <w:t>significantly</w:t>
      </w:r>
      <w:r>
        <w:t xml:space="preserve">, representing 21% of the custody population </w:t>
      </w:r>
      <w:r>
        <w:t xml:space="preserve">in March 2025, compared to 9% in March 2015 (YJB, 2026). Whilst this demonstrates a retention of children and young </w:t>
      </w:r>
      <w:r>
        <w:t xml:space="preserve">people within youth custody </w:t>
      </w:r>
      <w:r>
        <w:t xml:space="preserve">holding young adults within child custody is appropriate for both populations, as explored in detail by </w:t>
      </w:r>
      <w:r>
        <w:t>the Alliance for Youth Justice (2025)</w:t>
      </w:r>
      <w:r>
        <w:t xml:space="preserve"> who highlight how </w:t>
      </w:r>
      <w:r w:rsidRPr="00371D54">
        <w:rPr>
          <w:rFonts w:cstheme="minorHAnsi"/>
        </w:rPr>
        <w:t xml:space="preserve">young adults have no or limited access to work, vocational, educational and constructive activities more appropriate for their age. </w:t>
      </w:r>
      <w:r>
        <w:rPr>
          <w:rFonts w:cstheme="minorHAnsi"/>
        </w:rPr>
        <w:t xml:space="preserve">Whilst HMPPS have applied more consideration to maturity towards young adults within prison, </w:t>
      </w:r>
      <w:r>
        <w:rPr>
          <w:rFonts w:cstheme="minorHAnsi"/>
        </w:rPr>
        <w:t xml:space="preserve">such an approach focuses upon deficits </w:t>
      </w:r>
      <w:r>
        <w:rPr>
          <w:rFonts w:cstheme="minorHAnsi"/>
        </w:rPr>
        <w:t xml:space="preserve">and its absence to the detriment of young adult </w:t>
      </w:r>
      <w:r>
        <w:rPr>
          <w:rFonts w:cstheme="minorHAnsi"/>
        </w:rPr>
        <w:t xml:space="preserve">sense of identity (see Coyle, 2019) in direct contrast with the strengths-based focus of the child-first approach. </w:t>
      </w:r>
    </w:p>
    <w:p w:rsidR="00000000" w:rsidRPr="00A0517A" w:rsidP="00C12BAB">
      <w:pPr>
        <w:jc w:val="both"/>
        <w:rPr>
          <w:b/>
          <w:bCs/>
        </w:rPr>
      </w:pPr>
      <w:r w:rsidRPr="00A0517A">
        <w:rPr>
          <w:b/>
          <w:bCs/>
        </w:rPr>
        <w:t>18. In what ways does treating offenders aged 18-25 as a separate cohort improve outcomes compared to their inclusion in the general adult prison population?</w:t>
      </w:r>
    </w:p>
    <w:p w:rsidR="00000000" w:rsidP="00C12BAB">
      <w:pPr>
        <w:jc w:val="both"/>
        <w:rPr>
          <w:rFonts w:cstheme="minorHAnsi"/>
          <w:color w:val="212121"/>
        </w:rPr>
      </w:pPr>
      <w:r>
        <w:t xml:space="preserve">There is limited focus upon young adults within the adult criminal justice system. </w:t>
      </w:r>
      <w:r>
        <w:rPr>
          <w:rFonts w:cstheme="minorHAnsi"/>
          <w:color w:val="212121"/>
        </w:rPr>
        <w:t>O</w:t>
      </w:r>
      <w:r w:rsidRPr="00697C57">
        <w:rPr>
          <w:rFonts w:cstheme="minorHAnsi"/>
          <w:color w:val="212121"/>
        </w:rPr>
        <w:t>fficial statistics and categorisation relating to young adults is often limited to ages 18-20 years</w:t>
      </w:r>
      <w:r>
        <w:rPr>
          <w:rFonts w:cstheme="minorHAnsi"/>
          <w:color w:val="212121"/>
        </w:rPr>
        <w:t xml:space="preserve"> which undermines wider literature which calls for a definition of young adulthood to extend up to age 24 years.</w:t>
      </w:r>
      <w:r>
        <w:rPr>
          <w:rFonts w:cstheme="minorHAnsi"/>
          <w:color w:val="212121"/>
        </w:rPr>
        <w:t xml:space="preserve"> We therefore have an unclear picture of young adults within data.</w:t>
      </w:r>
    </w:p>
    <w:p w:rsidR="00000000" w:rsidRPr="00806096" w:rsidP="00C12BAB">
      <w:pPr>
        <w:jc w:val="both"/>
        <w:rPr>
          <w:rFonts w:cstheme="minorHAnsi"/>
          <w:color w:val="212121"/>
        </w:rPr>
      </w:pPr>
      <w:r>
        <w:rPr>
          <w:rFonts w:cstheme="minorHAnsi"/>
          <w:color w:val="212121"/>
        </w:rPr>
        <w:t xml:space="preserve">Young adults have differing educational, employment, vocational </w:t>
      </w:r>
      <w:r>
        <w:rPr>
          <w:rFonts w:cstheme="minorHAnsi"/>
          <w:color w:val="212121"/>
        </w:rPr>
        <w:t>needs to adults. They are undergoing a key</w:t>
      </w:r>
      <w:r>
        <w:rPr>
          <w:rFonts w:cstheme="minorHAnsi"/>
          <w:color w:val="212121"/>
        </w:rPr>
        <w:t xml:space="preserve"> social and developmental</w:t>
      </w:r>
      <w:r>
        <w:rPr>
          <w:rFonts w:cstheme="minorHAnsi"/>
          <w:color w:val="212121"/>
        </w:rPr>
        <w:t xml:space="preserve"> life-stage transition between dependence and independence as they move from child to adult.</w:t>
      </w:r>
      <w:r>
        <w:rPr>
          <w:rFonts w:cstheme="minorHAnsi"/>
          <w:color w:val="212121"/>
        </w:rPr>
        <w:t xml:space="preserve"> A recent </w:t>
      </w:r>
      <w:r>
        <w:rPr>
          <w:rFonts w:cstheme="minorHAnsi"/>
          <w:color w:val="212121"/>
        </w:rPr>
        <w:t xml:space="preserve">pilot project within Newsham probation demonstrates how taking a developmentally appropriate approach can support young </w:t>
      </w:r>
      <w:r>
        <w:rPr>
          <w:rFonts w:cstheme="minorHAnsi"/>
          <w:color w:val="212121"/>
        </w:rPr>
        <w:t>adults’</w:t>
      </w:r>
      <w:r>
        <w:rPr>
          <w:rFonts w:cstheme="minorHAnsi"/>
          <w:color w:val="212121"/>
        </w:rPr>
        <w:t xml:space="preserve"> </w:t>
      </w:r>
      <w:r>
        <w:rPr>
          <w:rFonts w:cstheme="minorHAnsi"/>
          <w:color w:val="212121"/>
        </w:rPr>
        <w:t xml:space="preserve">distinct needs </w:t>
      </w:r>
      <w:r>
        <w:rPr>
          <w:rFonts w:cstheme="minorHAnsi"/>
          <w:color w:val="212121"/>
        </w:rPr>
        <w:t>which are not met within the mainstream adult population</w:t>
      </w:r>
      <w:r>
        <w:rPr>
          <w:rFonts w:cstheme="minorHAnsi"/>
          <w:color w:val="212121"/>
        </w:rPr>
        <w:t xml:space="preserve"> </w:t>
      </w:r>
      <w:r>
        <w:rPr>
          <w:rFonts w:cstheme="minorHAnsi"/>
          <w:color w:val="212121"/>
        </w:rPr>
        <w:t>(Phillips et al., 2024</w:t>
      </w:r>
      <w:r>
        <w:rPr>
          <w:rFonts w:cstheme="minorHAnsi"/>
          <w:color w:val="212121"/>
        </w:rPr>
        <w:t>; 2025</w:t>
      </w:r>
      <w:r>
        <w:rPr>
          <w:rFonts w:cstheme="minorHAnsi"/>
          <w:color w:val="212121"/>
        </w:rPr>
        <w:t>).</w:t>
      </w:r>
      <w:r>
        <w:rPr>
          <w:rFonts w:cstheme="minorHAnsi"/>
          <w:color w:val="212121"/>
        </w:rPr>
        <w:t xml:space="preserve"> This can improve outcomes for education and employment which are lacking otherwise. </w:t>
      </w:r>
      <w:r>
        <w:rPr>
          <w:rFonts w:cstheme="minorHAnsi"/>
          <w:color w:val="212121"/>
        </w:rPr>
        <w:t>The pro-social approach to child-first is applicable to young adults but</w:t>
      </w:r>
      <w:r>
        <w:rPr>
          <w:rFonts w:cstheme="minorHAnsi"/>
          <w:color w:val="212121"/>
        </w:rPr>
        <w:t xml:space="preserve"> must not infantilise them. </w:t>
      </w:r>
      <w:r>
        <w:rPr>
          <w:rFonts w:cstheme="minorHAnsi"/>
          <w:color w:val="212121"/>
        </w:rPr>
        <w:t>Therefore,</w:t>
      </w:r>
      <w:r>
        <w:rPr>
          <w:rFonts w:cstheme="minorHAnsi"/>
          <w:color w:val="212121"/>
        </w:rPr>
        <w:t xml:space="preserve"> a distinct approach, which recognises them as developmentally different from both children and adults is important for this distinct life-course stage.</w:t>
      </w:r>
      <w:r w:rsidRPr="006141CB">
        <w:rPr>
          <w:rFonts w:cstheme="minorHAnsi"/>
          <w:color w:val="212121"/>
        </w:rPr>
        <w:t xml:space="preserve"> </w:t>
      </w:r>
      <w:r>
        <w:rPr>
          <w:rFonts w:cstheme="minorHAnsi"/>
          <w:color w:val="212121"/>
        </w:rPr>
        <w:t>There is a lack of specific strategy for young adult women who move from STCs into adult prisons (</w:t>
      </w:r>
      <w:r w:rsidRPr="00697C57">
        <w:rPr>
          <w:rFonts w:cstheme="minorHAnsi"/>
          <w:color w:val="212121"/>
        </w:rPr>
        <w:t xml:space="preserve">Harris </w:t>
      </w:r>
      <w:r>
        <w:rPr>
          <w:rFonts w:cstheme="minorHAnsi"/>
          <w:color w:val="212121"/>
        </w:rPr>
        <w:t xml:space="preserve">&amp; </w:t>
      </w:r>
      <w:r w:rsidRPr="00697C57">
        <w:rPr>
          <w:rFonts w:cstheme="minorHAnsi"/>
          <w:color w:val="212121"/>
        </w:rPr>
        <w:t>Goodfellow with Bridge, 2021).</w:t>
      </w:r>
    </w:p>
    <w:p w:rsidR="00000000" w:rsidP="00C12BAB">
      <w:pPr>
        <w:jc w:val="both"/>
        <w:rPr>
          <w:b/>
          <w:bCs/>
        </w:rPr>
      </w:pPr>
      <w:r w:rsidRPr="00A0517A">
        <w:rPr>
          <w:b/>
          <w:bCs/>
        </w:rPr>
        <w:t>19. To what extent is the current adult prison population environment suitable for addressing the welfare, safety and rehabilitative needs of young adults (18-25)?</w:t>
      </w:r>
    </w:p>
    <w:p w:rsidR="00000000" w:rsidP="00C12BAB">
      <w:pPr>
        <w:jc w:val="both"/>
        <w:rPr>
          <w:rFonts w:cstheme="minorHAnsi"/>
          <w:color w:val="212121"/>
        </w:rPr>
      </w:pPr>
      <w:r>
        <w:rPr>
          <w:rFonts w:cstheme="minorHAnsi"/>
          <w:color w:val="212121"/>
        </w:rPr>
        <w:t xml:space="preserve">HMI Prisons (2021) have </w:t>
      </w:r>
      <w:r>
        <w:rPr>
          <w:rFonts w:cstheme="minorHAnsi"/>
          <w:color w:val="212121"/>
        </w:rPr>
        <w:t xml:space="preserve">evidenced the numerous harms experienced by young adults </w:t>
      </w:r>
      <w:r>
        <w:rPr>
          <w:rFonts w:cstheme="minorHAnsi"/>
          <w:color w:val="212121"/>
        </w:rPr>
        <w:t xml:space="preserve">across </w:t>
      </w:r>
      <w:r>
        <w:rPr>
          <w:rFonts w:cstheme="minorHAnsi"/>
          <w:color w:val="212121"/>
        </w:rPr>
        <w:t xml:space="preserve">day-to-day life, </w:t>
      </w:r>
      <w:r>
        <w:rPr>
          <w:rFonts w:cstheme="minorHAnsi"/>
          <w:color w:val="212121"/>
        </w:rPr>
        <w:t xml:space="preserve">relationships with staff, motivation within behaviour management schemes, involvement in violent </w:t>
      </w:r>
      <w:r>
        <w:rPr>
          <w:rFonts w:cstheme="minorHAnsi"/>
          <w:color w:val="212121"/>
        </w:rPr>
        <w:t xml:space="preserve">incidents and adjudications. They highlight how this is worse for the </w:t>
      </w:r>
      <w:r>
        <w:rPr>
          <w:rFonts w:cstheme="minorHAnsi"/>
          <w:color w:val="212121"/>
        </w:rPr>
        <w:t xml:space="preserve">overrepresented Black population. </w:t>
      </w:r>
      <w:r>
        <w:rPr>
          <w:rFonts w:cstheme="minorHAnsi"/>
          <w:color w:val="212121"/>
        </w:rPr>
        <w:t xml:space="preserve">Upon moving between institutions, young adults experience a distinct shift </w:t>
      </w:r>
      <w:r>
        <w:rPr>
          <w:rFonts w:cstheme="minorHAnsi"/>
          <w:color w:val="212121"/>
        </w:rPr>
        <w:t>in treatment and expectations and thus outcomes.</w:t>
      </w:r>
      <w:r>
        <w:rPr>
          <w:rFonts w:cstheme="minorHAnsi"/>
          <w:color w:val="212121"/>
        </w:rPr>
        <w:t xml:space="preserve"> They become absorbed within an adult population with</w:t>
      </w:r>
      <w:r>
        <w:rPr>
          <w:rFonts w:cstheme="minorHAnsi"/>
          <w:color w:val="212121"/>
        </w:rPr>
        <w:t xml:space="preserve"> much fewer staff which results in a decline of </w:t>
      </w:r>
      <w:r>
        <w:rPr>
          <w:rFonts w:cstheme="minorHAnsi"/>
          <w:color w:val="212121"/>
        </w:rPr>
        <w:t>individualised</w:t>
      </w:r>
      <w:r>
        <w:rPr>
          <w:rFonts w:cstheme="minorHAnsi"/>
          <w:color w:val="212121"/>
        </w:rPr>
        <w:t xml:space="preserve"> </w:t>
      </w:r>
      <w:r>
        <w:rPr>
          <w:rFonts w:cstheme="minorHAnsi"/>
          <w:color w:val="212121"/>
        </w:rPr>
        <w:t>care and support that can be offered</w:t>
      </w:r>
      <w:r>
        <w:rPr>
          <w:rFonts w:cstheme="minorHAnsi"/>
          <w:color w:val="212121"/>
        </w:rPr>
        <w:t xml:space="preserve"> (</w:t>
      </w:r>
      <w:r>
        <w:rPr>
          <w:rFonts w:cstheme="minorHAnsi"/>
          <w:color w:val="212121"/>
        </w:rPr>
        <w:t xml:space="preserve">see </w:t>
      </w:r>
      <w:r>
        <w:rPr>
          <w:rFonts w:cstheme="minorHAnsi"/>
          <w:color w:val="212121"/>
        </w:rPr>
        <w:t xml:space="preserve">Price, 2020). </w:t>
      </w:r>
      <w:r>
        <w:rPr>
          <w:rFonts w:cstheme="minorHAnsi"/>
          <w:color w:val="212121"/>
        </w:rPr>
        <w:t xml:space="preserve">This can be detrimental to development and well-being. One of the most concerning shifts in treatment is the shift from </w:t>
      </w:r>
      <w:r>
        <w:rPr>
          <w:rFonts w:cstheme="minorHAnsi"/>
          <w:color w:val="212121"/>
        </w:rPr>
        <w:t>minimising and managing physical restraint (MMPR)</w:t>
      </w:r>
      <w:r>
        <w:rPr>
          <w:rFonts w:cstheme="minorHAnsi"/>
          <w:color w:val="212121"/>
        </w:rPr>
        <w:t xml:space="preserve"> to control and restraint. </w:t>
      </w:r>
      <w:r>
        <w:rPr>
          <w:rFonts w:cstheme="minorHAnsi"/>
          <w:color w:val="212121"/>
        </w:rPr>
        <w:t>MMPR is intended to place emphasis on staff relationships and deescalation</w:t>
      </w:r>
      <w:r>
        <w:rPr>
          <w:rFonts w:cstheme="minorHAnsi"/>
          <w:color w:val="212121"/>
        </w:rPr>
        <w:t xml:space="preserve">, control and restraint is </w:t>
      </w:r>
      <w:r>
        <w:rPr>
          <w:rFonts w:cstheme="minorHAnsi"/>
          <w:color w:val="212121"/>
        </w:rPr>
        <w:t xml:space="preserve">as the title suggests – premised more so on control and the use of force. </w:t>
      </w:r>
      <w:r>
        <w:rPr>
          <w:rFonts w:cstheme="minorHAnsi"/>
          <w:color w:val="212121"/>
        </w:rPr>
        <w:t xml:space="preserve">This can re-traumatise a vulnerable population who are more </w:t>
      </w:r>
      <w:r>
        <w:rPr>
          <w:rFonts w:cstheme="minorHAnsi"/>
          <w:color w:val="212121"/>
        </w:rPr>
        <w:t>likely</w:t>
      </w:r>
      <w:r>
        <w:rPr>
          <w:rFonts w:cstheme="minorHAnsi"/>
          <w:color w:val="212121"/>
        </w:rPr>
        <w:t xml:space="preserve"> to have a history of adverse childhood </w:t>
      </w:r>
      <w:r>
        <w:rPr>
          <w:rFonts w:cstheme="minorHAnsi"/>
          <w:color w:val="212121"/>
        </w:rPr>
        <w:t xml:space="preserve">experiences, exacerbate violence within an institution </w:t>
      </w:r>
      <w:r>
        <w:rPr>
          <w:rFonts w:cstheme="minorHAnsi"/>
          <w:color w:val="212121"/>
        </w:rPr>
        <w:t>and is detrimental to already lacking relationships with staff</w:t>
      </w:r>
      <w:r>
        <w:rPr>
          <w:rFonts w:cstheme="minorHAnsi"/>
          <w:color w:val="212121"/>
        </w:rPr>
        <w:t>. This comes at the point of transition where a number of supportive services are also lost</w:t>
      </w:r>
      <w:r>
        <w:rPr>
          <w:rFonts w:cstheme="minorHAnsi"/>
          <w:color w:val="212121"/>
        </w:rPr>
        <w:t xml:space="preserve"> </w:t>
      </w:r>
      <w:r>
        <w:rPr>
          <w:rFonts w:cstheme="minorHAnsi"/>
          <w:color w:val="212121"/>
        </w:rPr>
        <w:t xml:space="preserve">(see Price, 2021). </w:t>
      </w:r>
    </w:p>
    <w:p w:rsidR="00000000" w:rsidRPr="00B30388" w:rsidP="00C12BAB">
      <w:pPr>
        <w:jc w:val="both"/>
        <w:rPr>
          <w:rFonts w:cstheme="minorHAnsi"/>
          <w:color w:val="212121"/>
        </w:rPr>
      </w:pPr>
    </w:p>
    <w:p w:rsidR="00000000" w:rsidP="00C12BAB">
      <w:pPr>
        <w:pStyle w:val="Heading2"/>
        <w:jc w:val="both"/>
      </w:pPr>
      <w:r>
        <w:t>Reference list:</w:t>
      </w:r>
    </w:p>
    <w:p w:rsidR="00000000" w:rsidRPr="006A1C85" w:rsidP="00C12BAB">
      <w:pPr>
        <w:jc w:val="both"/>
      </w:pPr>
      <w:r>
        <w:t xml:space="preserve">Alliance for youth justice (2025) </w:t>
      </w:r>
      <w:r>
        <w:rPr>
          <w:i/>
          <w:iCs/>
        </w:rPr>
        <w:t xml:space="preserve">Adultifying youth custody: learning lessons on transition to adulthood from the use of youth custody for young adults. </w:t>
      </w:r>
      <w:r>
        <w:fldChar w:fldCharType="begin"/>
      </w:r>
      <w:r>
        <w:instrText xml:space="preserve"> HYPERLINK "https://static1.squarespace.com/static/5f75bfbbfb67fc5ab41154d6/t/67990b6ff22fd560cb274c08/1738083192482/AYJ-Adultifying-Youth-Custody+FINAL.pdf" </w:instrText>
      </w:r>
      <w:r>
        <w:fldChar w:fldCharType="separate"/>
      </w:r>
      <w:r w:rsidRPr="006A1C85">
        <w:rPr>
          <w:rStyle w:val="Hyperlink"/>
        </w:rPr>
        <w:t>https://static1.squarespace.com/static/5f75bfbbfb67fc5ab41154d6/t/67990b6ff22fd560cb274c08/1738083192482/AYJ-Adultifying-Youth-Custody+FINAL.pdf</w:t>
      </w:r>
      <w:r>
        <w:fldChar w:fldCharType="end"/>
      </w:r>
      <w:r>
        <w:rPr>
          <w:i/>
          <w:iCs/>
        </w:rPr>
        <w:t xml:space="preserve"> </w:t>
      </w:r>
    </w:p>
    <w:p w:rsidR="00000000" w:rsidRPr="00697C57" w:rsidP="00C12BAB">
      <w:pPr>
        <w:spacing w:line="360" w:lineRule="auto"/>
        <w:jc w:val="both"/>
        <w:rPr>
          <w:rFonts w:cstheme="minorHAnsi"/>
        </w:rPr>
      </w:pPr>
      <w:r w:rsidRPr="00697C57">
        <w:rPr>
          <w:rFonts w:cstheme="minorHAnsi"/>
        </w:rPr>
        <w:t xml:space="preserve">Goldson B (2019) Reading the present and mapping the future(s) of juvenile justice in Europe: complexities and challenges. In Goldson B (ed) </w:t>
      </w:r>
      <w:r w:rsidRPr="00697C57">
        <w:rPr>
          <w:rFonts w:cstheme="minorHAnsi"/>
          <w:i/>
        </w:rPr>
        <w:t xml:space="preserve">Juvenile Justice in Europe: Past, Present and Future </w:t>
      </w:r>
      <w:r w:rsidRPr="00697C57">
        <w:rPr>
          <w:rFonts w:cstheme="minorHAnsi"/>
          <w:iCs/>
        </w:rPr>
        <w:t>(pp. 209-253)</w:t>
      </w:r>
      <w:r w:rsidRPr="00697C57">
        <w:rPr>
          <w:rFonts w:cstheme="minorHAnsi"/>
          <w:i/>
        </w:rPr>
        <w:t xml:space="preserve"> </w:t>
      </w:r>
      <w:r w:rsidRPr="00697C57">
        <w:rPr>
          <w:rFonts w:cstheme="minorHAnsi"/>
        </w:rPr>
        <w:t xml:space="preserve">Routledge </w:t>
      </w:r>
    </w:p>
    <w:p w:rsidR="00000000" w:rsidP="00C12BAB">
      <w:pPr>
        <w:jc w:val="both"/>
      </w:pPr>
      <w:r w:rsidRPr="00697C57">
        <w:rPr>
          <w:rFonts w:cstheme="minorHAnsi"/>
        </w:rPr>
        <w:t xml:space="preserve">Harris T (2015) </w:t>
      </w:r>
      <w:r w:rsidRPr="00697C57">
        <w:rPr>
          <w:rFonts w:cstheme="minorHAnsi"/>
          <w:i/>
        </w:rPr>
        <w:t>Changing prisons, saving lives: Report of the independent review into self-inflicted deaths in custody of 18–24-year-olds,</w:t>
      </w:r>
      <w:r w:rsidRPr="00697C57">
        <w:rPr>
          <w:rFonts w:cstheme="minorHAnsi"/>
        </w:rPr>
        <w:t xml:space="preserve"> (Cm 9087). London: Home Office. </w:t>
      </w:r>
      <w:r>
        <w:fldChar w:fldCharType="begin"/>
      </w:r>
      <w:r>
        <w:instrText xml:space="preserve"> HYPERLINK "https://www.gov.uk/government/uploads/system/uploads/attachment_data/file/439859/moj-harris-review-web-accessible.pdf" </w:instrText>
      </w:r>
      <w:r>
        <w:fldChar w:fldCharType="separate"/>
      </w:r>
      <w:r w:rsidRPr="00697C57">
        <w:rPr>
          <w:rStyle w:val="Hyperlink"/>
          <w:rFonts w:cstheme="minorHAnsi"/>
        </w:rPr>
        <w:t>https://www.gov.uk/government/uploads/system/uploads/attachment_data/file/439859/moj-harris-review-web-accessible.pdf</w:t>
      </w:r>
      <w:r>
        <w:fldChar w:fldCharType="end"/>
      </w:r>
    </w:p>
    <w:p w:rsidR="00000000" w:rsidRPr="00697C57" w:rsidP="00024C1C">
      <w:pPr>
        <w:spacing w:line="360" w:lineRule="auto"/>
        <w:jc w:val="both"/>
        <w:rPr>
          <w:rFonts w:cstheme="minorHAnsi"/>
          <w:color w:val="212121"/>
        </w:rPr>
      </w:pPr>
      <w:r w:rsidRPr="00697C57">
        <w:rPr>
          <w:rFonts w:cstheme="minorHAnsi"/>
          <w:color w:val="212121"/>
        </w:rPr>
        <w:t xml:space="preserve">Harris M and Goodfellow P with Bridge M (2021) </w:t>
      </w:r>
      <w:r w:rsidRPr="00697C57">
        <w:rPr>
          <w:rFonts w:cstheme="minorHAnsi"/>
          <w:i/>
          <w:iCs/>
          <w:color w:val="212121"/>
        </w:rPr>
        <w:t xml:space="preserve">Young women’s justice project briefing. Falling through the gaps: Young women transitioning to the adult justice system. </w:t>
      </w:r>
      <w:r w:rsidRPr="00697C57">
        <w:rPr>
          <w:rFonts w:cstheme="minorHAnsi"/>
          <w:color w:val="212121"/>
        </w:rPr>
        <w:t xml:space="preserve">Agenda and Alliance for Youth Justice. </w:t>
      </w:r>
      <w:r>
        <w:fldChar w:fldCharType="begin"/>
      </w:r>
      <w:r>
        <w:instrText xml:space="preserve"> HYPERLINK "https://weareagenda.org/wp-content/uploads/2021/04/Falling-through-the-gaps-YWJP-transitions-briefing-paper.pdf" </w:instrText>
      </w:r>
      <w:r>
        <w:fldChar w:fldCharType="separate"/>
      </w:r>
      <w:r w:rsidRPr="00697C57">
        <w:rPr>
          <w:rStyle w:val="Hyperlink"/>
          <w:rFonts w:cstheme="minorHAnsi"/>
        </w:rPr>
        <w:t>https://weareagenda.org/wp-content/uploads/2021/04/Falling-through-the-gaps-YWJP-transitions-briefing-paper.pdf</w:t>
      </w:r>
      <w:r>
        <w:fldChar w:fldCharType="end"/>
      </w:r>
      <w:r w:rsidRPr="00697C57">
        <w:rPr>
          <w:rFonts w:cstheme="minorHAnsi"/>
        </w:rPr>
        <w:t xml:space="preserve"> </w:t>
      </w:r>
    </w:p>
    <w:p w:rsidR="00000000" w:rsidRPr="007A6ECE" w:rsidP="00C12BAB">
      <w:pPr>
        <w:spacing w:line="360" w:lineRule="auto"/>
        <w:jc w:val="both"/>
        <w:rPr>
          <w:rFonts w:cstheme="minorHAnsi"/>
        </w:rPr>
      </w:pPr>
      <w:r w:rsidRPr="00697C57">
        <w:rPr>
          <w:rFonts w:cstheme="minorHAnsi"/>
          <w:color w:val="212121"/>
        </w:rPr>
        <w:t>HM Inspectorate of Prisons (2021) </w:t>
      </w:r>
      <w:r w:rsidRPr="00697C57">
        <w:rPr>
          <w:rFonts w:cstheme="minorHAnsi"/>
          <w:i/>
          <w:iCs/>
          <w:color w:val="212121"/>
        </w:rPr>
        <w:t>Outcomes for young adults in custody. </w:t>
      </w:r>
      <w:r w:rsidRPr="00697C57">
        <w:rPr>
          <w:rFonts w:cstheme="minorHAnsi"/>
          <w:color w:val="212121"/>
        </w:rPr>
        <w:t xml:space="preserve"> </w:t>
      </w:r>
      <w:r>
        <w:fldChar w:fldCharType="begin"/>
      </w:r>
      <w:r>
        <w:instrText xml:space="preserve"> HYPERLINK "https://hmiprisons.justiceinspectorates.gov.uk/hmipris_reports/outcomes-for-young-adults-in-custody/" </w:instrText>
      </w:r>
      <w:r>
        <w:fldChar w:fldCharType="separate"/>
      </w:r>
      <w:r w:rsidRPr="00325A37">
        <w:rPr>
          <w:rStyle w:val="Hyperlink"/>
        </w:rPr>
        <w:t>https://hmiprisons.justiceinspectorates.gov.uk/hmipris_reports/outcomes-for-young-adults-in-custody/</w:t>
      </w:r>
      <w:r>
        <w:fldChar w:fldCharType="end"/>
      </w:r>
      <w:r>
        <w:t xml:space="preserve"> </w:t>
      </w:r>
    </w:p>
    <w:p w:rsidR="00000000" w:rsidRPr="00697C57" w:rsidP="00C12BAB">
      <w:pPr>
        <w:spacing w:line="360" w:lineRule="auto"/>
        <w:jc w:val="both"/>
        <w:rPr>
          <w:rFonts w:cstheme="minorHAnsi"/>
        </w:rPr>
      </w:pPr>
      <w:r w:rsidRPr="00697C57">
        <w:rPr>
          <w:rFonts w:cstheme="minorHAnsi"/>
          <w:bCs/>
        </w:rPr>
        <w:t xml:space="preserve">House of Commons Justice Committee (2018) </w:t>
      </w:r>
      <w:r w:rsidRPr="00697C57">
        <w:rPr>
          <w:rFonts w:cstheme="minorHAnsi"/>
          <w:bCs/>
          <w:i/>
        </w:rPr>
        <w:t xml:space="preserve">Young adults in the CJS </w:t>
      </w:r>
      <w:r w:rsidRPr="00697C57">
        <w:rPr>
          <w:rFonts w:cstheme="minorHAnsi"/>
          <w:bCs/>
        </w:rPr>
        <w:t xml:space="preserve">(HC 419) </w:t>
      </w:r>
      <w:r>
        <w:fldChar w:fldCharType="begin"/>
      </w:r>
      <w:r>
        <w:instrText xml:space="preserve"> HYPERLINK "https://publications.parliament.uk/pa/cm201719/cmselect/cmjust/419/419.pdf" </w:instrText>
      </w:r>
      <w:r>
        <w:fldChar w:fldCharType="separate"/>
      </w:r>
      <w:r w:rsidRPr="00697C57">
        <w:rPr>
          <w:rStyle w:val="Hyperlink"/>
          <w:rFonts w:cstheme="minorHAnsi"/>
          <w:bCs/>
        </w:rPr>
        <w:t>https://publications.parliament.uk/pa/cm201719/cmselect/cmjust/419/419.pdf</w:t>
      </w:r>
      <w:r>
        <w:fldChar w:fldCharType="end"/>
      </w:r>
      <w:r w:rsidRPr="00697C57">
        <w:rPr>
          <w:rFonts w:cstheme="minorHAnsi"/>
        </w:rPr>
        <w:t xml:space="preserve"> </w:t>
      </w:r>
    </w:p>
    <w:p w:rsidR="00000000" w:rsidP="00C12BAB">
      <w:pPr>
        <w:jc w:val="both"/>
      </w:pPr>
      <w:r>
        <w:t xml:space="preserve">MoJ and HMPPS (2022) </w:t>
      </w:r>
      <w:r w:rsidRPr="000C2B4A">
        <w:rPr>
          <w:i/>
          <w:iCs/>
        </w:rPr>
        <w:t xml:space="preserve">Transition of Young People from the Children and Young People Secure Estate to Adult Custody Policy Framework </w:t>
      </w:r>
      <w:r>
        <w:fldChar w:fldCharType="begin"/>
      </w:r>
      <w:r>
        <w:instrText xml:space="preserve"> HYPERLINK "https://assets.publishing.service.gov.uk/media/624c49edd3bf7f32aa54d7a8/2022-04-04_YCS_Transitions_PF.pdf" </w:instrText>
      </w:r>
      <w:r>
        <w:fldChar w:fldCharType="separate"/>
      </w:r>
      <w:r w:rsidRPr="002E4479">
        <w:rPr>
          <w:rStyle w:val="Hyperlink"/>
        </w:rPr>
        <w:t>https://assets.publishing.service.gov.uk/media/624c49edd3bf7f32aa54d7a8/2022-04-04_YCS_Transitions_PF.pdf</w:t>
      </w:r>
      <w:r>
        <w:fldChar w:fldCharType="end"/>
      </w:r>
      <w:r>
        <w:t xml:space="preserve"> </w:t>
      </w:r>
    </w:p>
    <w:p w:rsidR="00000000" w:rsidP="00C12BAB">
      <w:pPr>
        <w:jc w:val="both"/>
      </w:pPr>
      <w:r>
        <w:rPr>
          <w:rFonts w:cstheme="minorHAnsi"/>
          <w:color w:val="333333"/>
          <w:shd w:val="clear" w:color="auto" w:fill="FFFFFF"/>
        </w:rPr>
        <w:t xml:space="preserve">Phillips, J. Ward, J., Albertson, K., Cracknell, M., Duke, K., Foweler, K. and Riley, L. (2024) </w:t>
      </w:r>
      <w:r w:rsidRPr="00FE0842">
        <w:rPr>
          <w:rFonts w:cstheme="minorHAnsi"/>
          <w:color w:val="333333"/>
          <w:shd w:val="clear" w:color="auto" w:fill="FFFFFF"/>
        </w:rPr>
        <w:t>Evaluating the implementation of a</w:t>
      </w:r>
      <w:r>
        <w:rPr>
          <w:rFonts w:cstheme="minorHAnsi"/>
          <w:color w:val="333333"/>
          <w:shd w:val="clear" w:color="auto" w:fill="FFFFFF"/>
        </w:rPr>
        <w:t xml:space="preserve"> </w:t>
      </w:r>
      <w:r w:rsidRPr="00FE0842">
        <w:rPr>
          <w:rFonts w:cstheme="minorHAnsi"/>
          <w:color w:val="333333"/>
          <w:shd w:val="clear" w:color="auto" w:fill="FFFFFF"/>
        </w:rPr>
        <w:t>specialist youth to adulthood transitions</w:t>
      </w:r>
      <w:r>
        <w:rPr>
          <w:rFonts w:cstheme="minorHAnsi"/>
          <w:color w:val="333333"/>
          <w:shd w:val="clear" w:color="auto" w:fill="FFFFFF"/>
        </w:rPr>
        <w:t xml:space="preserve"> s</w:t>
      </w:r>
      <w:r w:rsidRPr="00FE0842">
        <w:rPr>
          <w:rFonts w:cstheme="minorHAnsi"/>
          <w:color w:val="333333"/>
          <w:shd w:val="clear" w:color="auto" w:fill="FFFFFF"/>
        </w:rPr>
        <w:t>ervice in probation</w:t>
      </w:r>
      <w:r>
        <w:rPr>
          <w:rFonts w:cstheme="minorHAnsi"/>
          <w:color w:val="333333"/>
          <w:shd w:val="clear" w:color="auto" w:fill="FFFFFF"/>
        </w:rPr>
        <w:t xml:space="preserve">. </w:t>
      </w:r>
      <w:r>
        <w:rPr>
          <w:rFonts w:cstheme="minorHAnsi"/>
          <w:i/>
          <w:iCs/>
          <w:color w:val="333333"/>
          <w:shd w:val="clear" w:color="auto" w:fill="FFFFFF"/>
        </w:rPr>
        <w:t xml:space="preserve">Ministry of Justice Analytical Series. </w:t>
      </w:r>
      <w:r>
        <w:fldChar w:fldCharType="begin"/>
      </w:r>
      <w:r>
        <w:instrText xml:space="preserve"> HYPERLINK "https://assets.publishing.service.gov.uk/media/66d830f5dbffedc7eb44d1c0/y2a-hub-process-evaluation.pdf" </w:instrText>
      </w:r>
      <w:r>
        <w:fldChar w:fldCharType="separate"/>
      </w:r>
      <w:r w:rsidRPr="00486CAC">
        <w:rPr>
          <w:rStyle w:val="Hyperlink"/>
          <w:rFonts w:cstheme="minorHAnsi"/>
          <w:i/>
          <w:iCs/>
          <w:shd w:val="clear" w:color="auto" w:fill="FFFFFF"/>
        </w:rPr>
        <w:t>https://assets.publishing.service.gov.uk/media/66d830f5dbffedc7eb44d1c0/y2a-hub-process-evaluation.pdf</w:t>
      </w:r>
      <w:r>
        <w:fldChar w:fldCharType="end"/>
      </w:r>
    </w:p>
    <w:p w:rsidR="00000000" w:rsidP="00C12BAB">
      <w:pPr>
        <w:jc w:val="both"/>
      </w:pPr>
      <w:r w:rsidRPr="008B6E55">
        <w:t xml:space="preserve">Phillips, J., Riley, L., Ward, J., Albertson, K., Cracknell, M., Duke, K., &amp; Fowler, A. (2025). Developing and Defining ‘Young Adult First’ Probation Practice. Youth Justice, 0(0). </w:t>
      </w:r>
      <w:r>
        <w:fldChar w:fldCharType="begin"/>
      </w:r>
      <w:r>
        <w:instrText xml:space="preserve"> HYPERLINK "https://doi.org/10.1177/14732254251394895" </w:instrText>
      </w:r>
      <w:r>
        <w:fldChar w:fldCharType="separate"/>
      </w:r>
      <w:r w:rsidRPr="007B7E2E">
        <w:rPr>
          <w:rStyle w:val="Hyperlink"/>
        </w:rPr>
        <w:t>https://doi.org/10.1177/14732254251394895</w:t>
      </w:r>
      <w:r>
        <w:fldChar w:fldCharType="end"/>
      </w:r>
    </w:p>
    <w:p w:rsidR="00000000" w:rsidRPr="005436C1" w:rsidP="00C12BAB">
      <w:pPr>
        <w:jc w:val="both"/>
        <w:rPr>
          <w:i/>
          <w:iCs/>
        </w:rPr>
      </w:pPr>
      <w:r>
        <w:t xml:space="preserve">Price, J (2019) </w:t>
      </w:r>
      <w:r w:rsidRPr="00E70207">
        <w:rPr>
          <w:i/>
          <w:iCs/>
        </w:rPr>
        <w:t>Exploring Pathways and Transitions between Juvenile and Adult Penal Institutions</w:t>
      </w:r>
      <w:r>
        <w:t xml:space="preserve"> [PhD thesis] University of Liverpool. </w:t>
      </w:r>
      <w:r>
        <w:fldChar w:fldCharType="begin"/>
      </w:r>
      <w:r>
        <w:instrText xml:space="preserve"> HYPERLINK "https://livrepository.liverpool.ac.uk/3055099/1/200592284_May2019.pdf" </w:instrText>
      </w:r>
      <w:r>
        <w:fldChar w:fldCharType="separate"/>
      </w:r>
      <w:r w:rsidRPr="002E4479">
        <w:rPr>
          <w:rStyle w:val="Hyperlink"/>
        </w:rPr>
        <w:t>https://livrepository.liverpool.ac.uk/3055099/1/200592284_May2019.pdf</w:t>
      </w:r>
      <w:r>
        <w:fldChar w:fldCharType="end"/>
      </w:r>
      <w:r>
        <w:t xml:space="preserve"> </w:t>
      </w:r>
    </w:p>
    <w:p w:rsidR="00000000" w:rsidRPr="00697C57" w:rsidP="00C12BAB">
      <w:pPr>
        <w:spacing w:line="360" w:lineRule="auto"/>
        <w:jc w:val="both"/>
        <w:rPr>
          <w:rFonts w:cstheme="minorHAnsi"/>
        </w:rPr>
      </w:pPr>
      <w:r w:rsidRPr="00697C57">
        <w:rPr>
          <w:rFonts w:cstheme="minorHAnsi"/>
        </w:rPr>
        <w:t xml:space="preserve">Price J (2020) </w:t>
      </w:r>
      <w:r w:rsidRPr="00697C57">
        <w:rPr>
          <w:rFonts w:cstheme="minorHAnsi"/>
          <w:color w:val="555555"/>
          <w:shd w:val="clear" w:color="auto" w:fill="FFFFFF"/>
        </w:rPr>
        <w:t xml:space="preserve">The experience of young people transitioning between youth offending services to probation services. </w:t>
      </w:r>
      <w:r w:rsidRPr="00697C57">
        <w:rPr>
          <w:rFonts w:cstheme="minorHAnsi"/>
          <w:i/>
          <w:iCs/>
          <w:color w:val="555555"/>
          <w:shd w:val="clear" w:color="auto" w:fill="FFFFFF"/>
        </w:rPr>
        <w:t xml:space="preserve">Probation Journal </w:t>
      </w:r>
      <w:r w:rsidRPr="00697C57">
        <w:rPr>
          <w:rFonts w:cstheme="minorHAnsi"/>
          <w:color w:val="555555"/>
          <w:shd w:val="clear" w:color="auto" w:fill="FFFFFF"/>
        </w:rPr>
        <w:t xml:space="preserve">67(3): 246-263. </w:t>
      </w:r>
    </w:p>
    <w:p w:rsidR="00000000" w:rsidRPr="00697C57" w:rsidP="00017B44">
      <w:pPr>
        <w:spacing w:line="360" w:lineRule="auto"/>
        <w:jc w:val="both"/>
        <w:rPr>
          <w:rFonts w:eastAsiaTheme="minorEastAsia" w:cstheme="minorHAnsi"/>
          <w:noProof/>
          <w:color w:val="000000"/>
        </w:rPr>
      </w:pPr>
      <w:r w:rsidRPr="00697C57">
        <w:rPr>
          <w:rFonts w:eastAsiaTheme="minorEastAsia" w:cstheme="minorHAnsi"/>
          <w:noProof/>
          <w:color w:val="333333"/>
          <w:shd w:val="clear" w:color="auto" w:fill="FFFFFF"/>
        </w:rPr>
        <w:t>Price J (2021) </w:t>
      </w:r>
      <w:r w:rsidRPr="00697C57">
        <w:rPr>
          <w:rFonts w:eastAsiaTheme="minorEastAsia" w:cstheme="minorHAnsi"/>
          <w:noProof/>
          <w:color w:val="000000"/>
        </w:rPr>
        <w:t>Violence, Control and Restraint: The Harms to Young Adults Particularly Upon Transition, </w:t>
      </w:r>
      <w:r w:rsidRPr="00697C57">
        <w:rPr>
          <w:rFonts w:eastAsiaTheme="minorEastAsia" w:cstheme="minorHAnsi"/>
          <w:i/>
          <w:iCs/>
          <w:noProof/>
          <w:color w:val="000000"/>
        </w:rPr>
        <w:t xml:space="preserve">The Howard Journal of Crime and Justice, </w:t>
      </w:r>
      <w:r w:rsidRPr="00697C57">
        <w:rPr>
          <w:rFonts w:eastAsiaTheme="minorEastAsia" w:cstheme="minorHAnsi"/>
          <w:noProof/>
          <w:color w:val="000000"/>
        </w:rPr>
        <w:t>60(4): 511-528</w:t>
      </w:r>
    </w:p>
    <w:p w:rsidR="00000000" w:rsidRPr="00697C57" w:rsidP="00C12BAB">
      <w:pPr>
        <w:spacing w:line="360" w:lineRule="auto"/>
        <w:jc w:val="both"/>
        <w:rPr>
          <w:rFonts w:cstheme="minorHAnsi"/>
          <w:color w:val="006DB4"/>
          <w:u w:val="single"/>
        </w:rPr>
      </w:pPr>
      <w:r w:rsidRPr="00697C57">
        <w:rPr>
          <w:rStyle w:val="authors"/>
          <w:rFonts w:cstheme="minorHAnsi"/>
          <w:color w:val="333333"/>
          <w:shd w:val="clear" w:color="auto" w:fill="FFFFFF"/>
        </w:rPr>
        <w:t>Price J and Turner J</w:t>
      </w:r>
      <w:r w:rsidRPr="00697C57">
        <w:rPr>
          <w:rFonts w:cstheme="minorHAnsi"/>
          <w:color w:val="333333"/>
          <w:shd w:val="clear" w:color="auto" w:fill="FFFFFF"/>
        </w:rPr>
        <w:t> </w:t>
      </w:r>
      <w:r w:rsidRPr="002B38DC">
        <w:rPr>
          <w:rStyle w:val="Hyperlink"/>
          <w:rFonts w:cstheme="minorHAnsi"/>
          <w:color w:val="333333"/>
          <w:u w:val="none"/>
          <w:shd w:val="clear" w:color="auto" w:fill="FFFFFF"/>
        </w:rPr>
        <w:t>(2021)</w:t>
      </w:r>
      <w:r w:rsidRPr="00697C57">
        <w:rPr>
          <w:rFonts w:cstheme="minorHAnsi"/>
          <w:color w:val="333333"/>
          <w:shd w:val="clear" w:color="auto" w:fill="FFFFFF"/>
        </w:rPr>
        <w:t> </w:t>
      </w:r>
      <w:r w:rsidRPr="00697C57">
        <w:rPr>
          <w:rStyle w:val="arttitle"/>
          <w:rFonts w:cstheme="minorHAnsi"/>
          <w:color w:val="333333"/>
          <w:shd w:val="clear" w:color="auto" w:fill="FFFFFF"/>
        </w:rPr>
        <w:t>(Custodial) spaces to grow? Adolescent development during custodial transitions,</w:t>
      </w:r>
      <w:r w:rsidRPr="00697C57">
        <w:rPr>
          <w:rFonts w:cstheme="minorHAnsi"/>
          <w:color w:val="333333"/>
          <w:shd w:val="clear" w:color="auto" w:fill="FFFFFF"/>
        </w:rPr>
        <w:t> </w:t>
      </w:r>
      <w:r w:rsidRPr="00697C57">
        <w:rPr>
          <w:rStyle w:val="serialtitle"/>
          <w:rFonts w:cstheme="minorHAnsi"/>
          <w:i/>
          <w:iCs/>
          <w:color w:val="333333"/>
          <w:shd w:val="clear" w:color="auto" w:fill="FFFFFF"/>
        </w:rPr>
        <w:t>Journal of Youth Studies</w:t>
      </w:r>
      <w:r w:rsidRPr="00697C57">
        <w:rPr>
          <w:rStyle w:val="serialtitle"/>
          <w:rFonts w:cstheme="minorHAnsi"/>
          <w:color w:val="333333"/>
          <w:shd w:val="clear" w:color="auto" w:fill="FFFFFF"/>
        </w:rPr>
        <w:t xml:space="preserve">, 25(2): 225-241 </w:t>
      </w:r>
    </w:p>
    <w:p w:rsidR="00000000" w:rsidP="00C12BAB">
      <w:pPr>
        <w:jc w:val="both"/>
      </w:pPr>
      <w:r w:rsidRPr="00383C32">
        <w:t xml:space="preserve">Youth Justice Board (2019) Standards for children in the YJS.  </w:t>
      </w:r>
      <w:r>
        <w:fldChar w:fldCharType="begin"/>
      </w:r>
      <w:r>
        <w:instrText xml:space="preserve"> HYPERLINK "https://assets.publishing.service.gov.uk/government/uploads/system/uploads/attachment_data/file/957697/Standards_for_children_in_youth_justice_services_2019.doc.pdf" </w:instrText>
      </w:r>
      <w:r>
        <w:fldChar w:fldCharType="separate"/>
      </w:r>
      <w:r w:rsidRPr="002E4479">
        <w:rPr>
          <w:rStyle w:val="Hyperlink"/>
        </w:rPr>
        <w:t>https://assets.publishing.service.gov.uk/government/uploads/system/uploads/attachment_data/file/957697/Standards_for_children_in_youth_justice_services_2019.doc.pdf</w:t>
      </w:r>
      <w:r>
        <w:fldChar w:fldCharType="end"/>
      </w:r>
    </w:p>
    <w:p w:rsidR="00000000" w:rsidRPr="002A216E" w:rsidP="00C12BAB">
      <w:pPr>
        <w:jc w:val="both"/>
        <w:rPr>
          <w:i/>
          <w:iCs/>
        </w:rPr>
      </w:pPr>
      <w:r>
        <w:t xml:space="preserve">Youth Justice </w:t>
      </w:r>
      <w:r>
        <w:t>Board (</w:t>
      </w:r>
      <w:r>
        <w:t xml:space="preserve">2020) </w:t>
      </w:r>
      <w:r>
        <w:rPr>
          <w:i/>
          <w:iCs/>
        </w:rPr>
        <w:t>Youth justice statistics 201</w:t>
      </w:r>
      <w:r>
        <w:rPr>
          <w:i/>
          <w:iCs/>
        </w:rPr>
        <w:t>8</w:t>
      </w:r>
      <w:r>
        <w:rPr>
          <w:i/>
          <w:iCs/>
        </w:rPr>
        <w:t>-</w:t>
      </w:r>
      <w:r>
        <w:rPr>
          <w:i/>
          <w:iCs/>
        </w:rPr>
        <w:t>19</w:t>
      </w:r>
      <w:r>
        <w:rPr>
          <w:i/>
          <w:iCs/>
        </w:rPr>
        <w:t>:</w:t>
      </w:r>
      <w:r w:rsidRPr="002A216E">
        <w:rPr>
          <w:i/>
          <w:iCs/>
        </w:rPr>
        <w:t xml:space="preserve"> </w:t>
      </w:r>
      <w:r>
        <w:rPr>
          <w:i/>
          <w:iCs/>
        </w:rPr>
        <w:t xml:space="preserve">supplementary tables: 7 children in youth custody </w:t>
      </w:r>
      <w:r>
        <w:fldChar w:fldCharType="begin"/>
      </w:r>
      <w:r>
        <w:instrText xml:space="preserve"> HYPERLINK "https://www.gov.uk/government/statistics/youth-justice-statistics-2018-to-2019" </w:instrText>
      </w:r>
      <w:r>
        <w:fldChar w:fldCharType="separate"/>
      </w:r>
      <w:r w:rsidRPr="007E4E03">
        <w:rPr>
          <w:rStyle w:val="Hyperlink"/>
        </w:rPr>
        <w:t>https://www.gov.uk/government/statistics/youth-justice-statistics-2018-to-2019</w:t>
      </w:r>
      <w:r>
        <w:fldChar w:fldCharType="end"/>
      </w:r>
      <w:r w:rsidRPr="007E4E03">
        <w:t xml:space="preserve"> </w:t>
      </w:r>
    </w:p>
    <w:p w:rsidR="00000000" w:rsidP="00C12BAB">
      <w:pPr>
        <w:jc w:val="both"/>
      </w:pPr>
      <w:r w:rsidRPr="00BF5C35">
        <w:t xml:space="preserve">Youth Justice Board (2021) Joint National Protocol for Transitions in England. </w:t>
      </w:r>
      <w:r>
        <w:fldChar w:fldCharType="begin"/>
      </w:r>
      <w:r>
        <w:instrText xml:space="preserve"> HYPERLINK "https://assets.publishing.service.gov.uk/government/uploads/system/uploads/attachment_data/file/995933/joint-national-protocol-transitions-june-21.pdf" </w:instrText>
      </w:r>
      <w:r>
        <w:fldChar w:fldCharType="separate"/>
      </w:r>
      <w:r w:rsidRPr="002E4479">
        <w:rPr>
          <w:rStyle w:val="Hyperlink"/>
        </w:rPr>
        <w:t>https://assets.publishing.service.gov.uk/government/uploads/system/uploads/attachment_data/file/995933/joint-national-protocol-transitions-june-21.pdf</w:t>
      </w:r>
      <w:r>
        <w:fldChar w:fldCharType="end"/>
      </w:r>
    </w:p>
    <w:p w:rsidR="00000000" w:rsidRPr="003865E1" w:rsidP="00C12BAB">
      <w:pPr>
        <w:jc w:val="both"/>
      </w:pPr>
      <w:r>
        <w:t xml:space="preserve">Youth Justice Board (2026) </w:t>
      </w:r>
      <w:r>
        <w:rPr>
          <w:i/>
          <w:iCs/>
        </w:rPr>
        <w:t>Youth justice statistics 2024-25 supplementary tables: 7 children in youth custody.</w:t>
      </w:r>
      <w:r w:rsidRPr="00D40BA6">
        <w:t xml:space="preserve"> </w:t>
      </w:r>
      <w:r>
        <w:fldChar w:fldCharType="begin"/>
      </w:r>
      <w:r>
        <w:instrText xml:space="preserve"> HYPERLINK "https://www.gov.uk/government/statistics/youth-justice-statistics-2024-to-2025" </w:instrText>
      </w:r>
      <w:r>
        <w:fldChar w:fldCharType="separate"/>
      </w:r>
      <w:r w:rsidRPr="00D40BA6">
        <w:rPr>
          <w:rStyle w:val="Hyperlink"/>
        </w:rPr>
        <w:t>https://www.gov.uk/government/statistics/youth-justice-statistics-2024-to-2025</w:t>
      </w:r>
      <w:r>
        <w:fldChar w:fldCharType="end"/>
      </w:r>
      <w:r w:rsidRPr="00D40BA6">
        <w:t xml:space="preserve"> </w:t>
      </w:r>
    </w:p>
    <w:p w:rsidR="00000000" w:rsidP="00C12BAB">
      <w:pPr>
        <w:jc w:val="both"/>
      </w:pPr>
    </w:p>
    <w:p w:rsidR="00000000" w:rsidP="00C12BAB">
      <w:pPr>
        <w:jc w:val="both"/>
      </w:pPr>
    </w:p>
    <w:p w:rsidR="008E0F0C" w:rsidRPr="008E0F0C" w:rsidP="00C12BAB">
      <w:pPr>
        <w:jc w:val="both"/>
        <w:rPr>
          <w:i/>
          <w:iCs/>
          <w:sz w:val="24"/>
          <w:szCs w:val="24"/>
        </w:rPr>
      </w:pPr>
      <w:r w:rsidRPr="008E0F0C">
        <w:rPr>
          <w:i/>
          <w:iCs/>
          <w:sz w:val="24"/>
          <w:szCs w:val="24"/>
        </w:rPr>
        <w:t>March 2026</w:t>
      </w:r>
    </w:p>
    <w:sectPr>
      <w:headerReference w:type="default" r:id="rId5"/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67595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0F0C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0F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92601" w:rsidP="009B1FC9">
      <w:pPr>
        <w:spacing w:after="0" w:line="240" w:lineRule="auto"/>
      </w:pPr>
      <w:r>
        <w:separator/>
      </w:r>
    </w:p>
  </w:footnote>
  <w:footnote w:type="continuationSeparator" w:id="1">
    <w:p w:rsidR="00392601" w:rsidP="009B1FC9">
      <w:pPr>
        <w:spacing w:after="0" w:line="240" w:lineRule="auto"/>
      </w:pPr>
      <w:r>
        <w:continuationSeparator/>
      </w:r>
    </w:p>
  </w:footnote>
  <w:footnote w:id="2">
    <w:p w:rsidR="00000000" w:rsidP="00085A66">
      <w:pPr>
        <w:jc w:val="both"/>
      </w:pPr>
      <w:r>
        <w:rPr>
          <w:rStyle w:val="FootnoteReference"/>
        </w:rPr>
        <w:footnoteRef/>
      </w:r>
      <w:r>
        <w:t xml:space="preserve"> Please note that data published within the </w:t>
      </w:r>
      <w:r>
        <w:t xml:space="preserve">2018/19 </w:t>
      </w:r>
      <w:r>
        <w:t>statistics</w:t>
      </w:r>
      <w:r>
        <w:t xml:space="preserve"> bulletin do not contain ‘change of legal </w:t>
      </w:r>
      <w:r>
        <w:t>basis’</w:t>
      </w:r>
      <w:r>
        <w:t xml:space="preserve"> numbers and the 2019 </w:t>
      </w:r>
      <w:r>
        <w:t xml:space="preserve">‘release type total’ </w:t>
      </w:r>
      <w:r>
        <w:t>figure differ</w:t>
      </w:r>
      <w:r>
        <w:t xml:space="preserve">s across the YJB 2020 and YJB 2026 publication. </w:t>
      </w:r>
      <w:r>
        <w:t xml:space="preserve">The 2019 figure presented here is taken from YJB 2026 published data. </w:t>
      </w:r>
      <w:r>
        <w:t xml:space="preserve">I sought clarity on this matter and was advised that </w:t>
      </w:r>
      <w:r w:rsidRPr="00A76B64">
        <w:t>figures published in the 2018-2019 Youth Justice Statistics were correct estimates at the time of publication but</w:t>
      </w:r>
      <w:r>
        <w:t xml:space="preserve"> have been subject to </w:t>
      </w:r>
      <w:r w:rsidRPr="00A76B64">
        <w:t xml:space="preserve">later revision </w:t>
      </w:r>
      <w:r>
        <w:t>demonstrating a more comp</w:t>
      </w:r>
      <w:r>
        <w:t xml:space="preserve">lete picture. </w:t>
      </w:r>
      <w:r w:rsidRPr="00A76B64">
        <w:t>For these reasons, release type and legal basis end-type data are not fully comparable across years, and caution should be used when attempting to reconcile figures between publications. Legal basis end-type data in its current form cannot be consistently reproduced for earlier years (such as 2015), as the necessary classifications were not systematically recorded at that time.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0F0C" w:rsidRPr="008E0F0C">
    <w:pPr>
      <w:pStyle w:val="Header"/>
      <w:rPr>
        <w:b/>
        <w:bCs/>
        <w:sz w:val="24"/>
        <w:szCs w:val="24"/>
        <w:u w:val="single"/>
      </w:rPr>
    </w:pPr>
    <w:r w:rsidRPr="008E0F0C">
      <w:rPr>
        <w:b/>
        <w:bCs/>
        <w:sz w:val="24"/>
        <w:szCs w:val="24"/>
        <w:u w:val="single"/>
      </w:rPr>
      <w:t>CYA0003 – Dr Jayne Price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1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1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1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91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5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5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5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5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5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0BA6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0BA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F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F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FC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F5C35"/>
    <w:rPr>
      <w:color w:val="96607D" w:themeColor="followedHyperlink"/>
      <w:u w:val="single"/>
    </w:rPr>
  </w:style>
  <w:style w:type="character" w:customStyle="1" w:styleId="authors">
    <w:name w:val="authors"/>
    <w:basedOn w:val="DefaultParagraphFont"/>
    <w:rsid w:val="00C2315D"/>
  </w:style>
  <w:style w:type="character" w:customStyle="1" w:styleId="arttitle">
    <w:name w:val="art_title"/>
    <w:basedOn w:val="DefaultParagraphFont"/>
    <w:rsid w:val="00C2315D"/>
  </w:style>
  <w:style w:type="character" w:customStyle="1" w:styleId="serialtitle">
    <w:name w:val="serial_title"/>
    <w:basedOn w:val="DefaultParagraphFont"/>
    <w:rsid w:val="00C2315D"/>
  </w:style>
  <w:style w:type="paragraph" w:styleId="Header">
    <w:name w:val="header"/>
    <w:basedOn w:val="Normal"/>
    <w:link w:val="HeaderChar"/>
    <w:uiPriority w:val="99"/>
    <w:unhideWhenUsed/>
    <w:rsid w:val="008E0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F0C"/>
  </w:style>
  <w:style w:type="paragraph" w:styleId="Footer">
    <w:name w:val="footer"/>
    <w:basedOn w:val="Normal"/>
    <w:link w:val="FooterChar"/>
    <w:uiPriority w:val="99"/>
    <w:unhideWhenUsed/>
    <w:rsid w:val="008E0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8f77787-5df4-43b6-a2a8-8d8b678a318b}" enabled="1" method="Standard" siteId="{1ce6dd9e-b337-4088-be5e-8dbbec04b34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Written evidence - CYA0003</dc:title>
  <cp:revision>0</cp:revision>
</cp:coreProperties>
</file>