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00000" w:rsidRPr="00267413" w:rsidP="00267413">
      <w:pPr>
        <w:pStyle w:val="Heading1"/>
        <w:jc w:val="center"/>
        <w:rPr>
          <w:sz w:val="28"/>
          <w:szCs w:val="28"/>
        </w:rPr>
      </w:pPr>
      <w:r w:rsidRPr="00267413">
        <w:rPr>
          <w:sz w:val="28"/>
          <w:szCs w:val="28"/>
        </w:rPr>
        <w:t xml:space="preserve">Written evidence submitted by the </w:t>
      </w:r>
      <w:r w:rsidRPr="00267413">
        <w:rPr>
          <w:bCs/>
          <w:sz w:val="28"/>
          <w:szCs w:val="28"/>
        </w:rPr>
        <w:t>Family Fund (YEET0055)</w:t>
      </w:r>
    </w:p>
    <w:p w:rsidR="00000000" w:rsidP="00635130">
      <w:pPr>
        <w:pStyle w:val="Heading2"/>
      </w:pPr>
      <w:r>
        <w:t>About Family Fund</w:t>
      </w:r>
    </w:p>
    <w:p w:rsidR="00000000" w:rsidP="24CA57AD">
      <w:pPr>
        <w:rPr>
          <w:rFonts w:cs="Arial"/>
          <w:sz w:val="24"/>
        </w:rPr>
      </w:pPr>
      <w:r>
        <w:fldChar w:fldCharType="begin"/>
      </w:r>
      <w:r>
        <w:instrText xml:space="preserve"> HYPERLINK "http://www.familyfund.org.uk" </w:instrText>
      </w:r>
      <w:r>
        <w:fldChar w:fldCharType="separate"/>
      </w:r>
      <w:r w:rsidRPr="24CA57AD">
        <w:rPr>
          <w:rStyle w:val="Hyperlink"/>
        </w:rPr>
        <w:t>Family Fund</w:t>
      </w:r>
      <w:r>
        <w:fldChar w:fldCharType="end"/>
      </w:r>
      <w:r>
        <w:t xml:space="preserve"> supports families raising disabled or seriously ill children and young people on a low income across the UK, through grants, information and support, and research to explore and share families’ experiences and raise their voices. In 2024/25, Family Fund provided more than 200,000 grants and services, worth over £38 million. Grants are beneficiary led and can cover any item that parent/carers feel will bring the greatest benefit to their family. Our wide-ranging programme of information and support focuses particularly on income maximisation and digital inclusion. Our quarterly family surveys and other research provide vital insights into the realities of family life affected by the additional costs of disability, pressures of caring on family income and wellbeing, and families’ need for support to thrive. Family Fund is supported by the four UK governments, charitable trusts, donations, and income from the award-winning social enterprise Family Fund Business Services. </w:t>
      </w:r>
    </w:p>
    <w:p w:rsidR="00000000" w:rsidP="00AD46ED">
      <w:pPr>
        <w:pStyle w:val="Heading3"/>
      </w:pPr>
      <w:r>
        <w:t>About our submission to the inquiry</w:t>
      </w:r>
    </w:p>
    <w:p w:rsidR="00000000" w:rsidP="00AD46ED">
      <w:r>
        <w:t xml:space="preserve">In January 2026 more than 500 disabled young people and parent carers of disabled young people across the UK shared their views with Family Fund on the support needed to enable disabled young people to access and stay in employment education and training (EET). This submission to the </w:t>
      </w:r>
      <w:r w:rsidRPr="00844353">
        <w:t>Youth employment, education and training</w:t>
      </w:r>
      <w:r>
        <w:t xml:space="preserve"> inquiry is based on our response to the call for evidence by the independent inquiry into Young People and Work, tailored to the Work and Pension Committee’s questions.</w:t>
      </w:r>
    </w:p>
    <w:p w:rsidR="00000000" w:rsidP="00111A03">
      <w:r>
        <w:t xml:space="preserve">The responses to our survey (see Appendix A) related the experiences of young people who are currently not in education, employment or training (NEET), and young people who are struggling to continue in and progress in EET, and the barriers they face. For some young people these barriers present significant difficulties, while for others they prevent young people with additional needs from accessing further EET opportunities at all. These responses are disaggregated in our survey analysis, which is attached, but are cited wherever relevant in this submission as they refer to the same issues. </w:t>
      </w:r>
    </w:p>
    <w:p w:rsidR="00000000" w:rsidP="00A31298"/>
    <w:p w:rsidR="00000000" w:rsidP="0062701F">
      <w:pPr>
        <w:pStyle w:val="Heading2"/>
      </w:pPr>
      <w:r>
        <w:t>Young disabled people struggle to access, sustain or progress in education, employment and training</w:t>
      </w:r>
    </w:p>
    <w:p w:rsidR="00000000" w:rsidP="00E92DFB">
      <w:r>
        <w:t>According to the Government’s own figures, “</w:t>
      </w:r>
      <w:r w:rsidRPr="008567AE">
        <w:t>In 2024/25, disabled young people were more than three times as likely to be NEET (29.7%) compared to non-disabled young people (8.7%)</w:t>
      </w:r>
      <w:r>
        <w:t>.</w:t>
      </w:r>
      <w:r>
        <w:rPr>
          <w:rStyle w:val="FootnoteReference"/>
        </w:rPr>
        <w:footnoteReference w:id="2"/>
      </w:r>
      <w:r>
        <w:t xml:space="preserve">” Responses to our survey showed clearly that young disabled people are held back from participating in education, employment and training (EET) not only by their disabilities, but also by systemic barriers, and even by trauma related to difficulties experienced in educational settings. Systemic barriers include: a lack of locally available specialist education provision, difficulties accessing the educational support they need and to which </w:t>
      </w:r>
      <w:r>
        <w:t xml:space="preserve">they are entitled, lack of support to transition from education to employment and training, a lack of post-education support and opportunities, a lack of suitable work and training opportunities, financial barriers, and poor understanding by employers of the needs of young disabled workers. </w:t>
      </w:r>
    </w:p>
    <w:p w:rsidR="00000000" w:rsidP="00126B56">
      <w:r>
        <w:t xml:space="preserve">Many parent carers identified their young person’s health condition or disabilities as the main reason that they were not in education, employment or training. Where parent carers identified trauma as a barrier to participation, this was often attributed to experiences with education settings or failure of education systems. A lack of support with persistent school refusal, related to inadequate and even harmful experiences with school placements, was identified as leading to prolonged absence from education. </w:t>
      </w:r>
    </w:p>
    <w:p w:rsidR="00000000" w:rsidP="00126B56">
      <w:r>
        <w:t>A large number of respondents pointed to a lack of availability of appropriate educational placements within their local area. This can make the transition from school to college difficult or even impossible. Where college provision is accessible, it may be insufficient, for example where a young person ages out of the college courses available, or finds one placement or course unsuitable and cannot move to another. A lack of transport support underlines the lack of availability of provision in the local area.</w:t>
      </w:r>
    </w:p>
    <w:p w:rsidR="00000000" w:rsidP="00126B56">
      <w:r>
        <w:t xml:space="preserve">Similarly, respondents described problems with accessing the educational support their young person needs while in school or college. This included problems with getting an EHCP, finding that EHCP provisions were not met, or only partially met, and exclusion from school. Parent carers also told us how young people who moved on from school to college or university also faced a lack of support. A few young people themselves told us of a lack of support in college and negative experiences disrupting their attendance, or making it unlikely they will sustain participation in education. </w:t>
      </w:r>
    </w:p>
    <w:p w:rsidR="00000000" w:rsidP="00126B56">
      <w:r>
        <w:t xml:space="preserve">All of these can result in the young people leaving education without qualifications or support to transition to employment or training.  </w:t>
      </w:r>
    </w:p>
    <w:p w:rsidR="00000000" w:rsidP="00126B56">
      <w:r>
        <w:t>The concern felt by parent carers about the lack of support to transition out of education is exacerbated by a corresponding lack of support post-education. The insufficiency of support is experienced even where a young person has a legal document detailing their support needs (an EHCP in England, a Co-ordinated Support Plan in Scotland, a Statement of Special Educational Needs in Northern Ireland, an Individual Development Plan in Wales). For those children who do not have such a document, there is no support available at all.</w:t>
      </w:r>
    </w:p>
    <w:p w:rsidR="00000000" w:rsidP="00126B56">
      <w:r>
        <w:t xml:space="preserve">For the young people who make it through education, transition to college, and training, employment itself presents another hurdle. Parent carers, and young people, told us that the inflexibility of employers and employment processes are a significant barrier for young people with disabilities and additional needs. </w:t>
      </w:r>
    </w:p>
    <w:p w:rsidR="00000000" w:rsidP="00126B56">
      <w:r>
        <w:t xml:space="preserve">The responses to our survey show clearly that the focus of any targets or other incentivising measures should be on the bodies responsible for providing EET opportunities. Statutory authorities must ensure there is sufficient accessible provision of specialist education; education providers must ensure that mainstream and alternative provision is inclusive and supportive, tailored to individual learners’ needs; and Government must work with employers to ensure that they are confident in understanding the benefits of employing young disabled people a chance, and to improve their awareness of how to support young disabled workers. </w:t>
      </w:r>
    </w:p>
    <w:p w:rsidR="00000000" w:rsidP="00126B56"/>
    <w:p w:rsidR="00000000" w:rsidP="0072246B">
      <w:pPr>
        <w:pStyle w:val="Heading2"/>
      </w:pPr>
      <w:r>
        <w:t>Young disabled people need more support at every stage to prevent them from becoming NEET</w:t>
      </w:r>
    </w:p>
    <w:p w:rsidR="00000000" w:rsidP="004F13C8">
      <w:r>
        <w:t xml:space="preserve">The responses to our survey, and the volume of responses received in only a short window of time (530 responses in 14 days) both indicate the level of anxiety about the need for support for young disabled people who are NEET, or at risk of being unable to remain in EET. The concerns raised by survey respondents echo many of the issues raised in the House of Lords Public Services Committee 2025 report </w:t>
      </w:r>
      <w:r w:rsidRPr="007257B1">
        <w:rPr>
          <w:i/>
          <w:iCs/>
        </w:rPr>
        <w:t>Think work first: supporting young disabled people into work</w:t>
      </w:r>
      <w:r>
        <w:t xml:space="preserve">. The support that young disabled people need to transition from school to college and into education continues to be patchy, inaccessible, or even simply is not available. Any approach to tackling these issues must be holistic; young disabled people may have a less typical journey through education and into work, and have disability-related needs and face systemic barriers which require a flexible approach to learning and development. </w:t>
      </w:r>
    </w:p>
    <w:p w:rsidR="00000000" w:rsidP="00AD41F6">
      <w:r>
        <w:t xml:space="preserve">Parent carers and young people identified the need for support in education, comprehensive transition planning, post-16 education and training opportunities, post-education support, training support, and accessible employment. Respondents to our survey directly and indirectly supplied a wealth of suggestions in their responses. Some of these were explicitly identified as ways to enable young disabled people to access, and remain in education, employment and training. Many reflected the types of support that had been identified as lacking for those not in education, employment or training. </w:t>
      </w:r>
    </w:p>
    <w:p w:rsidR="00000000" w:rsidP="0065394F">
      <w:pPr>
        <w:pStyle w:val="Heading4"/>
      </w:pPr>
      <w:r>
        <w:t>Appropriate, nearby specialist education provision</w:t>
      </w:r>
    </w:p>
    <w:p w:rsidR="00000000" w:rsidRPr="00D534D4" w:rsidP="0065394F">
      <w:r>
        <w:t xml:space="preserve">Parent carers made it clear that the availability of accessible, in-area appropriate specialist education provision was crucial to their young people accessing and staying in education. Provision named by respondents included specialist schools, Special Education Needs or Additional Support Needs provision within mainstream schools, specialist colleges, and mainstream colleges with specialist provision. </w:t>
      </w:r>
    </w:p>
    <w:p w:rsidR="00000000" w:rsidP="0065394F">
      <w:pPr>
        <w:pStyle w:val="Heading4"/>
      </w:pPr>
      <w:r>
        <w:t xml:space="preserve">Responsive, person-centred education support </w:t>
      </w:r>
    </w:p>
    <w:p w:rsidR="00000000" w:rsidRPr="00A5765C" w:rsidP="0065394F">
      <w:r>
        <w:t xml:space="preserve">Both parent carers and young people responding to our survey identified a number of key practices, whether in specialist schools or colleges, or in specialist provision within mainstream educational establishments. These included one to one support in classes and from Teaching Assistants or at home tuition, having EOTAS and EHCP plans - and having the support identified in these provided in full, and receiving flexible learning support such as support with exams and flexible hours. </w:t>
      </w:r>
    </w:p>
    <w:p w:rsidR="00000000" w:rsidP="0065394F">
      <w:pPr>
        <w:pStyle w:val="Heading4"/>
      </w:pPr>
      <w:r>
        <w:t xml:space="preserve">Material support to participate in education </w:t>
      </w:r>
    </w:p>
    <w:p w:rsidR="00000000" w:rsidP="0065394F">
      <w:r>
        <w:t xml:space="preserve">Besides supportive educational approaches, many young people with additional needs require material or practical support to be able to participate in education. It is easy to see how the lack of this will present an insurmountable barrier to remaining in education, or transitioning to employment and training, for many young people. Therapeutic support and specialist equipment were named by many as crucial, but so was transport, once again underlining families’ need for education provision to be locally available and practically accessible. </w:t>
      </w:r>
    </w:p>
    <w:p w:rsidR="00000000" w:rsidP="0065394F">
      <w:pPr>
        <w:pStyle w:val="Heading4"/>
      </w:pPr>
      <w:r>
        <w:t>Support to access and sustain engagement in training and work</w:t>
      </w:r>
    </w:p>
    <w:p w:rsidR="00000000" w:rsidP="0065394F">
      <w:r>
        <w:t xml:space="preserve">Parent carers and young people responding to the survey had a number of suggestions to enable young disabled people to progress from education to work. They identified a need for </w:t>
      </w:r>
      <w:r>
        <w:t xml:space="preserve">life skills training, tailored careers guidance and advice, and suitable training and employment opportunities. Once in work, disabled young people need supportive conditions to ensure that they are able to sustain employment, and progress. Respondents identified similar forms of support for young people with additional needs to access and make the most of training and employment opportunities, as for those in education. Including one to one support, specialist equipment, and flexible approaches in the workplace to meet the young person’s needs. </w:t>
      </w:r>
    </w:p>
    <w:p w:rsidR="00000000" w:rsidP="0065394F">
      <w:r w:rsidRPr="0065394F">
        <w:rPr>
          <w:b/>
          <w:bCs/>
        </w:rPr>
        <w:t xml:space="preserve">Supported Internships </w:t>
      </w:r>
      <w:r>
        <w:t xml:space="preserve">were picked out by a number of respondents as successful supportive approaches. Since 2021, Family Fund has taken on six young people on Supported Internships; three of whom have gone on to take up paid work (one at Family Fund) and one of whom has progressed to a further work placement at Family Fund. As an organisation we have promoted the Supported Internship scheme through the York SEND network, our own procurement policies and relationships, and as a member of the national Internships Work programme Steering Group. </w:t>
      </w:r>
    </w:p>
    <w:p w:rsidR="00000000" w:rsidP="00E92DFB"/>
    <w:p w:rsidR="00000000" w:rsidP="0072246B">
      <w:pPr>
        <w:pStyle w:val="Heading2"/>
      </w:pPr>
      <w:r>
        <w:t>What Government can do</w:t>
      </w:r>
    </w:p>
    <w:p w:rsidR="00000000" w:rsidP="00110B45">
      <w:r>
        <w:t xml:space="preserve">Based on the responses from parent carers and young people themselves, it is clear that young disabled people and their families face particular barriers in accessing and sustaining education, employment and training. These barriers relate to </w:t>
      </w:r>
    </w:p>
    <w:p w:rsidR="00000000">
      <w:pPr>
        <w:pStyle w:val="ListParagraph"/>
        <w:numPr>
          <w:ilvl w:val="0"/>
          <w:numId w:val="1"/>
        </w:numPr>
      </w:pPr>
      <w:r>
        <w:t>the provision of appropriate specialist education support, ensuring that children and young people have appropriate support in school to attain skills and qualifications;</w:t>
      </w:r>
    </w:p>
    <w:p w:rsidR="00000000">
      <w:pPr>
        <w:pStyle w:val="ListParagraph"/>
        <w:numPr>
          <w:ilvl w:val="0"/>
          <w:numId w:val="1"/>
        </w:numPr>
      </w:pPr>
      <w:r>
        <w:t>the adequacy of and approaches to the provision of educational support;</w:t>
      </w:r>
    </w:p>
    <w:p w:rsidR="00000000">
      <w:pPr>
        <w:pStyle w:val="ListParagraph"/>
        <w:numPr>
          <w:ilvl w:val="0"/>
          <w:numId w:val="1"/>
        </w:numPr>
      </w:pPr>
      <w:r>
        <w:t>transition planning for young people likely to struggle in mainstream post-16 education, whether or not they have an EHCP, CSP, SSEN, or IDP;</w:t>
      </w:r>
    </w:p>
    <w:p w:rsidR="00000000">
      <w:pPr>
        <w:pStyle w:val="ListParagraph"/>
        <w:numPr>
          <w:ilvl w:val="0"/>
          <w:numId w:val="1"/>
        </w:numPr>
      </w:pPr>
      <w:r>
        <w:t>the need for supportive and appropriate, tailored careers guidance and job support;</w:t>
      </w:r>
    </w:p>
    <w:p w:rsidR="00000000">
      <w:pPr>
        <w:pStyle w:val="ListParagraph"/>
        <w:numPr>
          <w:ilvl w:val="0"/>
          <w:numId w:val="1"/>
        </w:numPr>
      </w:pPr>
      <w:r>
        <w:t>a lack of suitable employment opportunities, and understanding by employers of the adjustments required by young people with additional needs; and</w:t>
      </w:r>
    </w:p>
    <w:p w:rsidR="00000000">
      <w:pPr>
        <w:pStyle w:val="ListParagraph"/>
        <w:numPr>
          <w:ilvl w:val="0"/>
          <w:numId w:val="1"/>
        </w:numPr>
      </w:pPr>
      <w:r>
        <w:t>the need for financial support.</w:t>
      </w:r>
    </w:p>
    <w:p w:rsidR="00000000" w:rsidP="00110B45">
      <w:r>
        <w:t>Education policy developments must ensure that young people receive the educational support they need, in the settings most suited to ensuring that provision.</w:t>
      </w:r>
    </w:p>
    <w:p w:rsidR="00000000" w:rsidRPr="0002337C" w:rsidP="00110B45">
      <w:r>
        <w:t>Where Government sponsors particular interventions and support into work, such as apprenticeship schemes, these need to be inclusive and flexible so that they are accessible to young people with additional needs. Employers must be encouraged to take a supportive, inclusive and flexible approach to ensuring that apprenticeships do not exclude young disabled people.</w:t>
      </w:r>
    </w:p>
    <w:p w:rsidR="00000000" w:rsidP="00110B45">
      <w:r>
        <w:t>The Youth Guarantee must address the particular needs of young disabled people keen to develop their skills and enter the workplace in a way that is meaningful, healthy, and sustainable. It should also be noted that s</w:t>
      </w:r>
      <w:r w:rsidRPr="00B41FC1">
        <w:t xml:space="preserve">ome </w:t>
      </w:r>
      <w:r>
        <w:t>parent carers did</w:t>
      </w:r>
      <w:r w:rsidRPr="00B41FC1">
        <w:t xml:space="preserve"> not feel that employment, or continued participation in education or training, was a suitable goal </w:t>
      </w:r>
      <w:r>
        <w:t>nor that</w:t>
      </w:r>
      <w:r w:rsidRPr="00B41FC1">
        <w:t xml:space="preserve"> there was any support that would make it possible </w:t>
      </w:r>
      <w:r>
        <w:t>for their young person</w:t>
      </w:r>
      <w:r w:rsidRPr="00B41FC1">
        <w:t xml:space="preserve"> to take part. This was typically due to the nature of the young people’s disabilities and the level of their support needs. </w:t>
      </w:r>
    </w:p>
    <w:p w:rsidR="00000000" w:rsidRPr="0054040C" w:rsidP="00FD1D6C">
      <w:r>
        <w:t xml:space="preserve">In addition to identifying the support cited in our submission (see section 2 above), respondents specifically named financial support as very important to helping families support young people to access and stay in education, employment or training. Families </w:t>
      </w:r>
      <w:r>
        <w:t>access a range of benefits, piecing together a financial safety net that enables their young people to sustain engagement in education, training, and work. As part of this, parent carers identified the need for young people to be able to continue to access social welfare while stepping along the pathway to work and independence, as needed. Respondents expressed c</w:t>
      </w:r>
      <w:r w:rsidRPr="0002337C">
        <w:t>oncern</w:t>
      </w:r>
      <w:r>
        <w:t>s</w:t>
      </w:r>
      <w:r w:rsidRPr="0002337C">
        <w:t xml:space="preserve"> </w:t>
      </w:r>
      <w:r>
        <w:t>that</w:t>
      </w:r>
      <w:r w:rsidRPr="0002337C">
        <w:t xml:space="preserve"> losing benefits and not being able to access them again if needed</w:t>
      </w:r>
      <w:r>
        <w:t xml:space="preserve"> would act </w:t>
      </w:r>
      <w:r w:rsidRPr="0002337C">
        <w:t xml:space="preserve">as a disincentive to attempting to try out new employment opportunities. </w:t>
      </w:r>
    </w:p>
    <w:p w:rsidR="00000000" w:rsidRPr="00FD1D6C" w:rsidP="24CA57AD">
      <w:pPr>
        <w:rPr>
          <w:rFonts w:cs="Arial"/>
          <w:sz w:val="24"/>
        </w:rPr>
      </w:pPr>
      <w:r>
        <w:t xml:space="preserve">Social welfare reforms must ensure that young people with additional needs are not penalised through conditionality linked to expectations of employment that is not suitable, or not sufficiently available. For example, Family Fund’s response to the Pathways to Work consultation earlier this year was clear that delaying access to the health element of Universal Credit until the age of 22 would impact not just disabled young people but also their parents and siblings, and negatively affect the health and wellbeing of the entire household. </w:t>
      </w:r>
    </w:p>
    <w:p w:rsidR="00000000"/>
    <w:p w:rsidR="00000000"/>
    <w:p w:rsidR="0051785A" w:rsidRPr="00267413" w:rsidP="0051785A">
      <w:pPr>
        <w:rPr>
          <w:rFonts w:ascii="Aptos" w:eastAsia="Aptos" w:hAnsi="Aptos" w:cs="Aptos"/>
          <w:b/>
          <w:bCs/>
          <w:i/>
          <w:iCs/>
          <w:color w:val="000000" w:themeColor="text1"/>
          <w:sz w:val="24"/>
          <w:lang w:val="en-US"/>
        </w:rPr>
      </w:pPr>
      <w:r w:rsidRPr="00267413">
        <w:rPr>
          <w:rFonts w:ascii="Aptos" w:eastAsia="Aptos" w:hAnsi="Aptos" w:cs="Aptos"/>
          <w:b/>
          <w:bCs/>
          <w:i/>
          <w:iCs/>
          <w:color w:val="000000" w:themeColor="text1"/>
          <w:sz w:val="24"/>
          <w:lang w:val="en-US"/>
        </w:rPr>
        <w:t>February 2026</w:t>
      </w:r>
    </w:p>
    <w:p w:rsidR="00000000"/>
    <w:p w:rsidR="00000000"/>
    <w:p w:rsidR="00000000"/>
    <w:p w:rsidR="00000000"/>
    <w:p w:rsidR="00000000"/>
    <w:p w:rsidR="00000000"/>
    <w:p w:rsidR="00000000"/>
    <w:p w:rsidR="00000000"/>
    <w:p w:rsidR="00000000"/>
    <w:p w:rsidR="00000000" w:rsidRPr="00267413" w:rsidP="24CA57AD">
      <w:pPr>
        <w:rPr>
          <w:rFonts w:ascii="Aptos" w:eastAsia="Aptos" w:hAnsi="Aptos" w:cs="Aptos"/>
          <w:b/>
          <w:bCs/>
          <w:i/>
          <w:iCs/>
          <w:color w:val="000000" w:themeColor="text1"/>
          <w:sz w:val="24"/>
          <w:lang w:val="en-US"/>
        </w:rPr>
      </w:pPr>
    </w:p>
    <w:sectPr w:rsidSect="00267413">
      <w:headerReference w:type="default" r:id="rId9"/>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A3A91" w:rsidP="002B2152">
      <w:pPr>
        <w:spacing w:after="0" w:line="240" w:lineRule="auto"/>
      </w:pPr>
      <w:r>
        <w:separator/>
      </w:r>
    </w:p>
  </w:footnote>
  <w:footnote w:type="continuationSeparator" w:id="1">
    <w:p w:rsidR="002A3A91" w:rsidP="002B2152">
      <w:pPr>
        <w:spacing w:after="0" w:line="240" w:lineRule="auto"/>
      </w:pPr>
      <w:r>
        <w:continuationSeparator/>
      </w:r>
    </w:p>
  </w:footnote>
  <w:footnote w:id="2">
    <w:p w:rsidR="00000000">
      <w:pPr>
        <w:pStyle w:val="FootnoteText"/>
      </w:pPr>
      <w:r>
        <w:rPr>
          <w:rStyle w:val="FootnoteReference"/>
        </w:rPr>
        <w:footnoteRef/>
      </w:r>
      <w:r>
        <w:t xml:space="preserve"> The employment of disabled people 2025, Department of Work and Pensions, </w:t>
      </w:r>
      <w:r>
        <w:fldChar w:fldCharType="begin"/>
      </w:r>
      <w:r>
        <w:instrText xml:space="preserve"> HYPERLINK "https://www.gov.uk/government/statistics/the-employment-of-disabled-people-2025/the-employment-of-disabled-people-2025" </w:instrText>
      </w:r>
      <w:r>
        <w:fldChar w:fldCharType="separate"/>
      </w:r>
      <w:r w:rsidRPr="004A7BB8">
        <w:rPr>
          <w:rStyle w:val="Hyperlink"/>
        </w:rPr>
        <w:t>https://www.gov.uk/government/statistics/the-employment-of-disabled-people-2025/the-employment-of-disabled-people-2025</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P="002B215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7766C4"/>
    <w:multiLevelType w:val="multilevel"/>
    <w:tmpl w:val="D222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CA1"/>
    <w:pPr>
      <w:spacing w:line="276" w:lineRule="auto"/>
    </w:pPr>
    <w:rPr>
      <w:rFonts w:ascii="Arial" w:hAnsi="Arial"/>
      <w:sz w:val="22"/>
    </w:rPr>
  </w:style>
  <w:style w:type="paragraph" w:styleId="Heading1">
    <w:name w:val="heading 1"/>
    <w:basedOn w:val="Normal"/>
    <w:next w:val="Normal"/>
    <w:link w:val="Heading1Char"/>
    <w:uiPriority w:val="9"/>
    <w:qFormat/>
    <w:rsid w:val="00484CA1"/>
    <w:pPr>
      <w:keepNext/>
      <w:keepLines/>
      <w:spacing w:before="360" w:after="240"/>
      <w:outlineLvl w:val="0"/>
    </w:pPr>
    <w:rPr>
      <w:rFonts w:eastAsiaTheme="majorEastAsia" w:cstheme="majorBidi"/>
      <w:b/>
      <w:color w:val="7030A0"/>
      <w:sz w:val="36"/>
      <w:szCs w:val="40"/>
    </w:rPr>
  </w:style>
  <w:style w:type="paragraph" w:styleId="Heading2">
    <w:name w:val="heading 2"/>
    <w:basedOn w:val="Normal"/>
    <w:next w:val="Normal"/>
    <w:link w:val="Heading2Char"/>
    <w:uiPriority w:val="9"/>
    <w:unhideWhenUsed/>
    <w:qFormat/>
    <w:rsid w:val="00484CA1"/>
    <w:pPr>
      <w:keepNext/>
      <w:keepLines/>
      <w:spacing w:before="160" w:after="80"/>
      <w:outlineLvl w:val="1"/>
    </w:pPr>
    <w:rPr>
      <w:rFonts w:eastAsiaTheme="majorEastAsia" w:cstheme="majorBidi"/>
      <w:color w:val="7030A0"/>
      <w:sz w:val="32"/>
      <w:szCs w:val="32"/>
    </w:rPr>
  </w:style>
  <w:style w:type="paragraph" w:styleId="Heading3">
    <w:name w:val="heading 3"/>
    <w:basedOn w:val="Normal"/>
    <w:next w:val="Normal"/>
    <w:link w:val="Heading3Char"/>
    <w:uiPriority w:val="9"/>
    <w:unhideWhenUsed/>
    <w:qFormat/>
    <w:rsid w:val="005E75B6"/>
    <w:pPr>
      <w:keepNext/>
      <w:keepLines/>
      <w:spacing w:before="160" w:after="80"/>
      <w:outlineLvl w:val="2"/>
    </w:pPr>
    <w:rPr>
      <w:rFonts w:eastAsiaTheme="majorEastAsia" w:cstheme="majorBidi"/>
      <w:color w:val="7030A0"/>
      <w:sz w:val="28"/>
      <w:szCs w:val="28"/>
    </w:rPr>
  </w:style>
  <w:style w:type="paragraph" w:styleId="Heading4">
    <w:name w:val="heading 4"/>
    <w:basedOn w:val="Normal"/>
    <w:next w:val="Normal"/>
    <w:link w:val="Heading4Char"/>
    <w:uiPriority w:val="9"/>
    <w:unhideWhenUsed/>
    <w:qFormat/>
    <w:rsid w:val="005E75B6"/>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484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84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A1"/>
    <w:rPr>
      <w:rFonts w:ascii="Arial" w:hAnsi="Arial" w:eastAsiaTheme="majorEastAsia" w:cstheme="majorBidi"/>
      <w:b/>
      <w:color w:val="7030A0"/>
      <w:sz w:val="36"/>
      <w:szCs w:val="40"/>
    </w:rPr>
  </w:style>
  <w:style w:type="character" w:customStyle="1" w:styleId="Heading2Char">
    <w:name w:val="Heading 2 Char"/>
    <w:basedOn w:val="DefaultParagraphFont"/>
    <w:link w:val="Heading2"/>
    <w:uiPriority w:val="9"/>
    <w:rsid w:val="00484CA1"/>
    <w:rPr>
      <w:rFonts w:ascii="Arial" w:hAnsi="Arial" w:eastAsiaTheme="majorEastAsia" w:cstheme="majorBidi"/>
      <w:color w:val="7030A0"/>
      <w:sz w:val="32"/>
      <w:szCs w:val="32"/>
    </w:rPr>
  </w:style>
  <w:style w:type="character" w:customStyle="1" w:styleId="Heading3Char">
    <w:name w:val="Heading 3 Char"/>
    <w:basedOn w:val="DefaultParagraphFont"/>
    <w:link w:val="Heading3"/>
    <w:uiPriority w:val="9"/>
    <w:rsid w:val="005E75B6"/>
    <w:rPr>
      <w:rFonts w:ascii="Arial" w:hAnsi="Arial" w:eastAsiaTheme="majorEastAsia" w:cstheme="majorBidi"/>
      <w:color w:val="7030A0"/>
      <w:sz w:val="28"/>
      <w:szCs w:val="28"/>
    </w:rPr>
  </w:style>
  <w:style w:type="character" w:customStyle="1" w:styleId="Heading4Char">
    <w:name w:val="Heading 4 Char"/>
    <w:basedOn w:val="DefaultParagraphFont"/>
    <w:link w:val="Heading4"/>
    <w:uiPriority w:val="9"/>
    <w:rsid w:val="005E75B6"/>
    <w:rPr>
      <w:rFonts w:ascii="Arial" w:hAnsi="Arial" w:eastAsiaTheme="majorEastAsia" w:cstheme="majorBidi"/>
      <w:i/>
      <w:iCs/>
      <w:sz w:val="22"/>
    </w:rPr>
  </w:style>
  <w:style w:type="character" w:customStyle="1" w:styleId="Heading5Char">
    <w:name w:val="Heading 5 Char"/>
    <w:basedOn w:val="DefaultParagraphFont"/>
    <w:link w:val="Heading5"/>
    <w:uiPriority w:val="9"/>
    <w:rsid w:val="00484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8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CA1"/>
    <w:rPr>
      <w:rFonts w:eastAsiaTheme="majorEastAsia" w:cstheme="majorBidi"/>
      <w:color w:val="272727" w:themeColor="text1" w:themeTint="D8"/>
    </w:rPr>
  </w:style>
  <w:style w:type="paragraph" w:styleId="Title">
    <w:name w:val="Title"/>
    <w:basedOn w:val="Normal"/>
    <w:next w:val="Normal"/>
    <w:link w:val="TitleChar"/>
    <w:uiPriority w:val="10"/>
    <w:qFormat/>
    <w:rsid w:val="00484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CA1"/>
    <w:pPr>
      <w:spacing w:before="160"/>
      <w:jc w:val="center"/>
    </w:pPr>
    <w:rPr>
      <w:i/>
      <w:iCs/>
      <w:color w:val="404040" w:themeColor="text1" w:themeTint="BF"/>
    </w:rPr>
  </w:style>
  <w:style w:type="character" w:customStyle="1" w:styleId="QuoteChar">
    <w:name w:val="Quote Char"/>
    <w:basedOn w:val="DefaultParagraphFont"/>
    <w:link w:val="Quote"/>
    <w:uiPriority w:val="29"/>
    <w:rsid w:val="00484CA1"/>
    <w:rPr>
      <w:i/>
      <w:iCs/>
      <w:color w:val="404040" w:themeColor="text1" w:themeTint="BF"/>
    </w:rPr>
  </w:style>
  <w:style w:type="paragraph" w:styleId="ListParagraph">
    <w:name w:val="List Paragraph"/>
    <w:basedOn w:val="Normal"/>
    <w:uiPriority w:val="34"/>
    <w:qFormat/>
    <w:rsid w:val="00484CA1"/>
    <w:pPr>
      <w:ind w:left="720"/>
      <w:contextualSpacing/>
    </w:pPr>
  </w:style>
  <w:style w:type="character" w:styleId="IntenseEmphasis">
    <w:name w:val="Intense Emphasis"/>
    <w:basedOn w:val="DefaultParagraphFont"/>
    <w:uiPriority w:val="21"/>
    <w:qFormat/>
    <w:rsid w:val="00484CA1"/>
    <w:rPr>
      <w:i/>
      <w:iCs/>
      <w:color w:val="0F4761" w:themeColor="accent1" w:themeShade="BF"/>
    </w:rPr>
  </w:style>
  <w:style w:type="paragraph" w:styleId="IntenseQuote">
    <w:name w:val="Intense Quote"/>
    <w:basedOn w:val="Normal"/>
    <w:next w:val="Normal"/>
    <w:link w:val="IntenseQuoteChar"/>
    <w:uiPriority w:val="30"/>
    <w:qFormat/>
    <w:rsid w:val="00484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CA1"/>
    <w:rPr>
      <w:i/>
      <w:iCs/>
      <w:color w:val="0F4761" w:themeColor="accent1" w:themeShade="BF"/>
    </w:rPr>
  </w:style>
  <w:style w:type="character" w:styleId="IntenseReference">
    <w:name w:val="Intense Reference"/>
    <w:basedOn w:val="DefaultParagraphFont"/>
    <w:uiPriority w:val="32"/>
    <w:qFormat/>
    <w:rsid w:val="00484CA1"/>
    <w:rPr>
      <w:b/>
      <w:bCs/>
      <w:smallCaps/>
      <w:color w:val="0F4761" w:themeColor="accent1" w:themeShade="BF"/>
      <w:spacing w:val="5"/>
    </w:rPr>
  </w:style>
  <w:style w:type="character" w:styleId="Hyperlink">
    <w:name w:val="Hyperlink"/>
    <w:basedOn w:val="DefaultParagraphFont"/>
    <w:uiPriority w:val="99"/>
    <w:unhideWhenUsed/>
    <w:rsid w:val="00635130"/>
    <w:rPr>
      <w:color w:val="467886" w:themeColor="hyperlink"/>
      <w:u w:val="single"/>
    </w:rPr>
  </w:style>
  <w:style w:type="character" w:customStyle="1" w:styleId="UnresolvedMention1">
    <w:name w:val="Unresolved Mention1"/>
    <w:basedOn w:val="DefaultParagraphFont"/>
    <w:uiPriority w:val="99"/>
    <w:semiHidden/>
    <w:unhideWhenUsed/>
    <w:rsid w:val="00635130"/>
    <w:rPr>
      <w:color w:val="605E5C"/>
      <w:shd w:val="clear" w:color="auto" w:fill="E1DFDD"/>
    </w:rPr>
  </w:style>
  <w:style w:type="paragraph" w:styleId="Header">
    <w:name w:val="header"/>
    <w:basedOn w:val="Normal"/>
    <w:link w:val="HeaderChar"/>
    <w:uiPriority w:val="99"/>
    <w:unhideWhenUsed/>
    <w:rsid w:val="002B2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152"/>
    <w:rPr>
      <w:rFonts w:ascii="Arial" w:hAnsi="Arial"/>
      <w:sz w:val="22"/>
    </w:rPr>
  </w:style>
  <w:style w:type="paragraph" w:styleId="Footer">
    <w:name w:val="footer"/>
    <w:basedOn w:val="Normal"/>
    <w:link w:val="FooterChar"/>
    <w:uiPriority w:val="99"/>
    <w:unhideWhenUsed/>
    <w:rsid w:val="002B2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152"/>
    <w:rPr>
      <w:rFonts w:ascii="Arial" w:hAnsi="Arial"/>
      <w:sz w:val="22"/>
    </w:rPr>
  </w:style>
  <w:style w:type="paragraph" w:styleId="EndnoteText">
    <w:name w:val="endnote text"/>
    <w:basedOn w:val="Normal"/>
    <w:link w:val="EndnoteTextChar"/>
    <w:uiPriority w:val="99"/>
    <w:semiHidden/>
    <w:unhideWhenUsed/>
    <w:rsid w:val="00D362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266"/>
    <w:rPr>
      <w:rFonts w:ascii="Arial" w:hAnsi="Arial"/>
      <w:sz w:val="20"/>
      <w:szCs w:val="20"/>
    </w:rPr>
  </w:style>
  <w:style w:type="character" w:styleId="EndnoteReference">
    <w:name w:val="endnote reference"/>
    <w:basedOn w:val="DefaultParagraphFont"/>
    <w:uiPriority w:val="99"/>
    <w:semiHidden/>
    <w:unhideWhenUsed/>
    <w:rsid w:val="00D36266"/>
    <w:rPr>
      <w:vertAlign w:val="superscript"/>
    </w:rPr>
  </w:style>
  <w:style w:type="paragraph" w:styleId="FootnoteText">
    <w:name w:val="footnote text"/>
    <w:basedOn w:val="Normal"/>
    <w:link w:val="FootnoteTextChar"/>
    <w:uiPriority w:val="99"/>
    <w:semiHidden/>
    <w:unhideWhenUsed/>
    <w:rsid w:val="00F85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BA6"/>
    <w:rPr>
      <w:rFonts w:ascii="Arial" w:hAnsi="Arial"/>
      <w:sz w:val="20"/>
      <w:szCs w:val="20"/>
    </w:rPr>
  </w:style>
  <w:style w:type="character" w:styleId="FootnoteReference">
    <w:name w:val="footnote reference"/>
    <w:basedOn w:val="DefaultParagraphFont"/>
    <w:uiPriority w:val="99"/>
    <w:semiHidden/>
    <w:unhideWhenUsed/>
    <w:rsid w:val="00F85BA6"/>
    <w:rPr>
      <w:vertAlign w:val="superscript"/>
    </w:rPr>
  </w:style>
  <w:style w:type="paragraph" w:styleId="Revision">
    <w:name w:val="Revision"/>
    <w:hidden/>
    <w:uiPriority w:val="99"/>
    <w:semiHidden/>
    <w:rsid w:val="007528C7"/>
    <w:pPr>
      <w:spacing w:after="0" w:line="240" w:lineRule="auto"/>
    </w:pPr>
    <w:rPr>
      <w:rFonts w:ascii="Arial" w:hAnsi="Arial"/>
      <w:sz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3EA0A47B83448A3A594BEF17F4B11" ma:contentTypeVersion="22" ma:contentTypeDescription="Create a new document." ma:contentTypeScope="" ma:versionID="ab031b46af09cf06fc5df53dac8d037c">
  <xsd:schema xmlns:xsd="http://www.w3.org/2001/XMLSchema" xmlns:xs="http://www.w3.org/2001/XMLSchema" xmlns:p="http://schemas.microsoft.com/office/2006/metadata/properties" xmlns:ns2="b41adf97-a9c9-4542-9979-d2300b6ebfad" xmlns:ns3="0ffd902e-1f84-4001-a29c-2b4823e3d09b" targetNamespace="http://schemas.microsoft.com/office/2006/metadata/properties" ma:root="true" ma:fieldsID="b1bfb7e730a20906099c872a487aa9bc" ns2:_="" ns3:_="">
    <xsd:import namespace="b41adf97-a9c9-4542-9979-d2300b6ebfad"/>
    <xsd:import namespace="0ffd902e-1f84-4001-a29c-2b4823e3d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Campaign_x002f_Consultation" minOccurs="0"/>
                <xsd:element ref="ns2:Organisation" minOccurs="0"/>
                <xsd:element ref="ns2:Arewesupporting_x002f_responding_x003f_" minOccurs="0"/>
                <xsd:element ref="ns2:Reas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adf97-a9c9-4542-9979-d2300b6eb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c50da-21b5-4b8b-9fa6-229e05fa8a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Campaign_x002f_Consultation" ma:index="23" nillable="true" ma:displayName="Campaign/Consultation" ma:format="Dropdown" ma:internalName="Campaign_x002f_Consultation">
      <xsd:simpleType>
        <xsd:restriction base="dms:Text">
          <xsd:maxLength value="255"/>
        </xsd:restriction>
      </xsd:simpleType>
    </xsd:element>
    <xsd:element name="Organisation" ma:index="24" nillable="true" ma:displayName="Organisation " ma:format="Dropdown" ma:internalName="Organisation">
      <xsd:simpleType>
        <xsd:restriction base="dms:Text">
          <xsd:maxLength value="255"/>
        </xsd:restriction>
      </xsd:simpleType>
    </xsd:element>
    <xsd:element name="Arewesupporting_x002f_responding_x003f_" ma:index="25" nillable="true" ma:displayName="Are we supporting/responding? " ma:format="Dropdown" ma:internalName="Arewesupporting_x002f_responding_x003f_">
      <xsd:simpleType>
        <xsd:restriction base="dms:Text">
          <xsd:maxLength value="255"/>
        </xsd:restriction>
      </xsd:simpleType>
    </xsd:element>
    <xsd:element name="Reason" ma:index="26" nillable="true" ma:displayName="Reason " ma:format="Dropdown" ma:internalName="Reas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d902e-1f84-4001-a29c-2b4823e3d0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266ef7-6b46-4175-add6-d0ac833b2d54}" ma:internalName="TaxCatchAll" ma:readOnly="false" ma:showField="CatchAllData" ma:web="0ffd902e-1f84-4001-a29c-2b4823e3d0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fd902e-1f84-4001-a29c-2b4823e3d09b" xsi:nil="true"/>
    <Reason xmlns="b41adf97-a9c9-4542-9979-d2300b6ebfad" xsi:nil="true"/>
    <_Flow_SignoffStatus xmlns="b41adf97-a9c9-4542-9979-d2300b6ebfad" xsi:nil="true"/>
    <Organisation xmlns="b41adf97-a9c9-4542-9979-d2300b6ebfad" xsi:nil="true"/>
    <Campaign_x002f_Consultation xmlns="b41adf97-a9c9-4542-9979-d2300b6ebfad" xsi:nil="true"/>
    <Arewesupporting_x002f_responding_x003f_ xmlns="b41adf97-a9c9-4542-9979-d2300b6ebfad" xsi:nil="true"/>
    <lcf76f155ced4ddcb4097134ff3c332f xmlns="b41adf97-a9c9-4542-9979-d2300b6ebf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B989F-9A0E-426B-8C16-B6770413D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adf97-a9c9-4542-9979-d2300b6ebfad"/>
    <ds:schemaRef ds:uri="0ffd902e-1f84-4001-a29c-2b4823e3d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C84AA-A268-4D87-A923-1EE0535DA95F}">
  <ds:schemaRefs>
    <ds:schemaRef ds:uri="http://schemas.microsoft.com/office/2006/metadata/properties"/>
    <ds:schemaRef ds:uri="http://schemas.microsoft.com/office/infopath/2007/PartnerControls"/>
    <ds:schemaRef ds:uri="0ffd902e-1f84-4001-a29c-2b4823e3d09b"/>
    <ds:schemaRef ds:uri="b41adf97-a9c9-4542-9979-d2300b6ebfad"/>
  </ds:schemaRefs>
</ds:datastoreItem>
</file>

<file path=customXml/itemProps3.xml><?xml version="1.0" encoding="utf-8"?>
<ds:datastoreItem xmlns:ds="http://schemas.openxmlformats.org/officeDocument/2006/customXml" ds:itemID="{E5972256-DA4E-44A8-B5CB-FFBC6578CAC6}">
  <ds:schemaRefs>
    <ds:schemaRef ds:uri="http://schemas.openxmlformats.org/officeDocument/2006/bibliography"/>
  </ds:schemaRefs>
</ds:datastoreItem>
</file>

<file path=customXml/itemProps4.xml><?xml version="1.0" encoding="utf-8"?>
<ds:datastoreItem xmlns:ds="http://schemas.openxmlformats.org/officeDocument/2006/customXml" ds:itemID="{0413299E-CDD8-4861-8CBB-81347C655E8B}">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YEET0055</dc:title>
  <cp:revision>0</cp:revision>
</cp:coreProperties>
</file>