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938BF" w:rsidRPr="002938BF" w:rsidP="002938BF">
      <w:pPr>
        <w:jc w:val="center"/>
        <w:rPr>
          <w:sz w:val="24"/>
          <w:szCs w:val="24"/>
        </w:rPr>
      </w:pPr>
      <w:r>
        <w:t xml:space="preserve">Written evidence submitted by </w:t>
      </w:r>
      <w:r w:rsidRPr="002938BF">
        <w:t xml:space="preserve">Centre for Mental Health, Children and Young People's </w:t>
      </w:r>
      <w:r w:rsidRPr="002938BF">
        <w:rPr>
          <w:sz w:val="24"/>
          <w:szCs w:val="24"/>
        </w:rPr>
        <w:t>Mental Health Coalition</w:t>
      </w:r>
      <w:r w:rsidRPr="002938BF">
        <w:rPr>
          <w:sz w:val="24"/>
          <w:szCs w:val="24"/>
        </w:rPr>
        <w:t xml:space="preserve"> (YEET0051)</w:t>
      </w:r>
    </w:p>
    <w:p w:rsidR="002938BF" w:rsidRPr="002938BF" w:rsidP="002938BF">
      <w:pPr>
        <w:jc w:val="center"/>
      </w:pPr>
    </w:p>
    <w:p w:rsidR="002938BF" w:rsidRPr="00370DC7" w:rsidP="00405430">
      <w:pPr>
        <w:spacing w:before="160" w:line="276" w:lineRule="auto"/>
        <w:rPr>
          <w:rFonts w:cs="Tahoma"/>
          <w:b/>
          <w:bCs/>
          <w:color w:val="1D252D"/>
          <w:sz w:val="28"/>
          <w:szCs w:val="28"/>
        </w:rPr>
      </w:pPr>
      <w:r w:rsidRPr="00370DC7">
        <w:rPr>
          <w:rFonts w:cs="Tahoma"/>
          <w:b/>
          <w:bCs/>
          <w:color w:val="1D252D"/>
          <w:sz w:val="28"/>
          <w:szCs w:val="28"/>
        </w:rPr>
        <w:t>Evidence</w:t>
      </w:r>
      <w:r w:rsidRPr="00370DC7">
        <w:rPr>
          <w:rFonts w:cs="Tahoma"/>
          <w:b/>
          <w:bCs/>
          <w:color w:val="1D252D"/>
          <w:sz w:val="28"/>
          <w:szCs w:val="28"/>
        </w:rPr>
        <w:t xml:space="preserve"> submission</w:t>
      </w:r>
      <w:r w:rsidRPr="00370DC7">
        <w:rPr>
          <w:rFonts w:cs="Tahoma"/>
          <w:b/>
          <w:bCs/>
          <w:color w:val="1D252D"/>
          <w:sz w:val="28"/>
          <w:szCs w:val="28"/>
        </w:rPr>
        <w:t xml:space="preserve"> to the Work and Pensions</w:t>
      </w:r>
      <w:r w:rsidRPr="00370DC7">
        <w:rPr>
          <w:rFonts w:cs="Tahoma"/>
          <w:b/>
          <w:bCs/>
          <w:color w:val="1D252D"/>
          <w:sz w:val="28"/>
          <w:szCs w:val="28"/>
        </w:rPr>
        <w:t xml:space="preserve"> Committee</w:t>
      </w:r>
    </w:p>
    <w:p w:rsidR="002938BF" w:rsidRPr="00370DC7" w:rsidP="00405430">
      <w:pPr>
        <w:spacing w:before="160" w:line="276" w:lineRule="auto"/>
        <w:rPr>
          <w:rFonts w:cs="Tahoma"/>
          <w:b/>
          <w:bCs/>
          <w:color w:val="1D252D"/>
          <w:sz w:val="28"/>
          <w:szCs w:val="28"/>
        </w:rPr>
      </w:pPr>
      <w:r w:rsidRPr="00370DC7">
        <w:rPr>
          <w:rFonts w:cs="Tahoma"/>
          <w:b/>
          <w:bCs/>
          <w:color w:val="1D252D"/>
          <w:sz w:val="28"/>
          <w:szCs w:val="28"/>
        </w:rPr>
        <w:t>February</w:t>
      </w:r>
      <w:r w:rsidRPr="00370DC7">
        <w:rPr>
          <w:rFonts w:cs="Tahoma"/>
          <w:b/>
          <w:bCs/>
          <w:color w:val="1D252D"/>
          <w:sz w:val="28"/>
          <w:szCs w:val="28"/>
        </w:rPr>
        <w:t xml:space="preserve"> 2026</w:t>
      </w:r>
    </w:p>
    <w:p w:rsidR="002938BF" w:rsidRPr="006B5A5B" w:rsidP="006B5A5B">
      <w:pPr>
        <w:pStyle w:val="Heading1"/>
      </w:pPr>
      <w:r w:rsidRPr="006B5A5B">
        <w:t>About Centre for Mental Heal</w:t>
      </w:r>
      <w:r>
        <w:t>th</w:t>
      </w:r>
    </w:p>
    <w:p w:rsidR="002938BF" w:rsidRPr="006B5A5B" w:rsidP="00405430">
      <w:pPr>
        <w:spacing w:before="160" w:line="276" w:lineRule="auto"/>
        <w:rPr>
          <w:rFonts w:cs="Tahoma"/>
          <w:sz w:val="22"/>
        </w:rPr>
      </w:pPr>
      <w:r w:rsidRPr="006B5A5B">
        <w:rPr>
          <w:rFonts w:cs="Tahoma"/>
          <w:sz w:val="22"/>
        </w:rPr>
        <w:t>Centre for Mental Health is an independent charity. We take the lead in challenging injustices in policies, systems and society, so that everyone can have better mental health. By building research evidence to create fairer mental health policy, we are pursuing equality, social justice and good mental health for all.</w:t>
      </w:r>
    </w:p>
    <w:p w:rsidR="002938BF" w:rsidRPr="006B5A5B" w:rsidP="006B5A5B">
      <w:pPr>
        <w:pStyle w:val="Heading1"/>
      </w:pPr>
      <w:r w:rsidRPr="006B5A5B">
        <w:t>About the Children and Young People’s Mental Health Coalition</w:t>
      </w:r>
    </w:p>
    <w:p w:rsidR="002938BF" w:rsidRPr="006B5A5B" w:rsidP="00405430">
      <w:pPr>
        <w:spacing w:before="160" w:line="276" w:lineRule="auto"/>
        <w:rPr>
          <w:rFonts w:cs="Tahoma"/>
          <w:sz w:val="22"/>
        </w:rPr>
      </w:pPr>
      <w:r w:rsidRPr="006B5A5B">
        <w:rPr>
          <w:rFonts w:cs="Tahoma"/>
          <w:sz w:val="22"/>
        </w:rPr>
        <w:t>The Children and Young People’s Mental Health Coalition</w:t>
      </w:r>
      <w:r w:rsidRPr="006B5A5B">
        <w:rPr>
          <w:rFonts w:cs="Tahoma"/>
          <w:sz w:val="22"/>
        </w:rPr>
        <w:t>, hosted by Centre for Mental Health,</w:t>
      </w:r>
      <w:r w:rsidRPr="006B5A5B">
        <w:rPr>
          <w:rFonts w:cs="Tahoma"/>
          <w:sz w:val="22"/>
        </w:rPr>
        <w:t xml:space="preserve"> is a collaborative network of over 440 organisations, including mental health organisations, youth support services, educational institutions, and concerned individuals. We are dedicated to advocating for and influencing policy change in relation to the mental health needs of babies, children, and young people. </w:t>
      </w:r>
    </w:p>
    <w:p w:rsidR="002938BF" w:rsidRPr="006B5A5B" w:rsidP="00405430">
      <w:pPr>
        <w:spacing w:before="160" w:line="276" w:lineRule="auto"/>
        <w:rPr>
          <w:rFonts w:cs="Tahoma"/>
          <w:sz w:val="22"/>
        </w:rPr>
      </w:pPr>
      <w:r w:rsidRPr="006B5A5B">
        <w:rPr>
          <w:rFonts w:cs="Tahoma"/>
          <w:sz w:val="22"/>
        </w:rPr>
        <w:t>Together, we aim to raise awareness of the importance of babies, children and young people’s mental health and ensure that all children and young people have access to the necessary support and services.</w:t>
      </w:r>
    </w:p>
    <w:p w:rsidR="002938BF" w:rsidRPr="006B5A5B" w:rsidP="006B5A5B">
      <w:pPr>
        <w:pStyle w:val="Heading1"/>
      </w:pPr>
      <w:r w:rsidRPr="006B5A5B">
        <w:t>Summary</w:t>
      </w:r>
    </w:p>
    <w:p w:rsidR="002938BF" w:rsidRPr="006B5A5B" w:rsidP="00405430">
      <w:pPr>
        <w:spacing w:before="160" w:line="276" w:lineRule="auto"/>
        <w:rPr>
          <w:rFonts w:eastAsia="Tahoma" w:cs="Tahoma"/>
          <w:sz w:val="22"/>
          <w:lang w:val="en-US"/>
        </w:rPr>
      </w:pPr>
      <w:r w:rsidRPr="006B5A5B">
        <w:rPr>
          <w:rFonts w:eastAsia="Tahoma" w:cs="Tahoma"/>
          <w:sz w:val="22"/>
          <w:lang w:val="en-US"/>
        </w:rPr>
        <w:t xml:space="preserve">This submission </w:t>
      </w:r>
      <w:r w:rsidRPr="006B5A5B">
        <w:rPr>
          <w:rFonts w:eastAsia="Tahoma" w:cs="Tahoma"/>
          <w:sz w:val="22"/>
          <w:lang w:val="en-US"/>
        </w:rPr>
        <w:t xml:space="preserve">is a </w:t>
      </w:r>
      <w:r w:rsidRPr="006B5A5B">
        <w:rPr>
          <w:rFonts w:eastAsia="Tahoma" w:cs="Tahoma"/>
          <w:sz w:val="22"/>
          <w:lang w:val="en-US"/>
        </w:rPr>
        <w:t>respo</w:t>
      </w:r>
      <w:r w:rsidRPr="006B5A5B">
        <w:rPr>
          <w:rFonts w:eastAsia="Tahoma" w:cs="Tahoma"/>
          <w:sz w:val="22"/>
          <w:lang w:val="en-US"/>
        </w:rPr>
        <w:t>n</w:t>
      </w:r>
      <w:r w:rsidRPr="006B5A5B">
        <w:rPr>
          <w:rFonts w:eastAsia="Tahoma" w:cs="Tahoma"/>
          <w:sz w:val="22"/>
          <w:lang w:val="en-US"/>
        </w:rPr>
        <w:t>s</w:t>
      </w:r>
      <w:r w:rsidRPr="006B5A5B">
        <w:rPr>
          <w:rFonts w:eastAsia="Tahoma" w:cs="Tahoma"/>
          <w:sz w:val="22"/>
          <w:lang w:val="en-US"/>
        </w:rPr>
        <w:t>e</w:t>
      </w:r>
      <w:r w:rsidRPr="006B5A5B">
        <w:rPr>
          <w:rFonts w:eastAsia="Tahoma" w:cs="Tahoma"/>
          <w:sz w:val="22"/>
          <w:lang w:val="en-US"/>
        </w:rPr>
        <w:t xml:space="preserve"> to the Work and Pensions Committee inquiry </w:t>
      </w:r>
      <w:r w:rsidRPr="006B5A5B">
        <w:rPr>
          <w:rFonts w:eastAsia="Tahoma" w:cs="Tahoma"/>
          <w:sz w:val="22"/>
          <w:lang w:val="en-US"/>
        </w:rPr>
        <w:t>into</w:t>
      </w:r>
      <w:r w:rsidRPr="006B5A5B">
        <w:rPr>
          <w:rFonts w:eastAsia="Tahoma" w:cs="Tahoma"/>
          <w:sz w:val="22"/>
          <w:lang w:val="en-US"/>
        </w:rPr>
        <w:t xml:space="preserve"> youth employment, education and training. It </w:t>
      </w:r>
      <w:r w:rsidRPr="006B5A5B">
        <w:rPr>
          <w:rFonts w:eastAsia="Tahoma" w:cs="Tahoma"/>
          <w:sz w:val="22"/>
          <w:lang w:val="en-US"/>
        </w:rPr>
        <w:t>explores</w:t>
      </w:r>
      <w:r w:rsidRPr="006B5A5B">
        <w:rPr>
          <w:rFonts w:eastAsia="Tahoma" w:cs="Tahoma"/>
          <w:sz w:val="22"/>
          <w:lang w:val="en-US"/>
        </w:rPr>
        <w:t xml:space="preserve"> how mental ill-health shapes young people’s engagement with education, employment and training</w:t>
      </w:r>
      <w:r w:rsidRPr="006B5A5B">
        <w:rPr>
          <w:rFonts w:eastAsia="Tahoma" w:cs="Tahoma"/>
          <w:sz w:val="22"/>
          <w:lang w:val="en-US"/>
        </w:rPr>
        <w:t>, and lays out</w:t>
      </w:r>
      <w:r w:rsidRPr="006B5A5B">
        <w:rPr>
          <w:rFonts w:eastAsia="Tahoma" w:cs="Tahoma"/>
          <w:sz w:val="22"/>
          <w:lang w:val="en-US"/>
        </w:rPr>
        <w:t xml:space="preserve"> what changes are needed to </w:t>
      </w:r>
      <w:r w:rsidRPr="006B5A5B">
        <w:rPr>
          <w:rFonts w:eastAsia="Tahoma" w:cs="Tahoma"/>
          <w:sz w:val="22"/>
          <w:lang w:val="en-US"/>
        </w:rPr>
        <w:t>increase this engagement and improve mental health.</w:t>
      </w:r>
    </w:p>
    <w:p w:rsidR="002938BF" w:rsidRPr="006B5A5B" w:rsidP="00405430">
      <w:pPr>
        <w:spacing w:before="160" w:line="276" w:lineRule="auto"/>
        <w:rPr>
          <w:rFonts w:eastAsia="Tahoma" w:cs="Tahoma"/>
          <w:color w:val="242424"/>
          <w:sz w:val="22"/>
          <w:lang w:eastAsia="en-GB"/>
        </w:rPr>
      </w:pPr>
      <w:r w:rsidRPr="006B5A5B">
        <w:rPr>
          <w:rFonts w:eastAsia="Tahoma" w:cs="Tahoma"/>
          <w:sz w:val="22"/>
        </w:rPr>
        <w:t>Good mental health is often a foundational aspect of productive and fulfilling employment.  Yet today, m</w:t>
      </w:r>
      <w:r w:rsidRPr="006B5A5B">
        <w:rPr>
          <w:rFonts w:eastAsia="Tahoma" w:cs="Tahoma"/>
          <w:sz w:val="22"/>
        </w:rPr>
        <w:t xml:space="preserve">ental ill-health is a significant barrier </w:t>
      </w:r>
      <w:r w:rsidRPr="006B5A5B">
        <w:rPr>
          <w:rFonts w:eastAsia="Tahoma" w:cs="Tahoma"/>
          <w:sz w:val="22"/>
        </w:rPr>
        <w:t>preventing</w:t>
      </w:r>
      <w:r w:rsidRPr="006B5A5B">
        <w:rPr>
          <w:rFonts w:eastAsia="Tahoma" w:cs="Tahoma"/>
          <w:sz w:val="22"/>
        </w:rPr>
        <w:t xml:space="preserve"> many young people </w:t>
      </w:r>
      <w:r w:rsidRPr="006B5A5B">
        <w:rPr>
          <w:rFonts w:eastAsia="Tahoma" w:cs="Tahoma"/>
          <w:sz w:val="22"/>
        </w:rPr>
        <w:t>from</w:t>
      </w:r>
      <w:r w:rsidRPr="006B5A5B">
        <w:rPr>
          <w:rFonts w:eastAsia="Tahoma" w:cs="Tahoma"/>
          <w:sz w:val="22"/>
        </w:rPr>
        <w:t xml:space="preserve"> participating in employment, education and training. </w:t>
      </w:r>
      <w:r w:rsidRPr="006B5A5B">
        <w:rPr>
          <w:rFonts w:eastAsia="Tahoma" w:cs="Tahoma"/>
          <w:sz w:val="22"/>
        </w:rPr>
        <w:t xml:space="preserve">As of autumn 2025, nearly 1 million young people, aged 16-25, are considered NEET (Not in Employment, Education or Training) (ONS, 2025) with mental ill-health considered a significant driver of this phenomenon (DWP, 2025a). </w:t>
      </w:r>
      <w:r w:rsidRPr="006B5A5B">
        <w:rPr>
          <w:rFonts w:eastAsia="Tahoma" w:cs="Tahoma"/>
          <w:sz w:val="22"/>
        </w:rPr>
        <w:t xml:space="preserve">The </w:t>
      </w:r>
      <w:r w:rsidRPr="006B5A5B">
        <w:rPr>
          <w:rFonts w:eastAsia="Tahoma" w:cs="Tahoma"/>
          <w:sz w:val="22"/>
        </w:rPr>
        <w:t>onset</w:t>
      </w:r>
      <w:r w:rsidRPr="006B5A5B">
        <w:rPr>
          <w:rFonts w:eastAsia="Tahoma" w:cs="Tahoma"/>
          <w:sz w:val="22"/>
        </w:rPr>
        <w:t xml:space="preserve"> of mental health problems can impact </w:t>
      </w:r>
      <w:r w:rsidRPr="006B5A5B">
        <w:rPr>
          <w:rFonts w:eastAsia="Calibri" w:cs="Tahoma"/>
          <w:sz w:val="22"/>
        </w:rPr>
        <w:t xml:space="preserve">school engagement, </w:t>
      </w:r>
      <w:r w:rsidRPr="006B5A5B">
        <w:rPr>
          <w:rFonts w:eastAsia="Calibri" w:cs="Tahoma"/>
          <w:sz w:val="22"/>
        </w:rPr>
        <w:t>including</w:t>
      </w:r>
      <w:r w:rsidRPr="006B5A5B">
        <w:rPr>
          <w:rFonts w:eastAsia="Calibri" w:cs="Tahoma"/>
          <w:sz w:val="22"/>
        </w:rPr>
        <w:t xml:space="preserve"> </w:t>
      </w:r>
      <w:r w:rsidRPr="006B5A5B">
        <w:rPr>
          <w:rFonts w:eastAsia="Calibri" w:cs="Tahoma"/>
          <w:sz w:val="22"/>
        </w:rPr>
        <w:t>attendance and academic performance, and career prospects, including the ability to find and stay in employment.</w:t>
      </w:r>
      <w:r w:rsidRPr="006B5A5B">
        <w:rPr>
          <w:rFonts w:eastAsia="Tahoma" w:cs="Tahoma"/>
          <w:sz w:val="22"/>
        </w:rPr>
        <w:t xml:space="preserve"> </w:t>
      </w:r>
    </w:p>
    <w:p w:rsidR="002938BF" w:rsidRPr="006B5A5B" w:rsidP="00405430">
      <w:pPr>
        <w:spacing w:before="160" w:line="276" w:lineRule="auto"/>
        <w:rPr>
          <w:rFonts w:eastAsia="Tahoma" w:cs="Tahoma"/>
          <w:sz w:val="22"/>
        </w:rPr>
      </w:pPr>
      <w:r>
        <w:rPr>
          <w:rFonts w:eastAsia="Tahoma" w:cs="Tahoma"/>
          <w:sz w:val="22"/>
        </w:rPr>
        <w:t>To properly understand and address the NEET crisis, we must move away</w:t>
      </w:r>
      <w:r w:rsidRPr="006B5A5B">
        <w:rPr>
          <w:rFonts w:eastAsia="Tahoma" w:cs="Tahoma"/>
          <w:sz w:val="22"/>
        </w:rPr>
        <w:t xml:space="preserve"> from focusing on individual responsibility</w:t>
      </w:r>
      <w:r>
        <w:rPr>
          <w:rFonts w:eastAsia="Tahoma" w:cs="Tahoma"/>
          <w:sz w:val="22"/>
        </w:rPr>
        <w:t xml:space="preserve">. We must instead </w:t>
      </w:r>
      <w:r w:rsidRPr="006B5A5B">
        <w:rPr>
          <w:rFonts w:eastAsia="Tahoma" w:cs="Tahoma"/>
          <w:sz w:val="22"/>
        </w:rPr>
        <w:t>recognis</w:t>
      </w:r>
      <w:r>
        <w:rPr>
          <w:rFonts w:eastAsia="Tahoma" w:cs="Tahoma"/>
          <w:sz w:val="22"/>
        </w:rPr>
        <w:t xml:space="preserve">e </w:t>
      </w:r>
      <w:r w:rsidRPr="006B5A5B">
        <w:rPr>
          <w:rFonts w:eastAsia="Tahoma" w:cs="Tahoma"/>
          <w:sz w:val="22"/>
        </w:rPr>
        <w:t xml:space="preserve">the wider drivers </w:t>
      </w:r>
      <w:r w:rsidRPr="006B5A5B">
        <w:rPr>
          <w:rFonts w:eastAsia="Tahoma" w:cs="Tahoma"/>
          <w:sz w:val="22"/>
        </w:rPr>
        <w:t>that have shaped this crisis</w:t>
      </w:r>
      <w:r w:rsidRPr="006B5A5B">
        <w:rPr>
          <w:rFonts w:eastAsia="Tahoma" w:cs="Tahoma"/>
          <w:sz w:val="22"/>
        </w:rPr>
        <w:t xml:space="preserve">: </w:t>
      </w:r>
      <w:r w:rsidRPr="006B5A5B">
        <w:rPr>
          <w:rFonts w:eastAsia="Tahoma" w:cs="Tahoma"/>
          <w:sz w:val="22"/>
        </w:rPr>
        <w:t>the</w:t>
      </w:r>
      <w:r w:rsidRPr="006B5A5B">
        <w:rPr>
          <w:rFonts w:eastAsia="Tahoma" w:cs="Tahoma"/>
          <w:sz w:val="22"/>
        </w:rPr>
        <w:t xml:space="preserve"> changing nature of the labour market and </w:t>
      </w:r>
      <w:r w:rsidRPr="006B5A5B">
        <w:rPr>
          <w:rFonts w:eastAsia="Tahoma" w:cs="Tahoma"/>
          <w:sz w:val="22"/>
        </w:rPr>
        <w:t>high levels of mental ill-health, stress and burnout amongst children and young people.</w:t>
      </w:r>
    </w:p>
    <w:p w:rsidR="002938BF" w:rsidP="00405430">
      <w:pPr>
        <w:spacing w:before="160" w:line="276" w:lineRule="auto"/>
        <w:rPr>
          <w:rFonts w:eastAsia="Tahoma" w:cs="Tahoma"/>
          <w:sz w:val="22"/>
        </w:rPr>
      </w:pPr>
      <w:r w:rsidRPr="006B5A5B">
        <w:rPr>
          <w:rFonts w:eastAsia="Tahoma" w:cs="Tahoma"/>
          <w:sz w:val="22"/>
        </w:rPr>
        <w:t xml:space="preserve">Young people more than anyone else want to </w:t>
      </w:r>
      <w:r w:rsidRPr="006B5A5B">
        <w:rPr>
          <w:rFonts w:eastAsia="Tahoma" w:cs="Tahoma"/>
          <w:sz w:val="22"/>
        </w:rPr>
        <w:t xml:space="preserve">access opportunities, </w:t>
      </w:r>
      <w:r w:rsidRPr="006B5A5B">
        <w:rPr>
          <w:rFonts w:eastAsia="Tahoma" w:cs="Tahoma"/>
          <w:sz w:val="22"/>
        </w:rPr>
        <w:t>develop a career and contribute towards society</w:t>
      </w:r>
      <w:r>
        <w:rPr>
          <w:rFonts w:eastAsia="Tahoma" w:cs="Tahoma"/>
          <w:sz w:val="22"/>
        </w:rPr>
        <w:t>. A</w:t>
      </w:r>
      <w:r w:rsidRPr="006B5A5B">
        <w:rPr>
          <w:rFonts w:eastAsia="Tahoma" w:cs="Tahoma"/>
          <w:sz w:val="22"/>
        </w:rPr>
        <w:t xml:space="preserve"> key challenge is </w:t>
      </w:r>
      <w:r>
        <w:rPr>
          <w:rFonts w:eastAsia="Tahoma" w:cs="Tahoma"/>
          <w:sz w:val="22"/>
        </w:rPr>
        <w:t>ensuring</w:t>
      </w:r>
      <w:r w:rsidRPr="006B5A5B">
        <w:rPr>
          <w:rFonts w:eastAsia="Tahoma" w:cs="Tahoma"/>
          <w:sz w:val="22"/>
        </w:rPr>
        <w:t xml:space="preserve"> th</w:t>
      </w:r>
      <w:r>
        <w:rPr>
          <w:rFonts w:eastAsia="Tahoma" w:cs="Tahoma"/>
          <w:sz w:val="22"/>
        </w:rPr>
        <w:t xml:space="preserve">at </w:t>
      </w:r>
      <w:r w:rsidRPr="006B5A5B">
        <w:rPr>
          <w:rFonts w:eastAsia="Tahoma" w:cs="Tahoma"/>
          <w:sz w:val="22"/>
        </w:rPr>
        <w:t>work is p</w:t>
      </w:r>
      <w:r w:rsidRPr="006B5A5B">
        <w:rPr>
          <w:rFonts w:eastAsia="Tahoma" w:cs="Tahoma"/>
          <w:sz w:val="22"/>
        </w:rPr>
        <w:t>roperly</w:t>
      </w:r>
      <w:r w:rsidRPr="006B5A5B">
        <w:rPr>
          <w:rFonts w:eastAsia="Tahoma" w:cs="Tahoma"/>
          <w:sz w:val="22"/>
        </w:rPr>
        <w:t xml:space="preserve"> suited </w:t>
      </w:r>
      <w:r w:rsidRPr="006B5A5B">
        <w:rPr>
          <w:rFonts w:eastAsia="Tahoma" w:cs="Tahoma"/>
          <w:sz w:val="22"/>
        </w:rPr>
        <w:t xml:space="preserve">to them </w:t>
      </w:r>
      <w:r w:rsidRPr="006B5A5B">
        <w:rPr>
          <w:rFonts w:eastAsia="Tahoma" w:cs="Tahoma"/>
          <w:sz w:val="22"/>
        </w:rPr>
        <w:t xml:space="preserve">and does not </w:t>
      </w:r>
      <w:r w:rsidRPr="006B5A5B">
        <w:rPr>
          <w:rFonts w:eastAsia="Tahoma" w:cs="Tahoma"/>
          <w:sz w:val="22"/>
        </w:rPr>
        <w:t>contribute toward</w:t>
      </w:r>
      <w:r w:rsidRPr="006B5A5B">
        <w:rPr>
          <w:rFonts w:eastAsia="Tahoma" w:cs="Tahoma"/>
          <w:sz w:val="22"/>
        </w:rPr>
        <w:t xml:space="preserve"> </w:t>
      </w:r>
      <w:r w:rsidRPr="006B5A5B">
        <w:rPr>
          <w:rFonts w:eastAsia="Tahoma" w:cs="Tahoma"/>
          <w:sz w:val="22"/>
        </w:rPr>
        <w:t xml:space="preserve">making them unwell. </w:t>
      </w:r>
      <w:r>
        <w:rPr>
          <w:rFonts w:eastAsia="Tahoma" w:cs="Tahoma"/>
          <w:sz w:val="22"/>
        </w:rPr>
        <w:t>It is not sufficient to simply get</w:t>
      </w:r>
      <w:r w:rsidRPr="006B5A5B">
        <w:rPr>
          <w:rFonts w:eastAsia="Tahoma" w:cs="Tahoma"/>
          <w:sz w:val="22"/>
        </w:rPr>
        <w:t xml:space="preserve"> young people into work</w:t>
      </w:r>
      <w:r>
        <w:rPr>
          <w:rFonts w:eastAsia="Tahoma" w:cs="Tahoma"/>
          <w:sz w:val="22"/>
        </w:rPr>
        <w:t xml:space="preserve"> – we must also ensure this work is</w:t>
      </w:r>
      <w:r w:rsidRPr="006B5A5B">
        <w:rPr>
          <w:rFonts w:eastAsia="Tahoma" w:cs="Tahoma"/>
          <w:sz w:val="22"/>
        </w:rPr>
        <w:t xml:space="preserve"> relevant </w:t>
      </w:r>
      <w:r w:rsidRPr="006B5A5B">
        <w:rPr>
          <w:rFonts w:eastAsia="Tahoma" w:cs="Tahoma"/>
          <w:sz w:val="22"/>
        </w:rPr>
        <w:t xml:space="preserve">and </w:t>
      </w:r>
      <w:r w:rsidRPr="006B5A5B">
        <w:rPr>
          <w:rFonts w:eastAsia="Tahoma" w:cs="Tahoma"/>
          <w:sz w:val="22"/>
        </w:rPr>
        <w:t>appropriate to their goals, skills, interests and needs.</w:t>
      </w:r>
      <w:r>
        <w:rPr>
          <w:rFonts w:eastAsia="Tahoma" w:cs="Tahoma"/>
          <w:sz w:val="22"/>
        </w:rPr>
        <w:t xml:space="preserve"> </w:t>
      </w:r>
    </w:p>
    <w:p w:rsidR="002938BF" w:rsidRPr="006B5A5B" w:rsidP="00405430">
      <w:pPr>
        <w:spacing w:before="160" w:line="276" w:lineRule="auto"/>
        <w:rPr>
          <w:rFonts w:eastAsia="Tahoma" w:cs="Tahoma"/>
          <w:sz w:val="22"/>
        </w:rPr>
      </w:pPr>
      <w:r>
        <w:rPr>
          <w:rFonts w:eastAsia="Tahoma" w:cs="Tahoma"/>
          <w:sz w:val="22"/>
        </w:rPr>
        <w:t>But the</w:t>
      </w:r>
      <w:r w:rsidRPr="006B5A5B">
        <w:rPr>
          <w:rFonts w:eastAsia="Tahoma" w:cs="Tahoma"/>
          <w:sz w:val="22"/>
        </w:rPr>
        <w:t xml:space="preserve"> first ste</w:t>
      </w:r>
      <w:r>
        <w:rPr>
          <w:rFonts w:eastAsia="Tahoma" w:cs="Tahoma"/>
          <w:sz w:val="22"/>
        </w:rPr>
        <w:t>p i</w:t>
      </w:r>
      <w:r w:rsidRPr="006B5A5B">
        <w:rPr>
          <w:rFonts w:eastAsia="Tahoma" w:cs="Tahoma"/>
          <w:sz w:val="22"/>
        </w:rPr>
        <w:t xml:space="preserve">s addressing </w:t>
      </w:r>
      <w:r>
        <w:rPr>
          <w:rFonts w:eastAsia="Tahoma" w:cs="Tahoma"/>
          <w:sz w:val="22"/>
        </w:rPr>
        <w:t xml:space="preserve">young people’s mental health needs, so that they </w:t>
      </w:r>
      <w:r>
        <w:rPr>
          <w:rFonts w:eastAsia="Tahoma" w:cs="Tahoma"/>
          <w:sz w:val="22"/>
        </w:rPr>
        <w:t>are well enough to work</w:t>
      </w:r>
      <w:r>
        <w:rPr>
          <w:rFonts w:eastAsia="Tahoma" w:cs="Tahoma"/>
          <w:sz w:val="22"/>
        </w:rPr>
        <w:t>. To do this, the Government should</w:t>
      </w:r>
      <w:r w:rsidRPr="006B5A5B">
        <w:rPr>
          <w:rFonts w:eastAsia="Tahoma" w:cs="Tahoma"/>
          <w:sz w:val="22"/>
        </w:rPr>
        <w:t xml:space="preserve"> increas</w:t>
      </w:r>
      <w:r>
        <w:rPr>
          <w:rFonts w:eastAsia="Tahoma" w:cs="Tahoma"/>
          <w:sz w:val="22"/>
        </w:rPr>
        <w:t>e</w:t>
      </w:r>
      <w:r w:rsidRPr="006B5A5B">
        <w:rPr>
          <w:rFonts w:eastAsia="Tahoma" w:cs="Tahoma"/>
          <w:sz w:val="22"/>
        </w:rPr>
        <w:t xml:space="preserve"> the </w:t>
      </w:r>
      <w:r w:rsidRPr="006B5A5B">
        <w:rPr>
          <w:rFonts w:eastAsia="Tahoma" w:cs="Tahoma"/>
          <w:sz w:val="22"/>
        </w:rPr>
        <w:t xml:space="preserve">support available across health, education and community settings. </w:t>
      </w:r>
    </w:p>
    <w:p w:rsidR="002938BF" w:rsidRPr="006B5A5B" w:rsidP="006B5A5B">
      <w:pPr>
        <w:pStyle w:val="Heading1"/>
      </w:pPr>
      <w:r w:rsidRPr="006B5A5B">
        <w:t>Y</w:t>
      </w:r>
      <w:r w:rsidRPr="006B5A5B">
        <w:t xml:space="preserve">oung people </w:t>
      </w:r>
      <w:r w:rsidRPr="006B5A5B">
        <w:t xml:space="preserve">who are </w:t>
      </w:r>
      <w:r w:rsidRPr="006B5A5B">
        <w:t>NEET</w:t>
      </w:r>
    </w:p>
    <w:p w:rsidR="002938BF" w:rsidRPr="006B5A5B" w:rsidP="00405430">
      <w:pPr>
        <w:pStyle w:val="ListParagraph"/>
        <w:numPr>
          <w:ilvl w:val="0"/>
          <w:numId w:val="21"/>
        </w:numPr>
        <w:spacing w:before="160" w:line="276" w:lineRule="auto"/>
        <w:rPr>
          <w:rFonts w:eastAsia="Calibri" w:cs="Tahoma"/>
          <w:sz w:val="22"/>
          <w:u w:val="single"/>
        </w:rPr>
      </w:pPr>
      <w:r w:rsidRPr="006B5A5B">
        <w:rPr>
          <w:rFonts w:eastAsia="Calibri" w:cs="Tahoma"/>
          <w:sz w:val="22"/>
          <w:u w:val="single"/>
        </w:rPr>
        <w:t>What factors lead to a young person not being in education, employment and training?</w:t>
      </w:r>
    </w:p>
    <w:p w:rsidR="002938BF" w:rsidRPr="006B5A5B" w:rsidP="00405430">
      <w:pPr>
        <w:spacing w:before="160" w:line="276" w:lineRule="auto"/>
        <w:rPr>
          <w:rFonts w:eastAsia="Calibri" w:cs="Tahoma"/>
          <w:sz w:val="22"/>
        </w:rPr>
      </w:pPr>
      <w:r w:rsidRPr="006B5A5B">
        <w:rPr>
          <w:rFonts w:eastAsia="Calibri" w:cs="Tahoma"/>
          <w:sz w:val="22"/>
        </w:rPr>
        <w:t xml:space="preserve">Mental ill-health is </w:t>
      </w:r>
      <w:r w:rsidRPr="006B5A5B">
        <w:rPr>
          <w:rFonts w:eastAsia="Calibri" w:cs="Tahoma"/>
          <w:sz w:val="22"/>
        </w:rPr>
        <w:t>increasingly cited as a key factor driving</w:t>
      </w:r>
      <w:r w:rsidRPr="006B5A5B">
        <w:rPr>
          <w:rFonts w:eastAsia="Calibri" w:cs="Tahoma"/>
          <w:sz w:val="22"/>
        </w:rPr>
        <w:t xml:space="preserve"> the rising numbers of young people not in employment, education or training in the UK. </w:t>
      </w:r>
    </w:p>
    <w:p w:rsidR="002938BF" w:rsidRPr="006B5A5B" w:rsidP="00405430">
      <w:pPr>
        <w:spacing w:before="160" w:line="276" w:lineRule="auto"/>
        <w:rPr>
          <w:rFonts w:eastAsia="Calibri" w:cs="Tahoma"/>
          <w:sz w:val="22"/>
        </w:rPr>
      </w:pPr>
      <w:r w:rsidRPr="006B5A5B">
        <w:rPr>
          <w:rFonts w:eastAsia="Calibri" w:cs="Tahoma"/>
          <w:sz w:val="22"/>
        </w:rPr>
        <w:t>T</w:t>
      </w:r>
      <w:r w:rsidRPr="006B5A5B">
        <w:rPr>
          <w:rFonts w:eastAsia="Calibri" w:cs="Tahoma"/>
          <w:sz w:val="22"/>
        </w:rPr>
        <w:t xml:space="preserve">he number of children and young people experiencing mental health </w:t>
      </w:r>
      <w:r w:rsidRPr="006B5A5B">
        <w:rPr>
          <w:rFonts w:eastAsia="Calibri" w:cs="Tahoma"/>
          <w:sz w:val="22"/>
        </w:rPr>
        <w:t xml:space="preserve">problems </w:t>
      </w:r>
      <w:r w:rsidRPr="006B5A5B">
        <w:rPr>
          <w:rFonts w:eastAsia="Calibri" w:cs="Tahoma"/>
          <w:sz w:val="22"/>
        </w:rPr>
        <w:t xml:space="preserve">has risen sharply in recent years, </w:t>
      </w:r>
      <w:r w:rsidRPr="006B5A5B">
        <w:rPr>
          <w:rFonts w:eastAsia="Calibri" w:cs="Tahoma"/>
          <w:sz w:val="22"/>
        </w:rPr>
        <w:t xml:space="preserve">particularly </w:t>
      </w:r>
      <w:r w:rsidRPr="006B5A5B">
        <w:rPr>
          <w:rFonts w:eastAsia="Calibri" w:cs="Tahoma"/>
          <w:sz w:val="22"/>
        </w:rPr>
        <w:t xml:space="preserve">since the COVID-19 pandemic, </w:t>
      </w:r>
      <w:r w:rsidRPr="006B5A5B">
        <w:rPr>
          <w:rFonts w:eastAsia="Calibri" w:cs="Tahoma"/>
          <w:sz w:val="22"/>
        </w:rPr>
        <w:t xml:space="preserve">with around 1 in 5 people aged 8-25 </w:t>
      </w:r>
      <w:r w:rsidRPr="006B5A5B">
        <w:rPr>
          <w:rFonts w:eastAsia="Calibri" w:cs="Tahoma"/>
          <w:sz w:val="22"/>
        </w:rPr>
        <w:t xml:space="preserve">now </w:t>
      </w:r>
      <w:r w:rsidRPr="006B5A5B">
        <w:rPr>
          <w:rFonts w:eastAsia="Calibri" w:cs="Tahoma"/>
          <w:sz w:val="22"/>
        </w:rPr>
        <w:t>with a</w:t>
      </w:r>
      <w:r w:rsidRPr="006B5A5B">
        <w:rPr>
          <w:rFonts w:eastAsia="Calibri" w:cs="Tahoma"/>
          <w:sz w:val="22"/>
        </w:rPr>
        <w:t xml:space="preserve"> probable mental health condition (NHS Digital, 2023). </w:t>
      </w:r>
      <w:r w:rsidRPr="006B5A5B">
        <w:rPr>
          <w:rFonts w:eastAsia="Calibri" w:cs="Tahoma"/>
          <w:sz w:val="22"/>
        </w:rPr>
        <w:t>F</w:t>
      </w:r>
      <w:r w:rsidRPr="006B5A5B">
        <w:rPr>
          <w:rFonts w:eastAsia="Calibri" w:cs="Tahoma"/>
          <w:sz w:val="22"/>
        </w:rPr>
        <w:t>unding and service provision ha</w:t>
      </w:r>
      <w:r w:rsidRPr="006B5A5B">
        <w:rPr>
          <w:rFonts w:eastAsia="Calibri" w:cs="Tahoma"/>
          <w:sz w:val="22"/>
        </w:rPr>
        <w:t>s</w:t>
      </w:r>
      <w:r w:rsidRPr="006B5A5B">
        <w:rPr>
          <w:rFonts w:eastAsia="Calibri" w:cs="Tahoma"/>
          <w:sz w:val="22"/>
        </w:rPr>
        <w:t xml:space="preserve"> not kept pace with demand,</w:t>
      </w:r>
      <w:r w:rsidRPr="006B5A5B">
        <w:rPr>
          <w:rFonts w:eastAsia="Calibri" w:cs="Tahoma"/>
          <w:sz w:val="22"/>
        </w:rPr>
        <w:t xml:space="preserve"> </w:t>
      </w:r>
      <w:r w:rsidRPr="006B5A5B">
        <w:rPr>
          <w:rFonts w:eastAsia="Calibri" w:cs="Tahoma"/>
          <w:sz w:val="22"/>
        </w:rPr>
        <w:t>leading to an unprecedented</w:t>
      </w:r>
      <w:r w:rsidRPr="006B5A5B">
        <w:rPr>
          <w:rFonts w:eastAsia="Calibri" w:cs="Tahoma"/>
          <w:sz w:val="22"/>
        </w:rPr>
        <w:t xml:space="preserve"> </w:t>
      </w:r>
      <w:r w:rsidRPr="006B5A5B">
        <w:rPr>
          <w:rFonts w:eastAsia="Calibri" w:cs="Tahoma"/>
          <w:sz w:val="22"/>
        </w:rPr>
        <w:t>mental health crisis for children and young people in the UK.</w:t>
      </w:r>
    </w:p>
    <w:p w:rsidR="002938BF" w:rsidP="00405430">
      <w:pPr>
        <w:spacing w:before="160" w:line="276" w:lineRule="auto"/>
        <w:rPr>
          <w:rFonts w:eastAsia="Calibri" w:cs="Tahoma"/>
          <w:sz w:val="22"/>
        </w:rPr>
      </w:pPr>
      <w:r w:rsidRPr="006B5A5B">
        <w:rPr>
          <w:rFonts w:eastAsia="Calibri" w:cs="Tahoma"/>
          <w:sz w:val="22"/>
        </w:rPr>
        <w:t>Half of mental illnesses start before the age of 14, and three-quarters before the age of 24 (</w:t>
      </w:r>
      <w:r w:rsidRPr="006B5A5B">
        <w:rPr>
          <w:rFonts w:eastAsia="Calibri" w:cs="Tahoma"/>
          <w:sz w:val="22"/>
        </w:rPr>
        <w:t>W</w:t>
      </w:r>
      <w:r w:rsidRPr="006B5A5B">
        <w:rPr>
          <w:rFonts w:eastAsia="Calibri" w:cs="Tahoma"/>
          <w:sz w:val="22"/>
        </w:rPr>
        <w:t>HO</w:t>
      </w:r>
      <w:r w:rsidRPr="006B5A5B">
        <w:rPr>
          <w:rFonts w:eastAsia="Calibri" w:cs="Tahoma"/>
          <w:sz w:val="22"/>
        </w:rPr>
        <w:t>,</w:t>
      </w:r>
      <w:r w:rsidRPr="006B5A5B">
        <w:rPr>
          <w:rFonts w:eastAsia="Calibri" w:cs="Tahoma"/>
          <w:sz w:val="22"/>
        </w:rPr>
        <w:t xml:space="preserve"> 2018</w:t>
      </w:r>
      <w:r w:rsidRPr="006B5A5B">
        <w:rPr>
          <w:rFonts w:eastAsia="Calibri" w:cs="Tahoma"/>
          <w:sz w:val="22"/>
        </w:rPr>
        <w:t xml:space="preserve"> in RCPsych, 2024</w:t>
      </w:r>
      <w:r w:rsidRPr="006B5A5B">
        <w:rPr>
          <w:rFonts w:eastAsia="Calibri" w:cs="Tahoma"/>
          <w:sz w:val="22"/>
        </w:rPr>
        <w:t>)</w:t>
      </w:r>
      <w:r w:rsidRPr="006B5A5B">
        <w:rPr>
          <w:rFonts w:eastAsia="Calibri" w:cs="Tahoma"/>
          <w:sz w:val="22"/>
        </w:rPr>
        <w:t xml:space="preserve">. If left untreated, early symptoms can persist into adulthood and develop into more serious conditions. This can have long-term, wide-reaching impacts on a young person’s life – including their education, employment, and productivity across the lifespan. </w:t>
      </w:r>
      <w:r w:rsidRPr="006B5A5B">
        <w:rPr>
          <w:rFonts w:eastAsia="Calibri" w:cs="Tahoma"/>
          <w:sz w:val="22"/>
        </w:rPr>
        <w:t xml:space="preserve">The impact of childhood mental health problems costs the UK an </w:t>
      </w:r>
      <w:r w:rsidRPr="006B5A5B">
        <w:rPr>
          <w:rFonts w:eastAsia="Calibri" w:cs="Tahoma"/>
          <w:sz w:val="22"/>
        </w:rPr>
        <w:t xml:space="preserve">estimated </w:t>
      </w:r>
      <w:r w:rsidRPr="006B5A5B">
        <w:rPr>
          <w:rFonts w:eastAsia="Calibri" w:cs="Tahoma"/>
          <w:sz w:val="22"/>
        </w:rPr>
        <w:t>£1 trillion in lost earnings across the generation (</w:t>
      </w:r>
      <w:r w:rsidRPr="006B5A5B">
        <w:rPr>
          <w:rFonts w:eastAsia="Calibri" w:cs="Tahoma"/>
          <w:sz w:val="22"/>
        </w:rPr>
        <w:t>Centre for Mental Health</w:t>
      </w:r>
      <w:r w:rsidRPr="006B5A5B">
        <w:rPr>
          <w:rFonts w:eastAsia="Calibri" w:cs="Tahoma"/>
          <w:sz w:val="22"/>
        </w:rPr>
        <w:t>, 2025).</w:t>
      </w:r>
    </w:p>
    <w:p w:rsidR="002938BF" w:rsidRPr="00333337" w:rsidP="00405430">
      <w:pPr>
        <w:spacing w:before="160" w:line="276" w:lineRule="auto"/>
        <w:rPr>
          <w:rFonts w:eastAsia="Calibri" w:cs="Tahoma"/>
          <w:b/>
          <w:bCs/>
          <w:sz w:val="22"/>
        </w:rPr>
      </w:pPr>
      <w:r>
        <w:rPr>
          <w:rFonts w:eastAsia="Calibri" w:cs="Tahoma"/>
          <w:b/>
          <w:bCs/>
          <w:sz w:val="22"/>
        </w:rPr>
        <w:t>Education</w:t>
      </w:r>
    </w:p>
    <w:p w:rsidR="002938BF" w:rsidRPr="006B5A5B" w:rsidP="00405430">
      <w:pPr>
        <w:spacing w:before="160" w:line="276" w:lineRule="auto"/>
        <w:rPr>
          <w:rFonts w:eastAsia="Calibri" w:cs="Tahoma"/>
          <w:sz w:val="22"/>
        </w:rPr>
      </w:pPr>
      <w:r w:rsidRPr="006B5A5B">
        <w:rPr>
          <w:rFonts w:eastAsia="Calibri" w:cs="Tahoma"/>
          <w:sz w:val="22"/>
        </w:rPr>
        <w:t xml:space="preserve">Mental health problems can negatively impact a </w:t>
      </w:r>
      <w:r>
        <w:rPr>
          <w:rFonts w:eastAsia="Calibri" w:cs="Tahoma"/>
          <w:sz w:val="22"/>
        </w:rPr>
        <w:t>child</w:t>
      </w:r>
      <w:r w:rsidRPr="006B5A5B">
        <w:rPr>
          <w:rFonts w:eastAsia="Calibri" w:cs="Tahoma"/>
          <w:sz w:val="22"/>
        </w:rPr>
        <w:t>’s ability to attend and succeed in school, increasing the likelihood that they will be NEET in the future.</w:t>
      </w:r>
      <w:r>
        <w:rPr>
          <w:rFonts w:eastAsia="Calibri" w:cs="Tahoma"/>
          <w:sz w:val="22"/>
        </w:rPr>
        <w:t xml:space="preserve"> </w:t>
      </w:r>
      <w:r w:rsidRPr="006B5A5B">
        <w:rPr>
          <w:rFonts w:eastAsia="Calibri" w:cs="Tahoma"/>
          <w:sz w:val="22"/>
        </w:rPr>
        <w:t xml:space="preserve">The number of children missing school due to poor mental wellbeing is increasing, with 1 in 8 being absent for over 15 days in the Autumn term of 2023 (Resolution Foundation, 2024). The same report found that children aged 11-14 who experience poor mental health are 3 times less likely to pass 5 GCSEs, including Maths and English, compared to their peers without mental health concerns. </w:t>
      </w:r>
    </w:p>
    <w:p w:rsidR="002938BF" w:rsidP="00405430">
      <w:pPr>
        <w:spacing w:before="160" w:line="276" w:lineRule="auto"/>
        <w:rPr>
          <w:rFonts w:eastAsia="Calibri" w:cs="Tahoma"/>
          <w:sz w:val="22"/>
        </w:rPr>
      </w:pPr>
      <w:r w:rsidRPr="006B5A5B">
        <w:rPr>
          <w:rFonts w:eastAsia="Calibri" w:cs="Tahoma"/>
          <w:sz w:val="22"/>
        </w:rPr>
        <w:t>This gap in educational attainment for children with mental health problems can have a considerable knock-on impact on their higher education and employment prospects – especially if they are not able to access timely, appropriate support.</w:t>
      </w:r>
    </w:p>
    <w:p w:rsidR="002938BF" w:rsidRPr="00333337" w:rsidP="00405430">
      <w:pPr>
        <w:spacing w:before="160" w:line="276" w:lineRule="auto"/>
        <w:rPr>
          <w:rFonts w:eastAsia="Calibri" w:cs="Tahoma"/>
          <w:b/>
          <w:bCs/>
          <w:sz w:val="22"/>
        </w:rPr>
      </w:pPr>
      <w:r>
        <w:rPr>
          <w:rFonts w:eastAsia="Calibri" w:cs="Tahoma"/>
          <w:b/>
          <w:bCs/>
          <w:sz w:val="22"/>
        </w:rPr>
        <w:t>Employment and economic inactivity</w:t>
      </w:r>
    </w:p>
    <w:p w:rsidR="002938BF" w:rsidRPr="00092676" w:rsidP="00405430">
      <w:pPr>
        <w:spacing w:before="160" w:line="276" w:lineRule="auto"/>
        <w:rPr>
          <w:rFonts w:eastAsia="Calibri" w:cs="Tahoma"/>
          <w:sz w:val="22"/>
        </w:rPr>
      </w:pPr>
      <w:r w:rsidRPr="006B5A5B">
        <w:rPr>
          <w:rFonts w:eastAsia="Calibri" w:cs="Tahoma"/>
          <w:sz w:val="22"/>
        </w:rPr>
        <w:t xml:space="preserve">Young people with mental health problems are almost twice as likely to be unemployed as those without them (Resolution Foundation, 2024). Data from 2018-2022 shows that around 1 in 5 people aged 18-24 with mental health problems were workless, compared to just over 1 in 10 without mental health difficulties. </w:t>
      </w:r>
    </w:p>
    <w:p w:rsidR="002938BF" w:rsidRPr="006B5A5B" w:rsidP="00405430">
      <w:pPr>
        <w:spacing w:before="160" w:line="276" w:lineRule="auto"/>
        <w:rPr>
          <w:rFonts w:eastAsia="Tahoma" w:cs="Tahoma"/>
          <w:sz w:val="22"/>
        </w:rPr>
      </w:pPr>
      <w:r w:rsidRPr="006B5A5B">
        <w:rPr>
          <w:rFonts w:eastAsia="Calibri" w:cs="Tahoma"/>
          <w:sz w:val="22"/>
        </w:rPr>
        <w:t>This cohort</w:t>
      </w:r>
      <w:r w:rsidRPr="006B5A5B">
        <w:rPr>
          <w:rFonts w:eastAsia="Tahoma" w:cs="Tahoma"/>
          <w:sz w:val="22"/>
        </w:rPr>
        <w:t xml:space="preserve"> are also nearly 5 times more likely to be economically inactive compared to young people without a mental health problem (DWP, 2025</w:t>
      </w:r>
      <w:r w:rsidRPr="006B5A5B">
        <w:rPr>
          <w:rFonts w:eastAsia="Tahoma" w:cs="Tahoma"/>
          <w:sz w:val="22"/>
        </w:rPr>
        <w:t>b</w:t>
      </w:r>
      <w:r w:rsidRPr="006B5A5B">
        <w:rPr>
          <w:rFonts w:eastAsia="Tahoma" w:cs="Tahoma"/>
          <w:sz w:val="22"/>
        </w:rPr>
        <w:t>).</w:t>
      </w:r>
      <w:r w:rsidRPr="006B5A5B">
        <w:rPr>
          <w:rFonts w:eastAsia="Calibri" w:cs="Tahoma"/>
          <w:sz w:val="22"/>
        </w:rPr>
        <w:t xml:space="preserve"> </w:t>
      </w:r>
      <w:r w:rsidRPr="006B5A5B">
        <w:rPr>
          <w:rFonts w:eastAsia="Calibri" w:cs="Tahoma"/>
          <w:sz w:val="22"/>
        </w:rPr>
        <w:t xml:space="preserve">Whilst there are narratives within public discourse that young people’s resilience to mental ill-health has declined over time, the evidence does not support this. Rather, </w:t>
      </w:r>
      <w:r w:rsidRPr="006B5A5B">
        <w:rPr>
          <w:rFonts w:eastAsia="Calibri" w:cs="Tahoma"/>
          <w:sz w:val="22"/>
        </w:rPr>
        <w:t>real increases in</w:t>
      </w:r>
      <w:r w:rsidRPr="006B5A5B">
        <w:rPr>
          <w:rFonts w:eastAsia="Calibri" w:cs="Tahoma"/>
          <w:sz w:val="22"/>
        </w:rPr>
        <w:t xml:space="preserve"> financial insecurity,</w:t>
      </w:r>
      <w:r w:rsidRPr="006B5A5B">
        <w:rPr>
          <w:rFonts w:eastAsia="Calibri" w:cs="Tahoma"/>
          <w:sz w:val="22"/>
        </w:rPr>
        <w:t xml:space="preserve"> particularly </w:t>
      </w:r>
      <w:r w:rsidRPr="006B5A5B">
        <w:rPr>
          <w:rFonts w:eastAsia="Calibri" w:cs="Tahoma"/>
          <w:sz w:val="22"/>
        </w:rPr>
        <w:t>housing affordability and unstable employment, have contributed to worsening mental health among young people (You</w:t>
      </w:r>
      <w:r w:rsidRPr="006B5A5B">
        <w:rPr>
          <w:rFonts w:eastAsia="Calibri" w:cs="Tahoma"/>
          <w:sz w:val="22"/>
        </w:rPr>
        <w:t>th</w:t>
      </w:r>
      <w:r w:rsidRPr="006B5A5B">
        <w:rPr>
          <w:rFonts w:eastAsia="Calibri" w:cs="Tahoma"/>
          <w:sz w:val="22"/>
        </w:rPr>
        <w:t xml:space="preserve"> Futures Foundation, 2025).</w:t>
      </w:r>
      <w:r w:rsidRPr="006B5A5B">
        <w:rPr>
          <w:rFonts w:eastAsia="Calibri" w:cs="Tahoma"/>
          <w:sz w:val="22"/>
        </w:rPr>
        <w:t xml:space="preserve"> </w:t>
      </w:r>
    </w:p>
    <w:p w:rsidR="002938BF" w:rsidRPr="006B5A5B" w:rsidP="00405430">
      <w:pPr>
        <w:spacing w:before="160" w:line="276" w:lineRule="auto"/>
        <w:rPr>
          <w:rFonts w:eastAsia="Calibri" w:cs="Tahoma"/>
          <w:sz w:val="22"/>
        </w:rPr>
      </w:pPr>
      <w:r w:rsidRPr="006B5A5B">
        <w:rPr>
          <w:rFonts w:eastAsia="Calibri" w:cs="Tahoma"/>
          <w:sz w:val="22"/>
        </w:rPr>
        <w:t>This demonstrates th</w:t>
      </w:r>
      <w:r w:rsidRPr="006B5A5B">
        <w:rPr>
          <w:rFonts w:eastAsia="Calibri" w:cs="Tahoma"/>
          <w:sz w:val="22"/>
        </w:rPr>
        <w:t>e</w:t>
      </w:r>
      <w:r w:rsidRPr="006B5A5B">
        <w:rPr>
          <w:rFonts w:eastAsia="Calibri" w:cs="Tahoma"/>
          <w:sz w:val="22"/>
        </w:rPr>
        <w:t xml:space="preserve"> bi-directional</w:t>
      </w:r>
      <w:r w:rsidRPr="006B5A5B">
        <w:rPr>
          <w:rFonts w:eastAsia="Calibri" w:cs="Tahoma"/>
          <w:sz w:val="22"/>
        </w:rPr>
        <w:t>, self-reinforcing relationship between employment and mental health.</w:t>
      </w:r>
      <w:r w:rsidRPr="006B5A5B">
        <w:rPr>
          <w:rFonts w:eastAsia="Calibri" w:cs="Tahoma"/>
          <w:sz w:val="22"/>
        </w:rPr>
        <w:t xml:space="preserve"> </w:t>
      </w:r>
      <w:r w:rsidRPr="006B5A5B">
        <w:rPr>
          <w:rFonts w:eastAsia="Calibri" w:cs="Tahoma"/>
          <w:sz w:val="22"/>
        </w:rPr>
        <w:t xml:space="preserve">Being </w:t>
      </w:r>
      <w:r w:rsidRPr="006B5A5B">
        <w:rPr>
          <w:rFonts w:eastAsia="Calibri" w:cs="Tahoma"/>
          <w:sz w:val="22"/>
        </w:rPr>
        <w:t xml:space="preserve">identified as </w:t>
      </w:r>
      <w:r w:rsidRPr="006B5A5B">
        <w:rPr>
          <w:rFonts w:eastAsia="Calibri" w:cs="Tahoma"/>
          <w:sz w:val="22"/>
        </w:rPr>
        <w:t>NEET</w:t>
      </w:r>
      <w:r w:rsidRPr="006B5A5B">
        <w:rPr>
          <w:rFonts w:eastAsia="Calibri" w:cs="Tahoma"/>
          <w:sz w:val="22"/>
        </w:rPr>
        <w:t xml:space="preserve"> can </w:t>
      </w:r>
      <w:r w:rsidRPr="006B5A5B">
        <w:rPr>
          <w:rFonts w:eastAsia="Calibri" w:cs="Tahoma"/>
          <w:sz w:val="22"/>
        </w:rPr>
        <w:t>negatively</w:t>
      </w:r>
      <w:r w:rsidRPr="006B5A5B">
        <w:rPr>
          <w:rFonts w:eastAsia="Calibri" w:cs="Tahoma"/>
          <w:sz w:val="22"/>
        </w:rPr>
        <w:t xml:space="preserve"> impact mental health, </w:t>
      </w:r>
      <w:r w:rsidRPr="006B5A5B">
        <w:rPr>
          <w:rFonts w:eastAsia="Calibri" w:cs="Tahoma"/>
          <w:sz w:val="22"/>
        </w:rPr>
        <w:t xml:space="preserve">and </w:t>
      </w:r>
      <w:r w:rsidRPr="006B5A5B">
        <w:rPr>
          <w:rFonts w:eastAsia="Calibri" w:cs="Tahoma"/>
          <w:sz w:val="22"/>
        </w:rPr>
        <w:t xml:space="preserve">having mental health problems can make it harder to </w:t>
      </w:r>
      <w:r w:rsidRPr="006B5A5B">
        <w:rPr>
          <w:rFonts w:eastAsia="Calibri" w:cs="Tahoma"/>
          <w:sz w:val="22"/>
        </w:rPr>
        <w:t>participate in employment, education or training</w:t>
      </w:r>
      <w:r w:rsidRPr="006B5A5B">
        <w:rPr>
          <w:rFonts w:eastAsia="Calibri" w:cs="Tahoma"/>
          <w:sz w:val="22"/>
        </w:rPr>
        <w:t xml:space="preserve">. </w:t>
      </w:r>
      <w:r w:rsidRPr="006B5A5B">
        <w:rPr>
          <w:rFonts w:eastAsia="Calibri" w:cs="Tahoma"/>
          <w:sz w:val="22"/>
        </w:rPr>
        <w:t>We cann</w:t>
      </w:r>
      <w:r w:rsidRPr="006B5A5B">
        <w:rPr>
          <w:rFonts w:eastAsia="Calibri" w:cs="Tahoma"/>
          <w:sz w:val="22"/>
        </w:rPr>
        <w:t>ot address one issue without tackling the other.</w:t>
      </w:r>
    </w:p>
    <w:p w:rsidR="002938BF" w:rsidRPr="006B5A5B" w:rsidP="00405430">
      <w:pPr>
        <w:pStyle w:val="ListParagraph"/>
        <w:numPr>
          <w:ilvl w:val="0"/>
          <w:numId w:val="21"/>
        </w:numPr>
        <w:spacing w:before="160" w:line="276" w:lineRule="auto"/>
        <w:rPr>
          <w:rFonts w:eastAsia="Calibri" w:cs="Tahoma"/>
          <w:sz w:val="22"/>
          <w:u w:val="single"/>
        </w:rPr>
      </w:pPr>
      <w:r w:rsidRPr="006B5A5B">
        <w:rPr>
          <w:rFonts w:eastAsia="Calibri" w:cs="Tahoma"/>
          <w:sz w:val="22"/>
          <w:u w:val="single"/>
        </w:rPr>
        <w:t>Are there some young people who are more likely to be NEET than others?</w:t>
      </w:r>
    </w:p>
    <w:p w:rsidR="002938BF" w:rsidRPr="006B5A5B" w:rsidP="00405430">
      <w:pPr>
        <w:spacing w:before="160" w:line="276" w:lineRule="auto"/>
        <w:rPr>
          <w:rFonts w:eastAsia="Calibri" w:cs="Tahoma"/>
          <w:sz w:val="22"/>
        </w:rPr>
      </w:pPr>
      <w:r w:rsidRPr="006B5A5B">
        <w:rPr>
          <w:rFonts w:eastAsia="Calibri" w:cs="Tahoma"/>
          <w:sz w:val="22"/>
        </w:rPr>
        <w:t xml:space="preserve">Alongside mental ill-health, protected characteristics – including ethnicity, socio-economic background and disability – can have a significant impact on young people’s educational and employment outcomes over the life-course. Inequalities can intersect and compound each other over time, amplifying negative outcomes for marginalised young people. </w:t>
      </w:r>
    </w:p>
    <w:p w:rsidR="002938BF" w:rsidRPr="006B5A5B" w:rsidP="00405430">
      <w:pPr>
        <w:spacing w:before="160" w:line="276" w:lineRule="auto"/>
        <w:rPr>
          <w:rFonts w:eastAsia="Calibri" w:cs="Tahoma"/>
          <w:sz w:val="22"/>
        </w:rPr>
      </w:pPr>
      <w:r w:rsidRPr="006B5A5B">
        <w:rPr>
          <w:rFonts w:eastAsia="Calibri" w:cs="Tahoma"/>
          <w:sz w:val="22"/>
        </w:rPr>
        <w:t>For example, out of all socio-economic backgrounds in the UK, people from lower working-class backgrounds are the most likely to be NEET (Social Mobility Commission, 2025). For those from lower working-class backgrounds, NEET status is highest in the Mixed (25%), Black Caribbean (25%) and White British (23%) ethnic groups. And, across all backgrounds, young people with a disability are much more likely to be NEET than their able-bodied peers.</w:t>
      </w:r>
    </w:p>
    <w:p w:rsidR="002938BF" w:rsidRPr="006B5A5B" w:rsidP="00405430">
      <w:pPr>
        <w:spacing w:before="160" w:line="276" w:lineRule="auto"/>
        <w:rPr>
          <w:rFonts w:eastAsia="Calibri" w:cs="Tahoma"/>
          <w:sz w:val="22"/>
        </w:rPr>
      </w:pPr>
      <w:r w:rsidRPr="006B5A5B">
        <w:rPr>
          <w:rFonts w:eastAsia="Calibri" w:cs="Tahoma"/>
          <w:sz w:val="22"/>
        </w:rPr>
        <w:t>There is, however, a lack of integrated analysis of young people from marginalised groups who are both NEET and experiencing mental ill-health. This risks these young people falling through the net of provision on both sides. To help as many young people as possible to participate in education, employment and training, interventions must be designed for and targeted towards those who need it mos</w:t>
      </w:r>
      <w:r>
        <w:rPr>
          <w:rFonts w:eastAsia="Calibri" w:cs="Tahoma"/>
          <w:sz w:val="22"/>
        </w:rPr>
        <w:t>t. T</w:t>
      </w:r>
      <w:r>
        <w:rPr>
          <w:rFonts w:eastAsia="Calibri" w:cs="Tahoma"/>
          <w:sz w:val="22"/>
        </w:rPr>
        <w:t xml:space="preserve">o do this, the Government must </w:t>
      </w:r>
      <w:r>
        <w:rPr>
          <w:rFonts w:eastAsia="Calibri" w:cs="Tahoma"/>
          <w:sz w:val="22"/>
        </w:rPr>
        <w:t>collect</w:t>
      </w:r>
      <w:r>
        <w:rPr>
          <w:rFonts w:eastAsia="Calibri" w:cs="Tahoma"/>
          <w:sz w:val="22"/>
        </w:rPr>
        <w:t xml:space="preserve"> </w:t>
      </w:r>
      <w:r>
        <w:rPr>
          <w:rFonts w:eastAsia="Calibri" w:cs="Tahoma"/>
          <w:sz w:val="22"/>
        </w:rPr>
        <w:t>integrated</w:t>
      </w:r>
      <w:r>
        <w:rPr>
          <w:rFonts w:eastAsia="Calibri" w:cs="Tahoma"/>
          <w:sz w:val="22"/>
        </w:rPr>
        <w:t xml:space="preserve"> data</w:t>
      </w:r>
      <w:r>
        <w:rPr>
          <w:rFonts w:eastAsia="Calibri" w:cs="Tahoma"/>
          <w:sz w:val="22"/>
        </w:rPr>
        <w:t xml:space="preserve"> and </w:t>
      </w:r>
      <w:r>
        <w:rPr>
          <w:rFonts w:eastAsia="Calibri" w:cs="Tahoma"/>
          <w:sz w:val="22"/>
        </w:rPr>
        <w:t>learn from it,</w:t>
      </w:r>
      <w:r>
        <w:rPr>
          <w:rFonts w:eastAsia="Calibri" w:cs="Tahoma"/>
          <w:sz w:val="22"/>
        </w:rPr>
        <w:t xml:space="preserve"> a</w:t>
      </w:r>
      <w:r>
        <w:rPr>
          <w:rFonts w:eastAsia="Calibri" w:cs="Tahoma"/>
          <w:sz w:val="22"/>
        </w:rPr>
        <w:t>s well</w:t>
      </w:r>
      <w:r>
        <w:rPr>
          <w:rFonts w:eastAsia="Calibri" w:cs="Tahoma"/>
          <w:sz w:val="22"/>
        </w:rPr>
        <w:t xml:space="preserve"> </w:t>
      </w:r>
      <w:r>
        <w:rPr>
          <w:rFonts w:eastAsia="Calibri" w:cs="Tahoma"/>
          <w:sz w:val="22"/>
        </w:rPr>
        <w:t>as learn</w:t>
      </w:r>
      <w:r>
        <w:rPr>
          <w:rFonts w:eastAsia="Calibri" w:cs="Tahoma"/>
          <w:sz w:val="22"/>
        </w:rPr>
        <w:t xml:space="preserve"> </w:t>
      </w:r>
      <w:r>
        <w:rPr>
          <w:rFonts w:eastAsia="Calibri" w:cs="Tahoma"/>
          <w:sz w:val="22"/>
        </w:rPr>
        <w:t xml:space="preserve">from </w:t>
      </w:r>
      <w:r>
        <w:rPr>
          <w:rFonts w:eastAsia="Calibri" w:cs="Tahoma"/>
          <w:sz w:val="22"/>
        </w:rPr>
        <w:t>young people</w:t>
      </w:r>
      <w:r>
        <w:rPr>
          <w:rFonts w:eastAsia="Calibri" w:cs="Tahoma"/>
          <w:sz w:val="22"/>
        </w:rPr>
        <w:t xml:space="preserve"> themselves by involving them directly in policy development and service design.</w:t>
      </w:r>
    </w:p>
    <w:p w:rsidR="002938BF" w:rsidRPr="006B5A5B" w:rsidP="00405430">
      <w:pPr>
        <w:pStyle w:val="ListParagraph"/>
        <w:numPr>
          <w:ilvl w:val="0"/>
          <w:numId w:val="21"/>
        </w:numPr>
        <w:spacing w:before="160" w:line="276" w:lineRule="auto"/>
        <w:rPr>
          <w:rFonts w:eastAsia="Tahoma" w:cs="Tahoma"/>
          <w:sz w:val="22"/>
        </w:rPr>
      </w:pPr>
      <w:r w:rsidRPr="006B5A5B">
        <w:rPr>
          <w:rFonts w:eastAsia="Tahoma" w:cs="Tahoma"/>
          <w:sz w:val="22"/>
          <w:u w:val="single"/>
        </w:rPr>
        <w:t>What are the long</w:t>
      </w:r>
      <w:r w:rsidRPr="006B5A5B">
        <w:rPr>
          <w:rFonts w:eastAsia="Tahoma" w:cs="Tahoma"/>
          <w:sz w:val="22"/>
          <w:u w:val="single"/>
        </w:rPr>
        <w:t>-</w:t>
      </w:r>
      <w:r w:rsidRPr="006B5A5B">
        <w:rPr>
          <w:rFonts w:eastAsia="Tahoma" w:cs="Tahoma"/>
          <w:sz w:val="22"/>
          <w:u w:val="single"/>
        </w:rPr>
        <w:t>term consequences for young people who are NEET for an extended period?</w:t>
      </w:r>
    </w:p>
    <w:p w:rsidR="002938BF" w:rsidRPr="006B5A5B" w:rsidP="00405430">
      <w:pPr>
        <w:spacing w:before="160" w:line="276" w:lineRule="auto"/>
        <w:rPr>
          <w:rFonts w:eastAsia="Tahoma" w:cs="Tahoma"/>
          <w:sz w:val="22"/>
        </w:rPr>
      </w:pPr>
      <w:r w:rsidRPr="006B5A5B">
        <w:rPr>
          <w:rFonts w:eastAsia="Tahoma" w:cs="Tahoma"/>
          <w:sz w:val="22"/>
          <w:lang w:val="en-US"/>
        </w:rPr>
        <w:t>Prolonged periods of being NEET can have lasting mental health and economic consequences for young people.</w:t>
      </w:r>
    </w:p>
    <w:p w:rsidR="002938BF" w:rsidRPr="006B5A5B" w:rsidP="00405430">
      <w:pPr>
        <w:spacing w:before="160" w:line="276" w:lineRule="auto"/>
        <w:rPr>
          <w:rFonts w:eastAsia="Tahoma" w:cs="Tahoma"/>
          <w:sz w:val="22"/>
        </w:rPr>
      </w:pPr>
      <w:r w:rsidRPr="006B5A5B">
        <w:rPr>
          <w:rFonts w:eastAsia="Tahoma" w:cs="Tahoma"/>
          <w:sz w:val="22"/>
        </w:rPr>
        <w:t>In England and Wales, 4 million people aged 16-64 now claim disability benefits – up from 2.8 million in 2019</w:t>
      </w:r>
      <w:r w:rsidRPr="006B5A5B">
        <w:rPr>
          <w:rFonts w:eastAsia="Tahoma" w:cs="Tahoma"/>
          <w:sz w:val="22"/>
        </w:rPr>
        <w:t xml:space="preserve"> (</w:t>
      </w:r>
      <w:r w:rsidRPr="006B5A5B">
        <w:rPr>
          <w:rFonts w:eastAsia="Tahoma" w:cs="Tahoma"/>
          <w:sz w:val="22"/>
        </w:rPr>
        <w:t>I</w:t>
      </w:r>
      <w:r w:rsidRPr="006B5A5B">
        <w:rPr>
          <w:rFonts w:eastAsia="Tahoma" w:cs="Tahoma"/>
          <w:sz w:val="22"/>
        </w:rPr>
        <w:t>nstitute for Fiscal Studies</w:t>
      </w:r>
      <w:r w:rsidRPr="006B5A5B">
        <w:rPr>
          <w:rFonts w:eastAsia="Tahoma" w:cs="Tahoma"/>
          <w:sz w:val="22"/>
        </w:rPr>
        <w:t>, 2025</w:t>
      </w:r>
      <w:r w:rsidRPr="006B5A5B">
        <w:rPr>
          <w:rFonts w:eastAsia="Tahoma" w:cs="Tahoma"/>
          <w:sz w:val="22"/>
        </w:rPr>
        <w:t>)</w:t>
      </w:r>
      <w:r w:rsidRPr="006B5A5B">
        <w:rPr>
          <w:rFonts w:eastAsia="Tahoma" w:cs="Tahoma"/>
          <w:sz w:val="22"/>
        </w:rPr>
        <w:t xml:space="preserve">. Over half of this increase is linked to mental health problems or </w:t>
      </w:r>
      <w:r w:rsidRPr="006B5A5B">
        <w:rPr>
          <w:rFonts w:eastAsia="Tahoma" w:cs="Tahoma"/>
          <w:sz w:val="22"/>
        </w:rPr>
        <w:t>behavioural difficulties, and the sharpest rise in claims has been among 16-25-year-olds</w:t>
      </w:r>
      <w:r w:rsidRPr="006B5A5B">
        <w:rPr>
          <w:rFonts w:eastAsia="Tahoma" w:cs="Tahoma"/>
          <w:sz w:val="22"/>
        </w:rPr>
        <w:t xml:space="preserve"> (Mind, 2025).</w:t>
      </w:r>
    </w:p>
    <w:p w:rsidR="002938BF" w:rsidRPr="006B5A5B" w:rsidP="00405430">
      <w:pPr>
        <w:spacing w:before="160" w:line="276" w:lineRule="auto"/>
        <w:rPr>
          <w:rFonts w:eastAsia="Tahoma" w:cs="Tahoma"/>
          <w:sz w:val="22"/>
        </w:rPr>
      </w:pPr>
      <w:r w:rsidRPr="006B5A5B">
        <w:rPr>
          <w:rFonts w:eastAsia="Tahoma" w:cs="Tahoma"/>
          <w:sz w:val="22"/>
        </w:rPr>
        <w:t>31% of young people</w:t>
      </w:r>
      <w:r w:rsidRPr="006B5A5B">
        <w:rPr>
          <w:rFonts w:eastAsia="Tahoma" w:cs="Tahoma"/>
          <w:sz w:val="22"/>
        </w:rPr>
        <w:t xml:space="preserve"> identified as NEET</w:t>
      </w:r>
      <w:r w:rsidRPr="006B5A5B">
        <w:rPr>
          <w:rFonts w:eastAsia="Tahoma" w:cs="Tahoma"/>
          <w:sz w:val="22"/>
        </w:rPr>
        <w:t xml:space="preserve"> cite poor mental health as a major challenge both for entering and progressing within the workplace</w:t>
      </w:r>
      <w:r w:rsidRPr="006B5A5B">
        <w:rPr>
          <w:rFonts w:eastAsia="Tahoma" w:cs="Tahoma"/>
          <w:sz w:val="22"/>
        </w:rPr>
        <w:t>, and 50% fe</w:t>
      </w:r>
      <w:r w:rsidRPr="006B5A5B">
        <w:rPr>
          <w:rFonts w:eastAsia="Tahoma" w:cs="Tahoma"/>
          <w:sz w:val="22"/>
        </w:rPr>
        <w:t xml:space="preserve">el </w:t>
      </w:r>
      <w:r w:rsidRPr="006B5A5B">
        <w:rPr>
          <w:rFonts w:eastAsia="Tahoma" w:cs="Tahoma"/>
          <w:sz w:val="22"/>
        </w:rPr>
        <w:t>hopeless about the future due to unemployment (</w:t>
      </w:r>
      <w:r w:rsidRPr="006B5A5B">
        <w:rPr>
          <w:rFonts w:eastAsia="Tahoma" w:cs="Tahoma"/>
          <w:sz w:val="22"/>
        </w:rPr>
        <w:t>Youth Futures Foundation, 2024</w:t>
      </w:r>
      <w:r w:rsidRPr="006B5A5B">
        <w:rPr>
          <w:rFonts w:eastAsia="Tahoma" w:cs="Tahoma"/>
          <w:sz w:val="22"/>
        </w:rPr>
        <w:t>)</w:t>
      </w:r>
      <w:r w:rsidRPr="006B5A5B">
        <w:rPr>
          <w:rFonts w:eastAsia="Tahoma" w:cs="Tahoma"/>
          <w:sz w:val="22"/>
        </w:rPr>
        <w:t>. This</w:t>
      </w:r>
      <w:r w:rsidRPr="006B5A5B">
        <w:rPr>
          <w:rFonts w:eastAsia="Tahoma" w:cs="Tahoma"/>
          <w:sz w:val="22"/>
        </w:rPr>
        <w:t xml:space="preserve"> </w:t>
      </w:r>
      <w:r w:rsidRPr="006B5A5B">
        <w:rPr>
          <w:rFonts w:eastAsia="Tahoma" w:cs="Tahoma"/>
          <w:sz w:val="22"/>
        </w:rPr>
        <w:t>demonstrates</w:t>
      </w:r>
      <w:r w:rsidRPr="006B5A5B">
        <w:rPr>
          <w:rFonts w:eastAsia="Tahoma" w:cs="Tahoma"/>
          <w:sz w:val="22"/>
        </w:rPr>
        <w:t xml:space="preserve"> the</w:t>
      </w:r>
      <w:r w:rsidRPr="006B5A5B">
        <w:rPr>
          <w:rFonts w:eastAsia="Tahoma" w:cs="Tahoma"/>
          <w:sz w:val="22"/>
        </w:rPr>
        <w:t xml:space="preserve"> cyclical relationship </w:t>
      </w:r>
      <w:r w:rsidRPr="006B5A5B">
        <w:rPr>
          <w:rFonts w:eastAsia="Tahoma" w:cs="Tahoma"/>
          <w:sz w:val="22"/>
        </w:rPr>
        <w:t>between</w:t>
      </w:r>
      <w:r w:rsidRPr="006B5A5B">
        <w:rPr>
          <w:rFonts w:eastAsia="Tahoma" w:cs="Tahoma"/>
          <w:sz w:val="22"/>
        </w:rPr>
        <w:t xml:space="preserve"> </w:t>
      </w:r>
      <w:r w:rsidRPr="006B5A5B">
        <w:rPr>
          <w:rFonts w:eastAsia="Tahoma" w:cs="Tahoma"/>
          <w:sz w:val="22"/>
        </w:rPr>
        <w:t xml:space="preserve">living with </w:t>
      </w:r>
      <w:r w:rsidRPr="006B5A5B">
        <w:rPr>
          <w:rFonts w:eastAsia="Tahoma" w:cs="Tahoma"/>
          <w:sz w:val="22"/>
        </w:rPr>
        <w:t xml:space="preserve">mental </w:t>
      </w:r>
      <w:r w:rsidRPr="006B5A5B">
        <w:rPr>
          <w:rFonts w:eastAsia="Tahoma" w:cs="Tahoma"/>
          <w:sz w:val="22"/>
        </w:rPr>
        <w:t>ill-</w:t>
      </w:r>
      <w:r w:rsidRPr="006B5A5B">
        <w:rPr>
          <w:rFonts w:eastAsia="Tahoma" w:cs="Tahoma"/>
          <w:sz w:val="22"/>
        </w:rPr>
        <w:t>health and</w:t>
      </w:r>
      <w:r w:rsidRPr="006B5A5B">
        <w:rPr>
          <w:rFonts w:eastAsia="Tahoma" w:cs="Tahoma"/>
          <w:sz w:val="22"/>
        </w:rPr>
        <w:t xml:space="preserve"> limited job prospects, which</w:t>
      </w:r>
      <w:r w:rsidRPr="006B5A5B">
        <w:rPr>
          <w:rFonts w:eastAsia="Tahoma" w:cs="Tahoma"/>
          <w:sz w:val="22"/>
        </w:rPr>
        <w:t xml:space="preserve"> mutually reinforce negative outcomes for young people</w:t>
      </w:r>
      <w:r w:rsidRPr="006B5A5B">
        <w:rPr>
          <w:rFonts w:eastAsia="Tahoma" w:cs="Tahoma"/>
          <w:sz w:val="22"/>
        </w:rPr>
        <w:t xml:space="preserve"> (In</w:t>
      </w:r>
      <w:r w:rsidRPr="006B5A5B">
        <w:rPr>
          <w:rFonts w:eastAsia="Tahoma" w:cs="Tahoma"/>
          <w:sz w:val="22"/>
        </w:rPr>
        <w:t>tergenerational Foundation, 2025)</w:t>
      </w:r>
      <w:r w:rsidRPr="006B5A5B">
        <w:rPr>
          <w:rFonts w:eastAsia="Tahoma" w:cs="Tahoma"/>
          <w:sz w:val="22"/>
        </w:rPr>
        <w:t>.</w:t>
      </w:r>
    </w:p>
    <w:p w:rsidR="002938BF" w:rsidRPr="006B5A5B" w:rsidP="00405430">
      <w:pPr>
        <w:spacing w:before="160" w:line="276" w:lineRule="auto"/>
        <w:rPr>
          <w:rFonts w:eastAsia="Tahoma" w:cs="Tahoma"/>
          <w:sz w:val="22"/>
        </w:rPr>
      </w:pPr>
      <w:r w:rsidRPr="006B5A5B">
        <w:rPr>
          <w:rFonts w:eastAsia="Tahoma" w:cs="Tahoma"/>
          <w:sz w:val="22"/>
        </w:rPr>
        <w:t xml:space="preserve">Being </w:t>
      </w:r>
      <w:r w:rsidRPr="006B5A5B">
        <w:rPr>
          <w:rFonts w:eastAsia="Tahoma" w:cs="Tahoma"/>
          <w:sz w:val="22"/>
        </w:rPr>
        <w:t xml:space="preserve">classified as </w:t>
      </w:r>
      <w:r w:rsidRPr="006B5A5B">
        <w:rPr>
          <w:rFonts w:eastAsia="Tahoma" w:cs="Tahoma"/>
          <w:sz w:val="22"/>
        </w:rPr>
        <w:t>NEET at a young age also increases the likelihood of</w:t>
      </w:r>
      <w:r w:rsidRPr="006B5A5B">
        <w:rPr>
          <w:rFonts w:eastAsia="Tahoma" w:cs="Tahoma"/>
          <w:sz w:val="22"/>
        </w:rPr>
        <w:t xml:space="preserve"> “economic scarring”</w:t>
      </w:r>
      <w:r w:rsidRPr="006B5A5B">
        <w:rPr>
          <w:rFonts w:eastAsia="Tahoma" w:cs="Tahoma"/>
          <w:sz w:val="22"/>
        </w:rPr>
        <w:t xml:space="preserve"> (</w:t>
      </w:r>
      <w:r w:rsidRPr="006B5A5B">
        <w:rPr>
          <w:rFonts w:eastAsia="Tahoma" w:cs="Tahoma"/>
          <w:sz w:val="22"/>
        </w:rPr>
        <w:t>Intergenerational Foundation, 2025</w:t>
      </w:r>
      <w:r w:rsidRPr="006B5A5B">
        <w:rPr>
          <w:rFonts w:eastAsia="Tahoma" w:cs="Tahoma"/>
          <w:sz w:val="22"/>
        </w:rPr>
        <w:t>)</w:t>
      </w:r>
      <w:r w:rsidRPr="006B5A5B">
        <w:rPr>
          <w:rFonts w:eastAsia="Tahoma" w:cs="Tahoma"/>
          <w:sz w:val="22"/>
        </w:rPr>
        <w:t>. This is when a</w:t>
      </w:r>
      <w:r w:rsidRPr="006B5A5B">
        <w:rPr>
          <w:rFonts w:eastAsia="Tahoma" w:cs="Tahoma"/>
          <w:sz w:val="22"/>
        </w:rPr>
        <w:t xml:space="preserve"> lack of stable employment early in a person’s career </w:t>
      </w:r>
      <w:r w:rsidRPr="006B5A5B">
        <w:rPr>
          <w:rFonts w:eastAsia="Tahoma" w:cs="Tahoma"/>
          <w:sz w:val="22"/>
        </w:rPr>
        <w:t>leads</w:t>
      </w:r>
      <w:r w:rsidRPr="006B5A5B">
        <w:rPr>
          <w:rFonts w:eastAsia="Tahoma" w:cs="Tahoma"/>
          <w:sz w:val="22"/>
        </w:rPr>
        <w:t xml:space="preserve"> them</w:t>
      </w:r>
      <w:r w:rsidRPr="006B5A5B">
        <w:rPr>
          <w:rFonts w:eastAsia="Tahoma" w:cs="Tahoma"/>
          <w:sz w:val="22"/>
        </w:rPr>
        <w:t xml:space="preserve"> to become stuck</w:t>
      </w:r>
      <w:r w:rsidRPr="006B5A5B">
        <w:rPr>
          <w:rFonts w:eastAsia="Tahoma" w:cs="Tahoma"/>
          <w:sz w:val="22"/>
        </w:rPr>
        <w:t xml:space="preserve"> in </w:t>
      </w:r>
      <w:r w:rsidRPr="006B5A5B">
        <w:rPr>
          <w:rFonts w:eastAsia="Tahoma" w:cs="Tahoma"/>
          <w:sz w:val="22"/>
        </w:rPr>
        <w:t>low-paid, insecure jobs with limited opportunities for progression.</w:t>
      </w:r>
      <w:r w:rsidRPr="006B5A5B">
        <w:rPr>
          <w:rFonts w:eastAsia="Tahoma" w:cs="Tahoma"/>
          <w:sz w:val="22"/>
        </w:rPr>
        <w:t xml:space="preserve"> </w:t>
      </w:r>
      <w:r w:rsidRPr="006B5A5B">
        <w:rPr>
          <w:rFonts w:eastAsia="Tahoma" w:cs="Tahoma"/>
          <w:sz w:val="22"/>
        </w:rPr>
        <w:t>This</w:t>
      </w:r>
      <w:r w:rsidRPr="006B5A5B">
        <w:rPr>
          <w:rFonts w:eastAsia="Tahoma" w:cs="Tahoma"/>
          <w:sz w:val="22"/>
        </w:rPr>
        <w:t xml:space="preserve"> </w:t>
      </w:r>
      <w:r w:rsidRPr="006B5A5B">
        <w:rPr>
          <w:rFonts w:eastAsia="Tahoma" w:cs="Tahoma"/>
          <w:sz w:val="22"/>
        </w:rPr>
        <w:t xml:space="preserve">can have life-long negative impacts on </w:t>
      </w:r>
      <w:r w:rsidRPr="006B5A5B">
        <w:rPr>
          <w:rFonts w:eastAsia="Tahoma" w:cs="Tahoma"/>
          <w:sz w:val="22"/>
        </w:rPr>
        <w:t>a</w:t>
      </w:r>
      <w:r w:rsidRPr="006B5A5B">
        <w:rPr>
          <w:rFonts w:eastAsia="Tahoma" w:cs="Tahoma"/>
          <w:sz w:val="22"/>
        </w:rPr>
        <w:t xml:space="preserve"> </w:t>
      </w:r>
      <w:r w:rsidRPr="006B5A5B">
        <w:rPr>
          <w:rFonts w:eastAsia="Tahoma" w:cs="Tahoma"/>
          <w:sz w:val="22"/>
        </w:rPr>
        <w:t>person’s</w:t>
      </w:r>
      <w:r w:rsidRPr="006B5A5B">
        <w:rPr>
          <w:rFonts w:eastAsia="Tahoma" w:cs="Tahoma"/>
          <w:sz w:val="22"/>
        </w:rPr>
        <w:t xml:space="preserve"> employment prospects, earnings, and economic stability</w:t>
      </w:r>
      <w:r w:rsidRPr="006B5A5B">
        <w:rPr>
          <w:rFonts w:eastAsia="Tahoma" w:cs="Tahoma"/>
          <w:sz w:val="22"/>
        </w:rPr>
        <w:t>, as well as their health and wellbeing</w:t>
      </w:r>
      <w:r w:rsidRPr="006B5A5B">
        <w:rPr>
          <w:rFonts w:eastAsia="Tahoma" w:cs="Tahoma"/>
          <w:sz w:val="22"/>
        </w:rPr>
        <w:t>.</w:t>
      </w:r>
      <w:r w:rsidRPr="006B5A5B">
        <w:rPr>
          <w:rFonts w:eastAsia="Tahoma" w:cs="Tahoma"/>
          <w:sz w:val="22"/>
        </w:rPr>
        <w:t xml:space="preserve"> </w:t>
      </w:r>
      <w:r>
        <w:rPr>
          <w:rFonts w:eastAsia="Tahoma" w:cs="Tahoma"/>
          <w:sz w:val="22"/>
        </w:rPr>
        <w:t xml:space="preserve">This increases </w:t>
      </w:r>
      <w:r w:rsidRPr="006B5A5B">
        <w:rPr>
          <w:rFonts w:eastAsia="Tahoma" w:cs="Tahoma"/>
          <w:sz w:val="22"/>
        </w:rPr>
        <w:t xml:space="preserve">pressure on </w:t>
      </w:r>
      <w:r w:rsidRPr="006B5A5B">
        <w:rPr>
          <w:rFonts w:eastAsia="Tahoma" w:cs="Tahoma"/>
          <w:sz w:val="22"/>
        </w:rPr>
        <w:t xml:space="preserve">public </w:t>
      </w:r>
      <w:r w:rsidRPr="006B5A5B">
        <w:rPr>
          <w:rFonts w:eastAsia="Tahoma" w:cs="Tahoma"/>
          <w:sz w:val="22"/>
        </w:rPr>
        <w:t>services</w:t>
      </w:r>
      <w:r>
        <w:rPr>
          <w:rFonts w:eastAsia="Tahoma" w:cs="Tahoma"/>
          <w:sz w:val="22"/>
        </w:rPr>
        <w:t xml:space="preserve"> over the long term.</w:t>
      </w:r>
    </w:p>
    <w:p w:rsidR="002938BF" w:rsidRPr="006B5A5B" w:rsidP="006B5A5B">
      <w:pPr>
        <w:pStyle w:val="Heading1"/>
      </w:pPr>
      <w:r w:rsidRPr="006B5A5B">
        <w:t>Employment and the labour market</w:t>
      </w:r>
    </w:p>
    <w:p w:rsidR="002938BF" w:rsidRPr="006B5A5B" w:rsidP="00405430">
      <w:pPr>
        <w:pStyle w:val="ListParagraph"/>
        <w:numPr>
          <w:ilvl w:val="0"/>
          <w:numId w:val="21"/>
        </w:numPr>
        <w:spacing w:before="160" w:line="276" w:lineRule="auto"/>
        <w:rPr>
          <w:sz w:val="22"/>
          <w:u w:val="single"/>
        </w:rPr>
      </w:pPr>
      <w:r w:rsidRPr="006B5A5B">
        <w:rPr>
          <w:sz w:val="22"/>
          <w:u w:val="single"/>
        </w:rPr>
        <w:t>What are the main barriers to supporting young people into employment?</w:t>
      </w:r>
    </w:p>
    <w:p w:rsidR="002938BF" w:rsidRPr="006B5A5B" w:rsidP="00405430">
      <w:pPr>
        <w:spacing w:before="160" w:line="276" w:lineRule="auto"/>
        <w:rPr>
          <w:rFonts w:eastAsia="Tahoma" w:cs="Tahoma"/>
          <w:sz w:val="22"/>
        </w:rPr>
      </w:pPr>
      <w:r w:rsidRPr="006B5A5B">
        <w:rPr>
          <w:rFonts w:eastAsia="Tahoma" w:cs="Tahoma"/>
          <w:sz w:val="22"/>
        </w:rPr>
        <w:t xml:space="preserve">There are </w:t>
      </w:r>
      <w:r w:rsidRPr="006B5A5B">
        <w:rPr>
          <w:rFonts w:eastAsia="Tahoma" w:cs="Tahoma"/>
          <w:sz w:val="22"/>
        </w:rPr>
        <w:t xml:space="preserve">many </w:t>
      </w:r>
      <w:r w:rsidRPr="006B5A5B">
        <w:rPr>
          <w:rFonts w:eastAsia="Tahoma" w:cs="Tahoma"/>
          <w:sz w:val="22"/>
        </w:rPr>
        <w:t xml:space="preserve">barriers to supporting young people </w:t>
      </w:r>
      <w:r w:rsidRPr="006B5A5B">
        <w:rPr>
          <w:rFonts w:eastAsia="Tahoma" w:cs="Tahoma"/>
          <w:sz w:val="22"/>
        </w:rPr>
        <w:t xml:space="preserve">(1) </w:t>
      </w:r>
      <w:r w:rsidRPr="006B5A5B">
        <w:rPr>
          <w:rFonts w:eastAsia="Tahoma" w:cs="Tahoma"/>
          <w:sz w:val="22"/>
        </w:rPr>
        <w:t xml:space="preserve">into work, and </w:t>
      </w:r>
      <w:r w:rsidRPr="006B5A5B">
        <w:rPr>
          <w:rFonts w:eastAsia="Tahoma" w:cs="Tahoma"/>
          <w:sz w:val="22"/>
        </w:rPr>
        <w:t xml:space="preserve">(2) </w:t>
      </w:r>
      <w:r w:rsidRPr="006B5A5B">
        <w:rPr>
          <w:rFonts w:eastAsia="Tahoma" w:cs="Tahoma"/>
          <w:sz w:val="22"/>
        </w:rPr>
        <w:t xml:space="preserve">to stay in work once employed. </w:t>
      </w:r>
      <w:r w:rsidRPr="006B5A5B">
        <w:rPr>
          <w:rFonts w:eastAsia="Tahoma" w:cs="Tahoma"/>
          <w:sz w:val="22"/>
        </w:rPr>
        <w:t xml:space="preserve">When it comes to mental health, </w:t>
      </w:r>
      <w:r w:rsidRPr="006B5A5B">
        <w:rPr>
          <w:rFonts w:eastAsia="Tahoma" w:cs="Tahoma"/>
          <w:sz w:val="22"/>
        </w:rPr>
        <w:t>the Government, NHS and employers all have a role to play in addressing these barriers</w:t>
      </w:r>
      <w:r w:rsidRPr="006B5A5B">
        <w:rPr>
          <w:rFonts w:eastAsia="Tahoma" w:cs="Tahoma"/>
          <w:sz w:val="22"/>
        </w:rPr>
        <w:t xml:space="preserve">, by </w:t>
      </w:r>
      <w:r w:rsidRPr="006B5A5B">
        <w:rPr>
          <w:rFonts w:eastAsia="Tahoma" w:cs="Tahoma"/>
          <w:sz w:val="22"/>
        </w:rPr>
        <w:t>bringing down waiting times</w:t>
      </w:r>
      <w:r w:rsidRPr="006B5A5B">
        <w:rPr>
          <w:rFonts w:eastAsia="Tahoma" w:cs="Tahoma"/>
          <w:sz w:val="22"/>
        </w:rPr>
        <w:t xml:space="preserve"> </w:t>
      </w:r>
      <w:r w:rsidRPr="006B5A5B">
        <w:rPr>
          <w:rFonts w:eastAsia="Tahoma" w:cs="Tahoma"/>
          <w:sz w:val="22"/>
        </w:rPr>
        <w:t xml:space="preserve">and </w:t>
      </w:r>
      <w:r w:rsidRPr="006B5A5B">
        <w:rPr>
          <w:rFonts w:eastAsia="Tahoma" w:cs="Tahoma"/>
          <w:sz w:val="22"/>
        </w:rPr>
        <w:t xml:space="preserve">prioritising </w:t>
      </w:r>
      <w:r w:rsidRPr="006B5A5B">
        <w:rPr>
          <w:rFonts w:eastAsia="Tahoma" w:cs="Tahoma"/>
          <w:sz w:val="22"/>
        </w:rPr>
        <w:t>mental health and wellbeing within the workplace.</w:t>
      </w:r>
    </w:p>
    <w:p w:rsidR="002938BF" w:rsidRPr="006B5A5B" w:rsidP="00405430">
      <w:pPr>
        <w:spacing w:before="160" w:line="276" w:lineRule="auto"/>
        <w:rPr>
          <w:rFonts w:eastAsia="Calibri" w:cs="Tahoma"/>
          <w:sz w:val="22"/>
        </w:rPr>
      </w:pPr>
      <w:r w:rsidRPr="006B5A5B">
        <w:rPr>
          <w:rFonts w:eastAsia="Calibri" w:cs="Tahoma"/>
          <w:sz w:val="22"/>
        </w:rPr>
        <w:t>The data tells us that young people are more prone to work-related burnout than older generations. Nearly 2 in 5 young workers (aged 18-24) reported having to take time off due to poor mental health – higher than any other age group, and up 3% from last year (Mental Health UK, 2026). 93% of young workers reported experiencing high or extremely high levels of work-related pressure and stress in the last year. Concerningly, 39% of this cohort do not feel comfortable sharing this stress with their line manager</w:t>
      </w:r>
      <w:r w:rsidRPr="006B5A5B">
        <w:rPr>
          <w:rFonts w:eastAsia="Calibri" w:cs="Tahoma"/>
          <w:sz w:val="22"/>
        </w:rPr>
        <w:t xml:space="preserve"> or senior leader. </w:t>
      </w:r>
    </w:p>
    <w:p w:rsidR="002938BF" w:rsidRPr="006B5A5B" w:rsidP="00405430">
      <w:pPr>
        <w:spacing w:before="160" w:line="276" w:lineRule="auto"/>
        <w:rPr>
          <w:rFonts w:eastAsia="Calibri" w:cs="Tahoma"/>
          <w:sz w:val="22"/>
        </w:rPr>
      </w:pPr>
      <w:r w:rsidRPr="006B5A5B">
        <w:rPr>
          <w:rFonts w:eastAsia="Calibri" w:cs="Tahoma"/>
          <w:sz w:val="22"/>
        </w:rPr>
        <w:t>Key stressors for young workers include high</w:t>
      </w:r>
      <w:r w:rsidRPr="006B5A5B">
        <w:rPr>
          <w:rFonts w:eastAsia="Tahoma" w:cs="Tahoma"/>
          <w:sz w:val="22"/>
        </w:rPr>
        <w:t xml:space="preserve"> or increased workloads, taking on additional paid work, feeling isolated at work, and the fear of redundancy or job security. Poor sleep, money worries, and feeling isolated outside of work were also cited as contributing to burnout.</w:t>
      </w:r>
      <w:r w:rsidRPr="006B5A5B">
        <w:rPr>
          <w:rFonts w:eastAsia="Tahoma" w:cs="Tahoma"/>
          <w:sz w:val="22"/>
        </w:rPr>
        <w:t xml:space="preserve"> Money worries are particularly relevant here, as </w:t>
      </w:r>
      <w:r w:rsidRPr="006B5A5B">
        <w:rPr>
          <w:rFonts w:eastAsia="Calibri" w:cs="Tahoma"/>
          <w:sz w:val="22"/>
        </w:rPr>
        <w:t>young people experiencing mental ill-health are more likely to be in low-paid jobs (40%) compared to their healthy peers (35%) (Resolution Foundation, 2024). This can further exacerbate the mental health problems young people fa</w:t>
      </w:r>
      <w:r w:rsidRPr="006B5A5B">
        <w:rPr>
          <w:rFonts w:eastAsia="Calibri" w:cs="Tahoma"/>
          <w:sz w:val="22"/>
        </w:rPr>
        <w:t>ce, by increasing the likelihood of experiencing financial difficulties.</w:t>
      </w:r>
    </w:p>
    <w:p w:rsidR="002938BF" w:rsidRPr="006B5A5B" w:rsidP="00405430">
      <w:pPr>
        <w:spacing w:before="160" w:line="276" w:lineRule="auto"/>
        <w:rPr>
          <w:rFonts w:eastAsia="Tahoma" w:cs="Tahoma"/>
          <w:sz w:val="22"/>
        </w:rPr>
      </w:pPr>
      <w:r w:rsidRPr="006B5A5B">
        <w:rPr>
          <w:rFonts w:eastAsia="Tahoma" w:cs="Tahoma"/>
          <w:sz w:val="22"/>
        </w:rPr>
        <w:t xml:space="preserve">When people experience </w:t>
      </w:r>
      <w:r w:rsidRPr="006B5A5B">
        <w:rPr>
          <w:rFonts w:eastAsia="Tahoma" w:cs="Tahoma"/>
          <w:sz w:val="22"/>
        </w:rPr>
        <w:t>ill-</w:t>
      </w:r>
      <w:r w:rsidRPr="006B5A5B">
        <w:rPr>
          <w:rFonts w:eastAsia="Tahoma" w:cs="Tahoma"/>
          <w:sz w:val="22"/>
        </w:rPr>
        <w:t>health</w:t>
      </w:r>
      <w:r w:rsidRPr="006B5A5B">
        <w:rPr>
          <w:rFonts w:eastAsia="Tahoma" w:cs="Tahoma"/>
          <w:sz w:val="22"/>
        </w:rPr>
        <w:t xml:space="preserve"> at work, there </w:t>
      </w:r>
      <w:r w:rsidRPr="006B5A5B">
        <w:rPr>
          <w:rFonts w:eastAsia="Tahoma" w:cs="Tahoma"/>
          <w:sz w:val="22"/>
        </w:rPr>
        <w:t xml:space="preserve">is often </w:t>
      </w:r>
      <w:r w:rsidRPr="006B5A5B">
        <w:rPr>
          <w:rFonts w:eastAsia="Tahoma" w:cs="Tahoma"/>
          <w:sz w:val="22"/>
        </w:rPr>
        <w:t xml:space="preserve">a delay before they can access effective </w:t>
      </w:r>
      <w:r w:rsidRPr="006B5A5B">
        <w:rPr>
          <w:rFonts w:eastAsia="Tahoma" w:cs="Tahoma"/>
          <w:sz w:val="22"/>
        </w:rPr>
        <w:t xml:space="preserve">treatment. </w:t>
      </w:r>
      <w:r w:rsidRPr="006B5A5B">
        <w:rPr>
          <w:rFonts w:eastAsia="Tahoma" w:cs="Tahoma"/>
          <w:sz w:val="22"/>
        </w:rPr>
        <w:t>This can lead to a worsening of their condition,</w:t>
      </w:r>
      <w:r w:rsidRPr="006B5A5B">
        <w:rPr>
          <w:rFonts w:eastAsia="Tahoma" w:cs="Tahoma"/>
          <w:sz w:val="22"/>
        </w:rPr>
        <w:t xml:space="preserve"> </w:t>
      </w:r>
      <w:r w:rsidRPr="006B5A5B">
        <w:rPr>
          <w:rFonts w:eastAsia="Tahoma" w:cs="Tahoma"/>
          <w:sz w:val="22"/>
        </w:rPr>
        <w:t xml:space="preserve">longer periods out of work or </w:t>
      </w:r>
      <w:r w:rsidRPr="006B5A5B">
        <w:rPr>
          <w:rFonts w:eastAsia="Tahoma" w:cs="Tahoma"/>
          <w:sz w:val="22"/>
        </w:rPr>
        <w:t>exiting early</w:t>
      </w:r>
      <w:r w:rsidRPr="006B5A5B">
        <w:rPr>
          <w:rFonts w:eastAsia="Tahoma" w:cs="Tahoma"/>
          <w:sz w:val="22"/>
        </w:rPr>
        <w:t xml:space="preserve"> </w:t>
      </w:r>
      <w:r w:rsidRPr="006B5A5B">
        <w:rPr>
          <w:rFonts w:eastAsia="Tahoma" w:cs="Tahoma"/>
          <w:sz w:val="22"/>
        </w:rPr>
        <w:t>(DWP</w:t>
      </w:r>
      <w:r w:rsidRPr="006B5A5B">
        <w:rPr>
          <w:rFonts w:eastAsia="Tahoma" w:cs="Tahoma"/>
          <w:sz w:val="22"/>
        </w:rPr>
        <w:t xml:space="preserve"> and DBT, </w:t>
      </w:r>
      <w:r w:rsidRPr="006B5A5B">
        <w:rPr>
          <w:rFonts w:eastAsia="Tahoma" w:cs="Tahoma"/>
          <w:sz w:val="22"/>
        </w:rPr>
        <w:t xml:space="preserve">2025). </w:t>
      </w:r>
      <w:r w:rsidRPr="006B5A5B">
        <w:rPr>
          <w:rFonts w:eastAsia="Tahoma" w:cs="Tahoma"/>
          <w:sz w:val="22"/>
        </w:rPr>
        <w:t>T</w:t>
      </w:r>
      <w:r w:rsidRPr="006B5A5B">
        <w:rPr>
          <w:rFonts w:eastAsia="Tahoma" w:cs="Tahoma"/>
          <w:sz w:val="22"/>
        </w:rPr>
        <w:t>h</w:t>
      </w:r>
      <w:r w:rsidRPr="006B5A5B">
        <w:rPr>
          <w:rFonts w:eastAsia="Tahoma" w:cs="Tahoma"/>
          <w:sz w:val="22"/>
        </w:rPr>
        <w:t>ose on long</w:t>
      </w:r>
      <w:r w:rsidRPr="006B5A5B">
        <w:rPr>
          <w:rFonts w:eastAsia="Tahoma" w:cs="Tahoma"/>
          <w:sz w:val="22"/>
        </w:rPr>
        <w:t xml:space="preserve">-term sickness absence </w:t>
      </w:r>
      <w:r w:rsidRPr="006B5A5B">
        <w:rPr>
          <w:rFonts w:eastAsia="Tahoma" w:cs="Tahoma"/>
          <w:sz w:val="22"/>
        </w:rPr>
        <w:t xml:space="preserve">due to a mental health condition </w:t>
      </w:r>
      <w:r w:rsidRPr="006B5A5B">
        <w:rPr>
          <w:rFonts w:eastAsia="Tahoma" w:cs="Tahoma"/>
          <w:sz w:val="22"/>
        </w:rPr>
        <w:t xml:space="preserve">are </w:t>
      </w:r>
      <w:r w:rsidRPr="006B5A5B">
        <w:rPr>
          <w:rFonts w:eastAsia="Tahoma" w:cs="Tahoma"/>
          <w:sz w:val="22"/>
        </w:rPr>
        <w:t xml:space="preserve">less likely to return to work </w:t>
      </w:r>
      <w:r w:rsidRPr="006B5A5B">
        <w:rPr>
          <w:rFonts w:eastAsia="Tahoma" w:cs="Tahoma"/>
          <w:sz w:val="22"/>
        </w:rPr>
        <w:t xml:space="preserve">than those </w:t>
      </w:r>
      <w:r w:rsidRPr="006B5A5B">
        <w:rPr>
          <w:rFonts w:eastAsia="Tahoma" w:cs="Tahoma"/>
          <w:sz w:val="22"/>
        </w:rPr>
        <w:t>with other</w:t>
      </w:r>
      <w:r w:rsidRPr="006B5A5B">
        <w:rPr>
          <w:rFonts w:eastAsia="Tahoma" w:cs="Tahoma"/>
          <w:sz w:val="22"/>
        </w:rPr>
        <w:t xml:space="preserve"> </w:t>
      </w:r>
      <w:r w:rsidRPr="006B5A5B">
        <w:rPr>
          <w:rFonts w:eastAsia="Tahoma" w:cs="Tahoma"/>
          <w:sz w:val="22"/>
        </w:rPr>
        <w:t>conditions</w:t>
      </w:r>
      <w:r w:rsidRPr="006B5A5B">
        <w:rPr>
          <w:rFonts w:eastAsia="Tahoma" w:cs="Tahoma"/>
          <w:sz w:val="22"/>
        </w:rPr>
        <w:t xml:space="preserve"> (DWP, 2024)</w:t>
      </w:r>
      <w:r w:rsidRPr="006B5A5B">
        <w:rPr>
          <w:rFonts w:eastAsia="Tahoma" w:cs="Tahoma"/>
          <w:sz w:val="22"/>
        </w:rPr>
        <w:t>.</w:t>
      </w:r>
      <w:r w:rsidRPr="006B5A5B">
        <w:rPr>
          <w:rFonts w:eastAsia="Tahoma" w:cs="Tahoma"/>
          <w:sz w:val="22"/>
        </w:rPr>
        <w:t xml:space="preserve"> </w:t>
      </w:r>
      <w:r w:rsidRPr="006B5A5B">
        <w:rPr>
          <w:rFonts w:eastAsia="Tahoma" w:cs="Tahoma"/>
          <w:sz w:val="22"/>
        </w:rPr>
        <w:t>A key driver of this disparity</w:t>
      </w:r>
      <w:r w:rsidRPr="006B5A5B">
        <w:rPr>
          <w:rFonts w:eastAsia="Tahoma" w:cs="Tahoma"/>
          <w:sz w:val="22"/>
        </w:rPr>
        <w:t xml:space="preserve"> is </w:t>
      </w:r>
      <w:r w:rsidRPr="006B5A5B">
        <w:rPr>
          <w:rFonts w:eastAsia="Tahoma" w:cs="Tahoma"/>
          <w:sz w:val="22"/>
        </w:rPr>
        <w:t>how much longer</w:t>
      </w:r>
      <w:r w:rsidRPr="006B5A5B">
        <w:rPr>
          <w:rFonts w:eastAsia="Tahoma" w:cs="Tahoma"/>
          <w:sz w:val="22"/>
        </w:rPr>
        <w:t xml:space="preserve"> people</w:t>
      </w:r>
      <w:r w:rsidRPr="006B5A5B">
        <w:rPr>
          <w:rFonts w:eastAsia="Tahoma" w:cs="Tahoma"/>
          <w:sz w:val="22"/>
        </w:rPr>
        <w:t xml:space="preserve"> seeking mental health treatment often wait</w:t>
      </w:r>
      <w:r w:rsidRPr="006B5A5B">
        <w:rPr>
          <w:rFonts w:eastAsia="Tahoma" w:cs="Tahoma"/>
          <w:sz w:val="22"/>
        </w:rPr>
        <w:t xml:space="preserve"> </w:t>
      </w:r>
      <w:r w:rsidRPr="006B5A5B">
        <w:rPr>
          <w:rFonts w:eastAsia="Tahoma" w:cs="Tahoma"/>
          <w:sz w:val="22"/>
        </w:rPr>
        <w:t>for care</w:t>
      </w:r>
      <w:r w:rsidRPr="006B5A5B">
        <w:rPr>
          <w:rFonts w:eastAsia="Tahoma" w:cs="Tahoma"/>
          <w:sz w:val="22"/>
        </w:rPr>
        <w:t>, compared to</w:t>
      </w:r>
      <w:r w:rsidRPr="006B5A5B">
        <w:rPr>
          <w:rFonts w:eastAsia="Tahoma" w:cs="Tahoma"/>
          <w:sz w:val="22"/>
        </w:rPr>
        <w:t xml:space="preserve"> those seeking physical health treatment.</w:t>
      </w:r>
      <w:r w:rsidRPr="006B5A5B">
        <w:rPr>
          <w:rFonts w:eastAsia="Tahoma" w:cs="Tahoma"/>
          <w:sz w:val="22"/>
        </w:rPr>
        <w:t xml:space="preserve"> </w:t>
      </w:r>
      <w:r w:rsidRPr="006B5A5B">
        <w:rPr>
          <w:rFonts w:eastAsia="Tahoma" w:cs="Tahoma"/>
          <w:sz w:val="22"/>
        </w:rPr>
        <w:t xml:space="preserve">The data shows that adults </w:t>
      </w:r>
      <w:r w:rsidRPr="006B5A5B">
        <w:rPr>
          <w:rFonts w:eastAsia="Tahoma" w:cs="Tahoma"/>
          <w:sz w:val="22"/>
        </w:rPr>
        <w:t xml:space="preserve">with mental health issues are nearly 12 times </w:t>
      </w:r>
      <w:r w:rsidRPr="006B5A5B">
        <w:rPr>
          <w:rFonts w:eastAsia="Tahoma" w:cs="Tahoma"/>
          <w:sz w:val="22"/>
        </w:rPr>
        <w:t xml:space="preserve">more likely to wait more than 18 months </w:t>
      </w:r>
      <w:r w:rsidRPr="006B5A5B">
        <w:rPr>
          <w:rFonts w:eastAsia="Tahoma" w:cs="Tahoma"/>
          <w:sz w:val="22"/>
        </w:rPr>
        <w:t>for support</w:t>
      </w:r>
      <w:r w:rsidRPr="006B5A5B">
        <w:rPr>
          <w:rFonts w:eastAsia="Tahoma" w:cs="Tahoma"/>
          <w:sz w:val="22"/>
        </w:rPr>
        <w:t xml:space="preserve"> than those with physical health issues, with the longest waits exceeding 2 years (Rethink, 2025).</w:t>
      </w:r>
      <w:r w:rsidRPr="006B5A5B">
        <w:rPr>
          <w:rFonts w:eastAsia="Tahoma" w:cs="Tahoma"/>
          <w:sz w:val="22"/>
        </w:rPr>
        <w:t xml:space="preserve"> </w:t>
      </w:r>
      <w:r w:rsidRPr="006B5A5B">
        <w:rPr>
          <w:rFonts w:eastAsia="Tahoma" w:cs="Tahoma"/>
          <w:sz w:val="22"/>
        </w:rPr>
        <w:t>Long waits are also a serious issue in Child and Adolescent Mental Health Services</w:t>
      </w:r>
      <w:r w:rsidRPr="006B5A5B">
        <w:rPr>
          <w:rFonts w:eastAsia="Tahoma" w:cs="Tahoma"/>
          <w:sz w:val="22"/>
        </w:rPr>
        <w:t xml:space="preserve"> (CAMHS)</w:t>
      </w:r>
      <w:r w:rsidRPr="006B5A5B">
        <w:rPr>
          <w:rFonts w:eastAsia="Tahoma" w:cs="Tahoma"/>
          <w:sz w:val="22"/>
        </w:rPr>
        <w:t>. I</w:t>
      </w:r>
      <w:r w:rsidRPr="006B5A5B">
        <w:rPr>
          <w:rFonts w:eastAsia="Tahoma" w:cs="Tahoma"/>
          <w:sz w:val="22"/>
        </w:rPr>
        <w:t xml:space="preserve">n 2023/24, </w:t>
      </w:r>
      <w:r w:rsidRPr="006B5A5B">
        <w:rPr>
          <w:rFonts w:eastAsia="Tahoma" w:cs="Tahoma"/>
          <w:sz w:val="22"/>
        </w:rPr>
        <w:t>over 7</w:t>
      </w:r>
      <w:r w:rsidRPr="006B5A5B">
        <w:rPr>
          <w:rFonts w:eastAsia="Tahoma" w:cs="Tahoma"/>
          <w:sz w:val="22"/>
        </w:rPr>
        <w:t>8,000</w:t>
      </w:r>
      <w:r w:rsidRPr="006B5A5B">
        <w:rPr>
          <w:rFonts w:eastAsia="Tahoma" w:cs="Tahoma"/>
          <w:sz w:val="22"/>
        </w:rPr>
        <w:t xml:space="preserve"> young people</w:t>
      </w:r>
      <w:r w:rsidRPr="006B5A5B">
        <w:rPr>
          <w:rFonts w:eastAsia="Tahoma" w:cs="Tahoma"/>
          <w:sz w:val="22"/>
        </w:rPr>
        <w:t xml:space="preserve"> referred to</w:t>
      </w:r>
      <w:r w:rsidRPr="006B5A5B">
        <w:rPr>
          <w:rFonts w:eastAsia="Tahoma" w:cs="Tahoma"/>
          <w:sz w:val="22"/>
        </w:rPr>
        <w:t xml:space="preserve"> CAMHS </w:t>
      </w:r>
      <w:r w:rsidRPr="006B5A5B">
        <w:rPr>
          <w:rFonts w:eastAsia="Tahoma" w:cs="Tahoma"/>
          <w:sz w:val="22"/>
        </w:rPr>
        <w:t xml:space="preserve">waited </w:t>
      </w:r>
      <w:r w:rsidRPr="006B5A5B">
        <w:rPr>
          <w:rFonts w:eastAsia="Tahoma" w:cs="Tahoma"/>
          <w:sz w:val="22"/>
        </w:rPr>
        <w:t>more than a</w:t>
      </w:r>
      <w:r w:rsidRPr="006B5A5B">
        <w:rPr>
          <w:rFonts w:eastAsia="Tahoma" w:cs="Tahoma"/>
          <w:sz w:val="22"/>
        </w:rPr>
        <w:t xml:space="preserve"> year for treatment</w:t>
      </w:r>
      <w:r w:rsidRPr="006B5A5B">
        <w:rPr>
          <w:rFonts w:eastAsia="Tahoma" w:cs="Tahoma"/>
          <w:sz w:val="22"/>
        </w:rPr>
        <w:t xml:space="preserve"> – an increase of over 52% on the </w:t>
      </w:r>
      <w:r w:rsidRPr="006B5A5B">
        <w:rPr>
          <w:rFonts w:eastAsia="Tahoma" w:cs="Tahoma"/>
          <w:sz w:val="22"/>
        </w:rPr>
        <w:t xml:space="preserve">previous year </w:t>
      </w:r>
      <w:r w:rsidRPr="006B5A5B">
        <w:rPr>
          <w:rFonts w:eastAsia="Tahoma" w:cs="Tahoma"/>
          <w:sz w:val="22"/>
        </w:rPr>
        <w:t>(YoungMinds, 2025).</w:t>
      </w:r>
    </w:p>
    <w:p w:rsidR="002938BF" w:rsidRPr="006B5A5B" w:rsidP="00405430">
      <w:pPr>
        <w:spacing w:before="160" w:line="276" w:lineRule="auto"/>
        <w:rPr>
          <w:rFonts w:eastAsia="Tahoma" w:cs="Tahoma"/>
          <w:sz w:val="22"/>
        </w:rPr>
      </w:pPr>
      <w:r w:rsidRPr="006B5A5B">
        <w:rPr>
          <w:rFonts w:eastAsia="Tahoma" w:cs="Tahoma"/>
          <w:sz w:val="22"/>
        </w:rPr>
        <w:t>M</w:t>
      </w:r>
      <w:r w:rsidRPr="006B5A5B">
        <w:rPr>
          <w:rFonts w:eastAsia="Tahoma" w:cs="Tahoma"/>
          <w:sz w:val="22"/>
        </w:rPr>
        <w:t xml:space="preserve">any employers describe not knowing how to support staff early-on in their careers, including how to discuss mental health sensitively or identify early signs of burnout (Mental Health UK, 2026). Of the 100 UK companies benchmarked by the CCLA, 44 still ranked in the two lowest tiers for mental health, despite almost all recognising it as a serious business </w:t>
      </w:r>
      <w:r w:rsidRPr="006B5A5B">
        <w:rPr>
          <w:rFonts w:eastAsia="Tahoma" w:cs="Tahoma"/>
          <w:sz w:val="22"/>
        </w:rPr>
        <w:t>concern (CCLA, 2025). The report</w:t>
      </w:r>
      <w:r>
        <w:rPr>
          <w:rFonts w:eastAsia="Tahoma" w:cs="Tahoma"/>
          <w:sz w:val="22"/>
        </w:rPr>
        <w:t xml:space="preserve"> revealed that nearly </w:t>
      </w:r>
      <w:r w:rsidRPr="006B5A5B">
        <w:rPr>
          <w:rFonts w:eastAsia="Tahoma" w:cs="Tahoma"/>
          <w:sz w:val="22"/>
        </w:rPr>
        <w:t xml:space="preserve">half of line managers </w:t>
      </w:r>
      <w:r>
        <w:rPr>
          <w:rFonts w:eastAsia="Tahoma" w:cs="Tahoma"/>
          <w:sz w:val="22"/>
        </w:rPr>
        <w:t>ar</w:t>
      </w:r>
      <w:r w:rsidRPr="006B5A5B">
        <w:rPr>
          <w:rFonts w:eastAsia="Tahoma" w:cs="Tahoma"/>
          <w:sz w:val="22"/>
        </w:rPr>
        <w:t xml:space="preserve">e under-equipped to address workplace mental health and over half of CEOs </w:t>
      </w:r>
      <w:r>
        <w:rPr>
          <w:rFonts w:eastAsia="Tahoma" w:cs="Tahoma"/>
          <w:sz w:val="22"/>
        </w:rPr>
        <w:t>a</w:t>
      </w:r>
      <w:r w:rsidRPr="006B5A5B">
        <w:rPr>
          <w:rFonts w:eastAsia="Tahoma" w:cs="Tahoma"/>
          <w:sz w:val="22"/>
        </w:rPr>
        <w:t>re not publicly promoting</w:t>
      </w:r>
      <w:r w:rsidRPr="006B5A5B">
        <w:rPr>
          <w:rFonts w:eastAsia="Tahoma" w:cs="Tahoma"/>
          <w:sz w:val="22"/>
        </w:rPr>
        <w:t xml:space="preserve"> </w:t>
      </w:r>
      <w:r w:rsidRPr="006B5A5B">
        <w:rPr>
          <w:rFonts w:eastAsia="Tahoma" w:cs="Tahoma"/>
          <w:sz w:val="22"/>
        </w:rPr>
        <w:t xml:space="preserve">mental health </w:t>
      </w:r>
      <w:r w:rsidRPr="006B5A5B">
        <w:rPr>
          <w:rFonts w:eastAsia="Tahoma" w:cs="Tahoma"/>
          <w:sz w:val="22"/>
        </w:rPr>
        <w:t>initiatives with</w:t>
      </w:r>
      <w:r w:rsidRPr="006B5A5B">
        <w:rPr>
          <w:rFonts w:eastAsia="Tahoma" w:cs="Tahoma"/>
          <w:sz w:val="22"/>
        </w:rPr>
        <w:t>in their companies.</w:t>
      </w:r>
      <w:r w:rsidRPr="006B5A5B">
        <w:rPr>
          <w:sz w:val="22"/>
        </w:rPr>
        <w:t xml:space="preserve"> </w:t>
      </w:r>
      <w:r w:rsidRPr="006B5A5B">
        <w:rPr>
          <w:sz w:val="22"/>
        </w:rPr>
        <w:t xml:space="preserve">It is a preventative and cost-saving measure to prioritise mental health and wellbeing within the workplace, and </w:t>
      </w:r>
      <w:r>
        <w:rPr>
          <w:sz w:val="22"/>
        </w:rPr>
        <w:t xml:space="preserve">the Government should incentivise </w:t>
      </w:r>
      <w:r w:rsidRPr="006B5A5B">
        <w:rPr>
          <w:sz w:val="22"/>
        </w:rPr>
        <w:t xml:space="preserve">employers </w:t>
      </w:r>
      <w:r>
        <w:rPr>
          <w:sz w:val="22"/>
        </w:rPr>
        <w:t>to do this.</w:t>
      </w:r>
    </w:p>
    <w:p w:rsidR="002938BF" w:rsidRPr="006B5A5B" w:rsidP="006B5A5B">
      <w:pPr>
        <w:pStyle w:val="Heading1"/>
      </w:pPr>
      <w:r w:rsidRPr="006B5A5B">
        <w:t>P</w:t>
      </w:r>
      <w:r w:rsidRPr="006B5A5B">
        <w:t xml:space="preserve">reventing young people becoming NEET </w:t>
      </w:r>
      <w:r w:rsidRPr="006B5A5B">
        <w:t>through mental health support</w:t>
      </w:r>
    </w:p>
    <w:p w:rsidR="002938BF" w:rsidRPr="006B5A5B" w:rsidP="00405430">
      <w:pPr>
        <w:pStyle w:val="ListParagraph"/>
        <w:numPr>
          <w:ilvl w:val="0"/>
          <w:numId w:val="21"/>
        </w:numPr>
        <w:spacing w:before="160" w:line="276" w:lineRule="auto"/>
        <w:rPr>
          <w:rFonts w:eastAsia="Tahoma" w:cs="Tahoma"/>
          <w:sz w:val="22"/>
          <w:u w:val="single"/>
        </w:rPr>
      </w:pPr>
      <w:r w:rsidRPr="006B5A5B">
        <w:rPr>
          <w:rFonts w:eastAsia="Tahoma" w:cs="Tahoma"/>
          <w:sz w:val="22"/>
          <w:u w:val="single"/>
        </w:rPr>
        <w:t>How can the Government, and the DWP, help to prevent young people from becoming NEET in the first place?</w:t>
      </w:r>
    </w:p>
    <w:p w:rsidR="002938BF" w:rsidRPr="006B5A5B" w:rsidP="00405430">
      <w:pPr>
        <w:spacing w:before="160" w:line="276" w:lineRule="auto"/>
        <w:rPr>
          <w:rFonts w:eastAsia="Tahoma" w:cs="Tahoma"/>
          <w:sz w:val="22"/>
        </w:rPr>
      </w:pPr>
      <w:r w:rsidRPr="006B5A5B">
        <w:rPr>
          <w:rFonts w:eastAsia="Tahoma" w:cs="Tahoma"/>
          <w:sz w:val="22"/>
        </w:rPr>
        <w:t>The onset of mental ill-health does not exist in a vacuum. Many of the mental health problems children and young people</w:t>
      </w:r>
      <w:r w:rsidRPr="006B5A5B">
        <w:rPr>
          <w:rFonts w:eastAsia="Tahoma" w:cs="Tahoma"/>
          <w:sz w:val="22"/>
        </w:rPr>
        <w:t xml:space="preserve"> present with</w:t>
      </w:r>
      <w:r w:rsidRPr="006B5A5B">
        <w:rPr>
          <w:rFonts w:eastAsia="Tahoma" w:cs="Tahoma"/>
          <w:sz w:val="22"/>
        </w:rPr>
        <w:t xml:space="preserve"> today </w:t>
      </w:r>
      <w:r w:rsidRPr="006B5A5B">
        <w:rPr>
          <w:rFonts w:eastAsia="Tahoma" w:cs="Tahoma"/>
          <w:sz w:val="22"/>
        </w:rPr>
        <w:t>could have been prevented</w:t>
      </w:r>
      <w:r w:rsidRPr="006B5A5B">
        <w:rPr>
          <w:rFonts w:eastAsia="Tahoma" w:cs="Tahoma"/>
          <w:sz w:val="22"/>
        </w:rPr>
        <w:t xml:space="preserve"> if </w:t>
      </w:r>
      <w:r w:rsidRPr="006B5A5B">
        <w:rPr>
          <w:rFonts w:eastAsia="Tahoma" w:cs="Tahoma"/>
          <w:sz w:val="22"/>
        </w:rPr>
        <w:t xml:space="preserve">the </w:t>
      </w:r>
      <w:r w:rsidRPr="006B5A5B">
        <w:rPr>
          <w:rFonts w:eastAsia="Tahoma" w:cs="Tahoma"/>
          <w:sz w:val="22"/>
        </w:rPr>
        <w:t xml:space="preserve">underlying causes </w:t>
      </w:r>
      <w:r w:rsidRPr="006B5A5B">
        <w:rPr>
          <w:rFonts w:eastAsia="Tahoma" w:cs="Tahoma"/>
          <w:sz w:val="22"/>
        </w:rPr>
        <w:t>were</w:t>
      </w:r>
      <w:r w:rsidRPr="006B5A5B">
        <w:rPr>
          <w:rFonts w:eastAsia="Tahoma" w:cs="Tahoma"/>
          <w:sz w:val="22"/>
        </w:rPr>
        <w:t xml:space="preserve"> addressed. These</w:t>
      </w:r>
      <w:r w:rsidRPr="006B5A5B">
        <w:rPr>
          <w:rFonts w:eastAsia="Tahoma" w:cs="Tahoma"/>
          <w:sz w:val="22"/>
        </w:rPr>
        <w:t xml:space="preserve"> </w:t>
      </w:r>
      <w:r w:rsidRPr="006B5A5B">
        <w:rPr>
          <w:rFonts w:eastAsia="Tahoma" w:cs="Tahoma"/>
          <w:sz w:val="22"/>
        </w:rPr>
        <w:t xml:space="preserve">causes </w:t>
      </w:r>
      <w:r w:rsidRPr="006B5A5B">
        <w:rPr>
          <w:rFonts w:eastAsia="Tahoma" w:cs="Tahoma"/>
          <w:sz w:val="22"/>
        </w:rPr>
        <w:t>are often described as the social determinants of health</w:t>
      </w:r>
      <w:r w:rsidRPr="006B5A5B">
        <w:rPr>
          <w:rFonts w:eastAsia="Tahoma" w:cs="Tahoma"/>
          <w:sz w:val="22"/>
        </w:rPr>
        <w:t xml:space="preserve">, </w:t>
      </w:r>
      <w:r w:rsidRPr="006B5A5B">
        <w:rPr>
          <w:rFonts w:eastAsia="Tahoma" w:cs="Tahoma"/>
          <w:sz w:val="22"/>
        </w:rPr>
        <w:t>and relate to a range of</w:t>
      </w:r>
      <w:r w:rsidRPr="006B5A5B">
        <w:rPr>
          <w:rFonts w:eastAsia="Tahoma" w:cs="Tahoma"/>
          <w:sz w:val="22"/>
        </w:rPr>
        <w:t xml:space="preserve"> economic, social and environmental factors</w:t>
      </w:r>
      <w:r w:rsidRPr="006B5A5B">
        <w:rPr>
          <w:rFonts w:eastAsia="Tahoma" w:cs="Tahoma"/>
          <w:sz w:val="22"/>
        </w:rPr>
        <w:t>. T</w:t>
      </w:r>
      <w:r w:rsidRPr="006B5A5B">
        <w:rPr>
          <w:rFonts w:eastAsia="Tahoma" w:cs="Tahoma"/>
          <w:sz w:val="22"/>
        </w:rPr>
        <w:t>o prevent young people from becoming NEET to begin with, the</w:t>
      </w:r>
      <w:r w:rsidRPr="006B5A5B">
        <w:rPr>
          <w:rFonts w:eastAsia="Tahoma" w:cs="Tahoma"/>
          <w:sz w:val="22"/>
        </w:rPr>
        <w:t xml:space="preserve"> </w:t>
      </w:r>
      <w:r w:rsidRPr="006B5A5B">
        <w:rPr>
          <w:rFonts w:eastAsia="Tahoma" w:cs="Tahoma"/>
          <w:sz w:val="22"/>
        </w:rPr>
        <w:t>G</w:t>
      </w:r>
      <w:r w:rsidRPr="006B5A5B">
        <w:rPr>
          <w:rFonts w:eastAsia="Tahoma" w:cs="Tahoma"/>
          <w:sz w:val="22"/>
        </w:rPr>
        <w:t xml:space="preserve">overnment </w:t>
      </w:r>
      <w:r w:rsidRPr="006B5A5B">
        <w:rPr>
          <w:rFonts w:eastAsia="Tahoma" w:cs="Tahoma"/>
          <w:sz w:val="22"/>
        </w:rPr>
        <w:t xml:space="preserve">must address these wider determinants by focusing on prevention and early intervention. </w:t>
      </w:r>
    </w:p>
    <w:p w:rsidR="002938BF" w:rsidRPr="006B5A5B" w:rsidP="00405430">
      <w:pPr>
        <w:spacing w:before="160" w:line="276" w:lineRule="auto"/>
        <w:rPr>
          <w:rFonts w:eastAsia="Tahoma" w:cs="Tahoma"/>
          <w:b/>
          <w:bCs/>
          <w:sz w:val="22"/>
        </w:rPr>
      </w:pPr>
      <w:r w:rsidRPr="006B5A5B">
        <w:rPr>
          <w:rFonts w:eastAsia="Tahoma" w:cs="Tahoma"/>
          <w:b/>
          <w:bCs/>
          <w:sz w:val="22"/>
        </w:rPr>
        <w:t xml:space="preserve">Recommendation 1. The UK Government should prioritise upstream support and prevention across young people’s lives.  </w:t>
      </w:r>
    </w:p>
    <w:p w:rsidR="002938BF" w:rsidRPr="006B5A5B" w:rsidP="00405430">
      <w:pPr>
        <w:spacing w:before="160" w:line="276" w:lineRule="auto"/>
        <w:rPr>
          <w:rFonts w:eastAsia="Tahoma" w:cs="Tahoma"/>
          <w:sz w:val="22"/>
        </w:rPr>
      </w:pPr>
      <w:r w:rsidRPr="006B5A5B">
        <w:rPr>
          <w:rFonts w:eastAsia="Tahoma" w:cs="Tahoma"/>
          <w:b/>
          <w:bCs/>
          <w:sz w:val="22"/>
        </w:rPr>
        <w:t>i</w:t>
      </w:r>
      <w:r w:rsidRPr="006B5A5B">
        <w:rPr>
          <w:rFonts w:eastAsia="Tahoma" w:cs="Tahoma"/>
          <w:b/>
          <w:bCs/>
          <w:sz w:val="22"/>
        </w:rPr>
        <w:t xml:space="preserve">) </w:t>
      </w:r>
      <w:r w:rsidRPr="006B5A5B">
        <w:rPr>
          <w:rFonts w:eastAsia="Tahoma" w:cs="Tahoma"/>
          <w:b/>
          <w:bCs/>
          <w:sz w:val="22"/>
        </w:rPr>
        <w:t>Apply</w:t>
      </w:r>
      <w:r w:rsidRPr="006B5A5B">
        <w:rPr>
          <w:rFonts w:eastAsia="Tahoma" w:cs="Tahoma"/>
          <w:b/>
          <w:bCs/>
          <w:sz w:val="22"/>
        </w:rPr>
        <w:t xml:space="preserve"> a mental health policy test to </w:t>
      </w:r>
      <w:r w:rsidRPr="006B5A5B">
        <w:rPr>
          <w:rFonts w:eastAsia="Tahoma" w:cs="Tahoma"/>
          <w:b/>
          <w:bCs/>
          <w:sz w:val="22"/>
        </w:rPr>
        <w:t xml:space="preserve">all government </w:t>
      </w:r>
      <w:r w:rsidRPr="006B5A5B">
        <w:rPr>
          <w:rFonts w:eastAsia="Tahoma" w:cs="Tahoma"/>
          <w:b/>
          <w:bCs/>
          <w:sz w:val="22"/>
        </w:rPr>
        <w:t>policies</w:t>
      </w:r>
    </w:p>
    <w:p w:rsidR="002938BF" w:rsidRPr="006B5A5B" w:rsidP="00405430">
      <w:pPr>
        <w:spacing w:before="160" w:line="276" w:lineRule="auto"/>
        <w:rPr>
          <w:rFonts w:eastAsia="Tahoma" w:cs="Tahoma"/>
          <w:sz w:val="22"/>
        </w:rPr>
      </w:pPr>
      <w:r w:rsidRPr="006B5A5B">
        <w:rPr>
          <w:rFonts w:eastAsia="Tahoma" w:cs="Tahoma"/>
          <w:sz w:val="22"/>
        </w:rPr>
        <w:t>The Government should introduce a formal mental health policy test to assess the potential impacts of all major government policies on children and young people’s mental health. This</w:t>
      </w:r>
      <w:r w:rsidRPr="006B5A5B">
        <w:rPr>
          <w:rFonts w:eastAsia="Tahoma" w:cs="Tahoma"/>
          <w:sz w:val="22"/>
        </w:rPr>
        <w:t xml:space="preserve"> would </w:t>
      </w:r>
      <w:r w:rsidRPr="006B5A5B">
        <w:rPr>
          <w:rFonts w:eastAsia="Tahoma" w:cs="Tahoma"/>
          <w:sz w:val="22"/>
        </w:rPr>
        <w:t>help</w:t>
      </w:r>
      <w:r w:rsidRPr="006B5A5B">
        <w:rPr>
          <w:rFonts w:eastAsia="Tahoma" w:cs="Tahoma"/>
          <w:sz w:val="22"/>
        </w:rPr>
        <w:t xml:space="preserve"> embed </w:t>
      </w:r>
      <w:r w:rsidRPr="006B5A5B">
        <w:rPr>
          <w:rFonts w:eastAsia="Tahoma" w:cs="Tahoma"/>
          <w:sz w:val="22"/>
        </w:rPr>
        <w:t xml:space="preserve">a </w:t>
      </w:r>
      <w:r w:rsidRPr="006B5A5B">
        <w:rPr>
          <w:rFonts w:eastAsia="Tahoma" w:cs="Tahoma"/>
          <w:i/>
          <w:iCs/>
          <w:sz w:val="22"/>
        </w:rPr>
        <w:t>mental health in all policies</w:t>
      </w:r>
      <w:r w:rsidRPr="006B5A5B">
        <w:rPr>
          <w:rFonts w:eastAsia="Tahoma" w:cs="Tahoma"/>
          <w:sz w:val="22"/>
        </w:rPr>
        <w:t xml:space="preserve"> approach</w:t>
      </w:r>
      <w:r w:rsidRPr="006B5A5B">
        <w:rPr>
          <w:rFonts w:eastAsia="Tahoma" w:cs="Tahoma"/>
          <w:sz w:val="22"/>
        </w:rPr>
        <w:t>, ensuring decisions across</w:t>
      </w:r>
      <w:r w:rsidRPr="006B5A5B">
        <w:rPr>
          <w:rFonts w:eastAsia="Tahoma" w:cs="Tahoma"/>
          <w:sz w:val="22"/>
        </w:rPr>
        <w:t xml:space="preserve"> departments consider both risks and </w:t>
      </w:r>
      <w:r w:rsidRPr="006B5A5B">
        <w:rPr>
          <w:rFonts w:eastAsia="Tahoma" w:cs="Tahoma"/>
          <w:sz w:val="22"/>
        </w:rPr>
        <w:t>opportunities</w:t>
      </w:r>
      <w:r w:rsidRPr="006B5A5B">
        <w:rPr>
          <w:rFonts w:eastAsia="Tahoma" w:cs="Tahoma"/>
          <w:sz w:val="22"/>
        </w:rPr>
        <w:t xml:space="preserve"> for mental health. For example, it could be used to</w:t>
      </w:r>
      <w:r w:rsidRPr="006B5A5B">
        <w:rPr>
          <w:rFonts w:eastAsia="Tahoma" w:cs="Tahoma"/>
          <w:sz w:val="22"/>
        </w:rPr>
        <w:t xml:space="preserve"> explore the mental health </w:t>
      </w:r>
      <w:r w:rsidRPr="006B5A5B">
        <w:rPr>
          <w:rFonts w:eastAsia="Tahoma" w:cs="Tahoma"/>
          <w:sz w:val="22"/>
        </w:rPr>
        <w:t>implications of changes to</w:t>
      </w:r>
      <w:r w:rsidRPr="006B5A5B">
        <w:rPr>
          <w:rFonts w:eastAsia="Tahoma" w:cs="Tahoma"/>
          <w:sz w:val="22"/>
        </w:rPr>
        <w:t xml:space="preserve"> the curriculum</w:t>
      </w:r>
      <w:r w:rsidRPr="006B5A5B">
        <w:rPr>
          <w:rFonts w:eastAsia="Tahoma" w:cs="Tahoma"/>
          <w:sz w:val="22"/>
        </w:rPr>
        <w:t>.</w:t>
      </w:r>
    </w:p>
    <w:p w:rsidR="002938BF" w:rsidRPr="006B5A5B" w:rsidP="00405430">
      <w:pPr>
        <w:spacing w:before="160" w:line="276" w:lineRule="auto"/>
        <w:rPr>
          <w:rFonts w:eastAsia="Tahoma" w:cs="Tahoma"/>
          <w:sz w:val="22"/>
        </w:rPr>
      </w:pPr>
      <w:r w:rsidRPr="006B5A5B">
        <w:rPr>
          <w:rFonts w:eastAsia="Tahoma" w:cs="Tahoma"/>
          <w:b/>
          <w:bCs/>
          <w:sz w:val="22"/>
        </w:rPr>
        <w:t>ii</w:t>
      </w:r>
      <w:r w:rsidRPr="006B5A5B">
        <w:rPr>
          <w:rFonts w:eastAsia="Tahoma" w:cs="Tahoma"/>
          <w:b/>
          <w:bCs/>
          <w:sz w:val="22"/>
        </w:rPr>
        <w:t xml:space="preserve">) </w:t>
      </w:r>
      <w:r w:rsidRPr="006B5A5B">
        <w:rPr>
          <w:rFonts w:eastAsia="Tahoma" w:cs="Tahoma"/>
          <w:b/>
          <w:bCs/>
          <w:sz w:val="22"/>
        </w:rPr>
        <w:t>B</w:t>
      </w:r>
      <w:r w:rsidRPr="006B5A5B">
        <w:rPr>
          <w:rFonts w:eastAsia="Tahoma" w:cs="Tahoma"/>
          <w:b/>
          <w:bCs/>
          <w:sz w:val="22"/>
        </w:rPr>
        <w:t>roadening the Mental Health Support Teams</w:t>
      </w:r>
      <w:r w:rsidRPr="006B5A5B">
        <w:rPr>
          <w:rFonts w:eastAsia="Tahoma" w:cs="Tahoma"/>
          <w:b/>
          <w:bCs/>
          <w:sz w:val="22"/>
        </w:rPr>
        <w:t xml:space="preserve"> (MHSTs)</w:t>
      </w:r>
      <w:r w:rsidRPr="006B5A5B">
        <w:rPr>
          <w:rFonts w:eastAsia="Tahoma" w:cs="Tahoma"/>
          <w:b/>
          <w:bCs/>
          <w:sz w:val="22"/>
        </w:rPr>
        <w:t xml:space="preserve"> model</w:t>
      </w:r>
      <w:r w:rsidRPr="006B5A5B">
        <w:rPr>
          <w:rFonts w:eastAsia="Tahoma" w:cs="Tahoma"/>
          <w:sz w:val="22"/>
        </w:rPr>
        <w:t xml:space="preserve">, offering tailored support for </w:t>
      </w:r>
      <w:r w:rsidRPr="006B5A5B">
        <w:rPr>
          <w:rFonts w:eastAsia="Tahoma" w:cs="Tahoma"/>
          <w:sz w:val="22"/>
        </w:rPr>
        <w:t xml:space="preserve">groups of children and young people who are currently underserved by MHSTs, such as </w:t>
      </w:r>
      <w:r w:rsidRPr="006B5A5B">
        <w:rPr>
          <w:rFonts w:eastAsia="Tahoma" w:cs="Tahoma"/>
          <w:sz w:val="22"/>
        </w:rPr>
        <w:t>neurodiver</w:t>
      </w:r>
      <w:r w:rsidRPr="006B5A5B">
        <w:rPr>
          <w:rFonts w:eastAsia="Tahoma" w:cs="Tahoma"/>
          <w:sz w:val="22"/>
        </w:rPr>
        <w:t>gent</w:t>
      </w:r>
      <w:r w:rsidRPr="006B5A5B">
        <w:rPr>
          <w:rFonts w:eastAsia="Tahoma" w:cs="Tahoma"/>
          <w:sz w:val="22"/>
        </w:rPr>
        <w:t xml:space="preserve"> young people</w:t>
      </w:r>
      <w:r w:rsidRPr="006B5A5B">
        <w:rPr>
          <w:rFonts w:eastAsia="Tahoma" w:cs="Tahoma"/>
          <w:sz w:val="22"/>
        </w:rPr>
        <w:t>.</w:t>
      </w:r>
      <w:r w:rsidRPr="006B5A5B">
        <w:rPr>
          <w:rFonts w:eastAsia="Tahoma" w:cs="Tahoma"/>
          <w:sz w:val="22"/>
        </w:rPr>
        <w:t xml:space="preserve"> </w:t>
      </w:r>
      <w:r w:rsidRPr="006B5A5B">
        <w:rPr>
          <w:rFonts w:eastAsia="Tahoma" w:cs="Tahoma"/>
          <w:sz w:val="22"/>
        </w:rPr>
        <w:t xml:space="preserve">The model should also be further expanded to </w:t>
      </w:r>
      <w:r w:rsidRPr="006B5A5B">
        <w:rPr>
          <w:rFonts w:eastAsia="Tahoma" w:cs="Tahoma"/>
          <w:sz w:val="22"/>
        </w:rPr>
        <w:t>meet a widder range of needs, by</w:t>
      </w:r>
      <w:r w:rsidRPr="006B5A5B">
        <w:rPr>
          <w:rFonts w:eastAsia="Tahoma" w:cs="Tahoma"/>
          <w:sz w:val="22"/>
        </w:rPr>
        <w:t xml:space="preserve"> integrat</w:t>
      </w:r>
      <w:r w:rsidRPr="006B5A5B">
        <w:rPr>
          <w:rFonts w:eastAsia="Tahoma" w:cs="Tahoma"/>
          <w:sz w:val="22"/>
        </w:rPr>
        <w:t xml:space="preserve">ing </w:t>
      </w:r>
      <w:r w:rsidRPr="006B5A5B">
        <w:rPr>
          <w:rFonts w:eastAsia="Tahoma" w:cs="Tahoma"/>
          <w:sz w:val="22"/>
        </w:rPr>
        <w:t xml:space="preserve">wider </w:t>
      </w:r>
      <w:r w:rsidRPr="006B5A5B">
        <w:rPr>
          <w:rFonts w:eastAsia="Tahoma" w:cs="Tahoma"/>
          <w:sz w:val="22"/>
        </w:rPr>
        <w:t>school-based</w:t>
      </w:r>
      <w:r w:rsidRPr="006B5A5B">
        <w:rPr>
          <w:rFonts w:eastAsia="Tahoma" w:cs="Tahoma"/>
          <w:sz w:val="22"/>
        </w:rPr>
        <w:t xml:space="preserve"> provision, including </w:t>
      </w:r>
      <w:r w:rsidRPr="006B5A5B">
        <w:rPr>
          <w:rFonts w:eastAsia="Tahoma" w:cs="Tahoma"/>
          <w:sz w:val="22"/>
        </w:rPr>
        <w:t xml:space="preserve">school counselling </w:t>
      </w:r>
      <w:r w:rsidRPr="006B5A5B">
        <w:rPr>
          <w:rFonts w:eastAsia="Tahoma" w:cs="Tahoma"/>
          <w:sz w:val="22"/>
        </w:rPr>
        <w:t xml:space="preserve">and nursing </w:t>
      </w:r>
      <w:r w:rsidRPr="006B5A5B">
        <w:rPr>
          <w:rFonts w:eastAsia="Tahoma" w:cs="Tahoma"/>
          <w:sz w:val="22"/>
        </w:rPr>
        <w:t>services</w:t>
      </w:r>
      <w:r w:rsidRPr="006B5A5B">
        <w:rPr>
          <w:rFonts w:eastAsia="Tahoma" w:cs="Tahoma"/>
          <w:sz w:val="22"/>
        </w:rPr>
        <w:t xml:space="preserve">, </w:t>
      </w:r>
      <w:r w:rsidRPr="006B5A5B">
        <w:rPr>
          <w:rFonts w:eastAsia="Tahoma" w:cs="Tahoma"/>
          <w:sz w:val="22"/>
        </w:rPr>
        <w:t xml:space="preserve">and </w:t>
      </w:r>
      <w:r w:rsidRPr="006B5A5B">
        <w:rPr>
          <w:rFonts w:eastAsia="Tahoma" w:cs="Tahoma"/>
          <w:sz w:val="22"/>
        </w:rPr>
        <w:t>e</w:t>
      </w:r>
      <w:r w:rsidRPr="006B5A5B">
        <w:rPr>
          <w:rFonts w:eastAsia="Tahoma" w:cs="Tahoma"/>
          <w:sz w:val="22"/>
        </w:rPr>
        <w:t>mbed</w:t>
      </w:r>
      <w:r w:rsidRPr="006B5A5B">
        <w:rPr>
          <w:rFonts w:eastAsia="Tahoma" w:cs="Tahoma"/>
          <w:sz w:val="22"/>
        </w:rPr>
        <w:t xml:space="preserve"> </w:t>
      </w:r>
      <w:r w:rsidRPr="006B5A5B">
        <w:rPr>
          <w:rFonts w:eastAsia="Tahoma" w:cs="Tahoma"/>
          <w:sz w:val="22"/>
        </w:rPr>
        <w:t>relational care approaches.</w:t>
      </w:r>
      <w:r w:rsidRPr="006B5A5B">
        <w:rPr>
          <w:rFonts w:eastAsia="Tahoma" w:cs="Tahoma"/>
          <w:sz w:val="22"/>
        </w:rPr>
        <w:t xml:space="preserve"> MHST training </w:t>
      </w:r>
      <w:r w:rsidRPr="006B5A5B">
        <w:rPr>
          <w:rFonts w:eastAsia="Tahoma" w:cs="Tahoma"/>
          <w:sz w:val="22"/>
        </w:rPr>
        <w:t>should be</w:t>
      </w:r>
      <w:r w:rsidRPr="006B5A5B">
        <w:rPr>
          <w:rFonts w:eastAsia="Tahoma" w:cs="Tahoma"/>
          <w:sz w:val="22"/>
        </w:rPr>
        <w:t xml:space="preserve"> broadened to in</w:t>
      </w:r>
      <w:r w:rsidRPr="006B5A5B">
        <w:rPr>
          <w:rFonts w:eastAsia="Tahoma" w:cs="Tahoma"/>
          <w:sz w:val="22"/>
        </w:rPr>
        <w:t>clude trauma-informed practice</w:t>
      </w:r>
      <w:r w:rsidRPr="006B5A5B">
        <w:rPr>
          <w:rFonts w:eastAsia="Tahoma" w:cs="Tahoma"/>
          <w:sz w:val="22"/>
        </w:rPr>
        <w:t xml:space="preserve"> and the impacts of</w:t>
      </w:r>
      <w:r w:rsidRPr="006B5A5B">
        <w:rPr>
          <w:rFonts w:eastAsia="Tahoma" w:cs="Tahoma"/>
          <w:sz w:val="22"/>
        </w:rPr>
        <w:t xml:space="preserve"> structural factors such as</w:t>
      </w:r>
      <w:r w:rsidRPr="006B5A5B">
        <w:rPr>
          <w:rFonts w:eastAsia="Tahoma" w:cs="Tahoma"/>
          <w:sz w:val="22"/>
        </w:rPr>
        <w:t xml:space="preserve"> racism, homophobia</w:t>
      </w:r>
      <w:r w:rsidRPr="006B5A5B">
        <w:rPr>
          <w:rFonts w:eastAsia="Tahoma" w:cs="Tahoma"/>
          <w:sz w:val="22"/>
        </w:rPr>
        <w:t xml:space="preserve"> and t</w:t>
      </w:r>
      <w:r w:rsidRPr="006B5A5B">
        <w:rPr>
          <w:rFonts w:eastAsia="Tahoma" w:cs="Tahoma"/>
          <w:sz w:val="22"/>
        </w:rPr>
        <w:t>ransphobia</w:t>
      </w:r>
      <w:r w:rsidRPr="006B5A5B">
        <w:rPr>
          <w:rFonts w:eastAsia="Tahoma" w:cs="Tahoma"/>
          <w:sz w:val="22"/>
        </w:rPr>
        <w:t>.</w:t>
      </w:r>
    </w:p>
    <w:p w:rsidR="002938BF" w:rsidRPr="006B5A5B" w:rsidP="00405430">
      <w:pPr>
        <w:spacing w:before="160" w:line="276" w:lineRule="auto"/>
        <w:rPr>
          <w:rFonts w:eastAsia="Tahoma" w:cs="Tahoma"/>
          <w:sz w:val="22"/>
        </w:rPr>
      </w:pPr>
      <w:r w:rsidRPr="006B5A5B">
        <w:rPr>
          <w:rFonts w:eastAsia="Tahoma" w:cs="Tahoma"/>
          <w:sz w:val="22"/>
        </w:rPr>
        <w:t xml:space="preserve">This could bring about significant improvement for young people </w:t>
      </w:r>
      <w:r w:rsidRPr="006B5A5B">
        <w:rPr>
          <w:rFonts w:eastAsia="Tahoma" w:cs="Tahoma"/>
          <w:sz w:val="22"/>
        </w:rPr>
        <w:t>who require early support but do not currently meet the threshold o</w:t>
      </w:r>
      <w:r w:rsidRPr="006B5A5B">
        <w:rPr>
          <w:rFonts w:eastAsia="Tahoma" w:cs="Tahoma"/>
          <w:sz w:val="22"/>
        </w:rPr>
        <w:t>f NHS specialist mental health services.</w:t>
      </w:r>
      <w:r w:rsidRPr="006B5A5B">
        <w:rPr>
          <w:rFonts w:eastAsia="Tahoma" w:cs="Tahoma"/>
          <w:sz w:val="22"/>
        </w:rPr>
        <w:t xml:space="preserve"> There are additional determinants of health that Centre for Mental Health have identified that should be considered</w:t>
      </w:r>
      <w:r w:rsidRPr="006B5A5B">
        <w:rPr>
          <w:rFonts w:eastAsia="Tahoma" w:cs="Tahoma"/>
          <w:sz w:val="22"/>
        </w:rPr>
        <w:t xml:space="preserve">. These </w:t>
      </w:r>
      <w:r w:rsidRPr="006B5A5B">
        <w:rPr>
          <w:rFonts w:eastAsia="Tahoma" w:cs="Tahoma"/>
          <w:sz w:val="22"/>
        </w:rPr>
        <w:t xml:space="preserve">include </w:t>
      </w:r>
      <w:r w:rsidRPr="006B5A5B">
        <w:rPr>
          <w:rFonts w:eastAsia="Tahoma" w:cs="Tahoma"/>
          <w:sz w:val="22"/>
        </w:rPr>
        <w:t>but are</w:t>
      </w:r>
      <w:r w:rsidRPr="006B5A5B">
        <w:rPr>
          <w:rFonts w:eastAsia="Tahoma" w:cs="Tahoma"/>
          <w:sz w:val="22"/>
        </w:rPr>
        <w:t xml:space="preserve"> no</w:t>
      </w:r>
      <w:r w:rsidRPr="006B5A5B">
        <w:rPr>
          <w:rFonts w:eastAsia="Tahoma" w:cs="Tahoma"/>
          <w:sz w:val="22"/>
        </w:rPr>
        <w:t>t limited to:</w:t>
      </w:r>
    </w:p>
    <w:p w:rsidR="002938BF" w:rsidRPr="006B5A5B" w:rsidP="00405430">
      <w:pPr>
        <w:numPr>
          <w:ilvl w:val="0"/>
          <w:numId w:val="4"/>
        </w:numPr>
        <w:spacing w:before="160" w:line="276" w:lineRule="auto"/>
        <w:ind w:left="360" w:firstLine="0"/>
        <w:rPr>
          <w:rFonts w:eastAsia="Tahoma" w:cs="Tahoma"/>
          <w:sz w:val="22"/>
        </w:rPr>
      </w:pPr>
      <w:r w:rsidRPr="006B5A5B">
        <w:rPr>
          <w:rFonts w:eastAsia="Tahoma" w:cs="Tahoma"/>
          <w:sz w:val="22"/>
        </w:rPr>
        <w:t>Safe and affordable housing</w:t>
      </w:r>
    </w:p>
    <w:p w:rsidR="002938BF" w:rsidRPr="006B5A5B" w:rsidP="00405430">
      <w:pPr>
        <w:numPr>
          <w:ilvl w:val="0"/>
          <w:numId w:val="4"/>
        </w:numPr>
        <w:spacing w:before="160" w:line="276" w:lineRule="auto"/>
        <w:ind w:left="360" w:firstLine="0"/>
        <w:rPr>
          <w:rFonts w:eastAsia="Tahoma" w:cs="Tahoma"/>
          <w:sz w:val="22"/>
        </w:rPr>
      </w:pPr>
      <w:r w:rsidRPr="006B5A5B">
        <w:rPr>
          <w:rFonts w:eastAsia="Tahoma" w:cs="Tahoma"/>
          <w:sz w:val="22"/>
        </w:rPr>
        <w:t xml:space="preserve">Secure and </w:t>
      </w:r>
      <w:r w:rsidRPr="006B5A5B">
        <w:rPr>
          <w:rFonts w:eastAsia="Tahoma" w:cs="Tahoma"/>
          <w:sz w:val="22"/>
        </w:rPr>
        <w:t>meaningful employment</w:t>
      </w:r>
    </w:p>
    <w:p w:rsidR="002938BF" w:rsidRPr="006B5A5B" w:rsidP="00405430">
      <w:pPr>
        <w:pStyle w:val="ListParagraph"/>
        <w:numPr>
          <w:ilvl w:val="0"/>
          <w:numId w:val="4"/>
        </w:numPr>
        <w:spacing w:before="160" w:line="276" w:lineRule="auto"/>
        <w:rPr>
          <w:rFonts w:eastAsia="Tahoma" w:cs="Tahoma"/>
          <w:sz w:val="22"/>
        </w:rPr>
      </w:pPr>
      <w:r w:rsidRPr="006B5A5B">
        <w:rPr>
          <w:rFonts w:eastAsia="Tahoma" w:cs="Tahoma"/>
          <w:sz w:val="22"/>
        </w:rPr>
        <w:t>Places and spaces in local communities to develop relationships</w:t>
      </w:r>
      <w:r w:rsidRPr="006B5A5B">
        <w:rPr>
          <w:rFonts w:eastAsia="Tahoma" w:cs="Tahoma"/>
          <w:sz w:val="22"/>
        </w:rPr>
        <w:t>.</w:t>
      </w:r>
    </w:p>
    <w:p w:rsidR="002938BF" w:rsidRPr="006B5A5B" w:rsidP="006B5A5B">
      <w:pPr>
        <w:pStyle w:val="Heading1"/>
      </w:pPr>
      <w:r w:rsidRPr="006B5A5B">
        <w:t xml:space="preserve">Supporting young people who are NEET </w:t>
      </w:r>
      <w:r w:rsidRPr="006B5A5B">
        <w:t>and experiencing mental ill-health</w:t>
      </w:r>
    </w:p>
    <w:p w:rsidR="002938BF" w:rsidRPr="00E37A2F" w:rsidP="00E37A2F">
      <w:pPr>
        <w:pStyle w:val="ListParagraph"/>
        <w:numPr>
          <w:ilvl w:val="0"/>
          <w:numId w:val="21"/>
        </w:numPr>
        <w:shd w:val="clear" w:color="auto" w:fill="FFFFFF" w:themeFill="background1"/>
        <w:spacing w:before="160" w:line="276" w:lineRule="auto"/>
        <w:rPr>
          <w:rFonts w:eastAsia="Tahoma" w:cs="Tahoma"/>
          <w:color w:val="000000" w:themeColor="text1"/>
          <w:sz w:val="22"/>
          <w:u w:val="single"/>
          <w:lang w:eastAsia="en-GB"/>
        </w:rPr>
      </w:pPr>
      <w:r w:rsidRPr="00E37A2F">
        <w:rPr>
          <w:rFonts w:eastAsia="Tahoma" w:cs="Tahoma"/>
          <w:color w:val="000000" w:themeColor="text1"/>
          <w:sz w:val="22"/>
          <w:u w:val="single"/>
          <w:lang w:eastAsia="en-GB"/>
        </w:rPr>
        <w:t>How well supported are young people as they move from school to college and into education or work?</w:t>
      </w:r>
    </w:p>
    <w:p w:rsidR="002938BF" w:rsidRPr="006B5A5B" w:rsidP="00405430">
      <w:pPr>
        <w:spacing w:before="160" w:line="276" w:lineRule="auto"/>
        <w:rPr>
          <w:rFonts w:eastAsia="Tahoma" w:cs="Tahoma"/>
          <w:color w:val="000000" w:themeColor="text1"/>
          <w:sz w:val="22"/>
        </w:rPr>
      </w:pPr>
      <w:r w:rsidRPr="006B5A5B">
        <w:rPr>
          <w:rFonts w:eastAsia="Tahoma" w:cs="Tahoma"/>
          <w:color w:val="000000" w:themeColor="text1"/>
          <w:sz w:val="22"/>
        </w:rPr>
        <w:t>Transitioning from school into the workplace does not just start within school or at work. How young people spend their time within the community can significantly impact whether they feel ‘work ready’ and confident to make that transition. One key lever here is the current roll out of Young Futures Hubs.</w:t>
      </w:r>
    </w:p>
    <w:p w:rsidR="002938BF" w:rsidRPr="006B5A5B" w:rsidP="00405430">
      <w:pPr>
        <w:shd w:val="clear" w:color="auto" w:fill="FFFFFF" w:themeFill="background1"/>
        <w:spacing w:before="160" w:line="276" w:lineRule="auto"/>
        <w:rPr>
          <w:rFonts w:eastAsia="Tahoma" w:cs="Tahoma"/>
          <w:b/>
          <w:bCs/>
          <w:color w:val="000000" w:themeColor="text1"/>
          <w:sz w:val="22"/>
        </w:rPr>
      </w:pPr>
      <w:r w:rsidRPr="006B5A5B">
        <w:rPr>
          <w:rFonts w:eastAsia="Tahoma" w:cs="Tahoma"/>
          <w:b/>
          <w:bCs/>
          <w:color w:val="000000" w:themeColor="text1"/>
          <w:sz w:val="22"/>
        </w:rPr>
        <w:t xml:space="preserve">Recommendation </w:t>
      </w:r>
      <w:r w:rsidRPr="006B5A5B">
        <w:rPr>
          <w:rFonts w:eastAsia="Tahoma" w:cs="Tahoma"/>
          <w:b/>
          <w:bCs/>
          <w:color w:val="000000" w:themeColor="text1"/>
          <w:sz w:val="22"/>
        </w:rPr>
        <w:t>2</w:t>
      </w:r>
      <w:r w:rsidRPr="006B5A5B">
        <w:rPr>
          <w:rFonts w:eastAsia="Tahoma" w:cs="Tahoma"/>
          <w:b/>
          <w:bCs/>
          <w:color w:val="000000" w:themeColor="text1"/>
          <w:sz w:val="22"/>
        </w:rPr>
        <w:t>. Increase the core age group for Young Futures Hubs up to age 25 and utilise their roll out to ensure all young people have access to a trusted adult.</w:t>
      </w:r>
    </w:p>
    <w:p w:rsidR="002938BF" w:rsidRPr="006B5A5B" w:rsidP="00405430">
      <w:pPr>
        <w:spacing w:before="160" w:line="276" w:lineRule="auto"/>
        <w:rPr>
          <w:rFonts w:eastAsia="Tahoma" w:cs="Tahoma"/>
          <w:color w:val="000000" w:themeColor="text1"/>
          <w:sz w:val="22"/>
        </w:rPr>
      </w:pPr>
      <w:r w:rsidRPr="006B5A5B">
        <w:rPr>
          <w:rFonts w:eastAsia="Tahoma" w:cs="Tahoma"/>
          <w:color w:val="000000" w:themeColor="text1"/>
          <w:sz w:val="22"/>
        </w:rPr>
        <w:t>Young Futures Hubs offer a major opportunity to address the longstanding gap in mental health support for young adults, while also tackling key social determinants of poor mental health such as employment and education. Although NHS England has committed to a 0-25 model of care since 2019, provision for this age group remains limited, and problems with transitions from child to adult services are well documented. By extending their age range from 18 to 25, Young Futures Hubs could help bridge this gap, comp</w:t>
      </w:r>
      <w:r w:rsidRPr="006B5A5B">
        <w:rPr>
          <w:rFonts w:eastAsia="Tahoma" w:cs="Tahoma"/>
          <w:color w:val="000000" w:themeColor="text1"/>
          <w:sz w:val="22"/>
        </w:rPr>
        <w:t>lement the school-based Mental Health Support Teams, and reach young people who are not in education or employment and are currently falling through the cracks of existing services. Existing models, such as Early Support Hubs, show how embedding employment advice alongside mental health support can lead to positive outcomes for young people (CYPMHC et al, 2025).</w:t>
      </w:r>
    </w:p>
    <w:p w:rsidR="002938BF" w:rsidRPr="006B5A5B" w:rsidP="00405430">
      <w:pPr>
        <w:spacing w:before="160" w:line="276" w:lineRule="auto"/>
        <w:rPr>
          <w:rFonts w:eastAsia="Tahoma" w:cs="Tahoma"/>
          <w:color w:val="000000" w:themeColor="text1"/>
          <w:sz w:val="22"/>
        </w:rPr>
      </w:pPr>
      <w:r w:rsidRPr="006B5A5B">
        <w:rPr>
          <w:rFonts w:eastAsia="Tahoma" w:cs="Tahoma"/>
          <w:color w:val="000000" w:themeColor="text1"/>
          <w:sz w:val="22"/>
        </w:rPr>
        <w:t>We welcome the Government’s aim for half a million more young people to have access to a trusted adult outside their home by 2035 (DCMS, 2025) outlined in their National Youth Strategy. The roll out of Young Futures Hubs is a fantastic opportunity to improve young people’s access to trusted adults, who may be better placed than teachers and parents/guardians to identify their challenges and needs, and offer appropriate support – including guidance on navigating education, employment and wider life transitio</w:t>
      </w:r>
      <w:r w:rsidRPr="006B5A5B">
        <w:rPr>
          <w:rFonts w:eastAsia="Tahoma" w:cs="Tahoma"/>
          <w:color w:val="000000" w:themeColor="text1"/>
          <w:sz w:val="22"/>
        </w:rPr>
        <w:t>ns.</w:t>
      </w:r>
      <w:r w:rsidRPr="006B5A5B">
        <w:rPr>
          <w:rFonts w:eastAsia="Tahoma" w:cs="Tahoma"/>
          <w:sz w:val="22"/>
        </w:rPr>
        <w:t xml:space="preserve"> </w:t>
      </w:r>
    </w:p>
    <w:p w:rsidR="002938BF" w:rsidRPr="00E37A2F" w:rsidP="00E37A2F">
      <w:pPr>
        <w:pStyle w:val="ListParagraph"/>
        <w:numPr>
          <w:ilvl w:val="0"/>
          <w:numId w:val="21"/>
        </w:numPr>
        <w:shd w:val="clear" w:color="auto" w:fill="FFFFFF" w:themeFill="background1"/>
        <w:spacing w:before="160" w:line="276" w:lineRule="auto"/>
        <w:rPr>
          <w:rFonts w:eastAsia="Tahoma" w:cs="Tahoma"/>
          <w:color w:val="000000" w:themeColor="text1"/>
          <w:sz w:val="22"/>
          <w:u w:val="single"/>
        </w:rPr>
      </w:pPr>
      <w:r w:rsidRPr="00E37A2F">
        <w:rPr>
          <w:rFonts w:eastAsia="Tahoma" w:cs="Tahoma"/>
          <w:color w:val="000000" w:themeColor="text1"/>
          <w:sz w:val="22"/>
          <w:u w:val="single"/>
        </w:rPr>
        <w:t>What is the most effective way of delivering support to young people who are NEET? Are there any initiatives that can be learned from, domestically or internationally?</w:t>
      </w:r>
    </w:p>
    <w:p w:rsidR="002938BF" w:rsidRPr="006B5A5B" w:rsidP="00405430">
      <w:pPr>
        <w:shd w:val="clear" w:color="auto" w:fill="FFFFFF" w:themeFill="background1"/>
        <w:spacing w:before="160" w:line="276" w:lineRule="auto"/>
        <w:rPr>
          <w:rFonts w:eastAsia="Tahoma" w:cs="Tahoma"/>
          <w:color w:val="000000" w:themeColor="text1"/>
          <w:sz w:val="22"/>
          <w:lang w:eastAsia="en-GB"/>
        </w:rPr>
      </w:pPr>
      <w:r w:rsidRPr="006B5A5B">
        <w:rPr>
          <w:rFonts w:eastAsia="Tahoma" w:cs="Tahoma"/>
          <w:color w:val="000000" w:themeColor="text1"/>
          <w:sz w:val="22"/>
          <w:lang w:eastAsia="en-GB"/>
        </w:rPr>
        <w:t>Individual Placement and Support (IPS) is an evidence-based model of supported employment which helps people with mental health difficulties into work and provides continued in-work support. IPS is built around eight core principles, all of which must be fully embedded for the approach to be effective:</w:t>
      </w:r>
    </w:p>
    <w:p w:rsidR="002938BF" w:rsidRPr="006B5A5B" w:rsidP="00405430">
      <w:pPr>
        <w:pStyle w:val="ListParagraph"/>
        <w:numPr>
          <w:ilvl w:val="0"/>
          <w:numId w:val="20"/>
        </w:numPr>
        <w:shd w:val="clear" w:color="auto" w:fill="FFFFFF" w:themeFill="background1"/>
        <w:spacing w:before="160" w:line="276" w:lineRule="auto"/>
        <w:rPr>
          <w:rFonts w:eastAsia="Tahoma" w:cs="Tahoma"/>
          <w:color w:val="000000" w:themeColor="text1"/>
          <w:sz w:val="22"/>
          <w:lang w:eastAsia="en-GB"/>
        </w:rPr>
      </w:pPr>
      <w:r w:rsidRPr="006B5A5B">
        <w:rPr>
          <w:rFonts w:eastAsia="Tahoma" w:cs="Tahoma"/>
          <w:color w:val="000000" w:themeColor="text1"/>
          <w:sz w:val="22"/>
          <w:lang w:eastAsia="en-GB"/>
        </w:rPr>
        <w:t xml:space="preserve">Focus on open paid employment </w:t>
      </w:r>
    </w:p>
    <w:p w:rsidR="002938BF" w:rsidRPr="006B5A5B" w:rsidP="00405430">
      <w:pPr>
        <w:pStyle w:val="ListParagraph"/>
        <w:numPr>
          <w:ilvl w:val="0"/>
          <w:numId w:val="20"/>
        </w:numPr>
        <w:shd w:val="clear" w:color="auto" w:fill="FFFFFF" w:themeFill="background1"/>
        <w:spacing w:before="160" w:line="276" w:lineRule="auto"/>
        <w:rPr>
          <w:rFonts w:eastAsia="Tahoma" w:cs="Tahoma"/>
          <w:color w:val="000000" w:themeColor="text1"/>
          <w:sz w:val="22"/>
          <w:lang w:eastAsia="en-GB"/>
        </w:rPr>
      </w:pPr>
      <w:r w:rsidRPr="006B5A5B">
        <w:rPr>
          <w:rFonts w:eastAsia="Tahoma" w:cs="Tahoma"/>
          <w:color w:val="000000" w:themeColor="text1"/>
          <w:sz w:val="22"/>
          <w:lang w:eastAsia="en-GB"/>
        </w:rPr>
        <w:t xml:space="preserve">Eligibility is a choice and a right </w:t>
      </w:r>
    </w:p>
    <w:p w:rsidR="002938BF" w:rsidRPr="006B5A5B" w:rsidP="00405430">
      <w:pPr>
        <w:pStyle w:val="ListParagraph"/>
        <w:numPr>
          <w:ilvl w:val="0"/>
          <w:numId w:val="20"/>
        </w:numPr>
        <w:shd w:val="clear" w:color="auto" w:fill="FFFFFF" w:themeFill="background1"/>
        <w:spacing w:before="160" w:line="276" w:lineRule="auto"/>
        <w:rPr>
          <w:rFonts w:eastAsia="Tahoma" w:cs="Tahoma"/>
          <w:color w:val="000000" w:themeColor="text1"/>
          <w:sz w:val="22"/>
          <w:lang w:eastAsia="en-GB"/>
        </w:rPr>
      </w:pPr>
      <w:r w:rsidRPr="006B5A5B">
        <w:rPr>
          <w:rFonts w:eastAsia="Tahoma" w:cs="Tahoma"/>
          <w:color w:val="000000" w:themeColor="text1"/>
          <w:sz w:val="22"/>
          <w:lang w:eastAsia="en-GB"/>
        </w:rPr>
        <w:t xml:space="preserve">Integration of IPS with mental health or other clinical and support services </w:t>
      </w:r>
    </w:p>
    <w:p w:rsidR="002938BF" w:rsidRPr="006B5A5B" w:rsidP="00405430">
      <w:pPr>
        <w:pStyle w:val="ListParagraph"/>
        <w:numPr>
          <w:ilvl w:val="0"/>
          <w:numId w:val="20"/>
        </w:numPr>
        <w:shd w:val="clear" w:color="auto" w:fill="FFFFFF" w:themeFill="background1"/>
        <w:spacing w:before="160" w:line="276" w:lineRule="auto"/>
        <w:rPr>
          <w:rFonts w:eastAsia="Tahoma" w:cs="Tahoma"/>
          <w:color w:val="000000" w:themeColor="text1"/>
          <w:sz w:val="22"/>
          <w:lang w:eastAsia="en-GB"/>
        </w:rPr>
      </w:pPr>
      <w:r w:rsidRPr="006B5A5B">
        <w:rPr>
          <w:rFonts w:eastAsia="Tahoma" w:cs="Tahoma"/>
          <w:color w:val="000000" w:themeColor="text1"/>
          <w:sz w:val="22"/>
          <w:lang w:eastAsia="en-GB"/>
        </w:rPr>
        <w:t xml:space="preserve">Finding a preferred role </w:t>
      </w:r>
    </w:p>
    <w:p w:rsidR="002938BF" w:rsidRPr="006B5A5B" w:rsidP="00405430">
      <w:pPr>
        <w:pStyle w:val="ListParagraph"/>
        <w:numPr>
          <w:ilvl w:val="0"/>
          <w:numId w:val="20"/>
        </w:numPr>
        <w:shd w:val="clear" w:color="auto" w:fill="FFFFFF" w:themeFill="background1"/>
        <w:spacing w:before="160" w:line="276" w:lineRule="auto"/>
        <w:rPr>
          <w:rFonts w:eastAsia="Tahoma" w:cs="Tahoma"/>
          <w:color w:val="000000" w:themeColor="text1"/>
          <w:sz w:val="22"/>
          <w:lang w:eastAsia="en-GB"/>
        </w:rPr>
      </w:pPr>
      <w:r w:rsidRPr="006B5A5B">
        <w:rPr>
          <w:rFonts w:eastAsia="Tahoma" w:cs="Tahoma"/>
          <w:color w:val="000000" w:themeColor="text1"/>
          <w:sz w:val="22"/>
          <w:lang w:eastAsia="en-GB"/>
        </w:rPr>
        <w:t xml:space="preserve">Personalised benefits advice </w:t>
      </w:r>
    </w:p>
    <w:p w:rsidR="002938BF" w:rsidRPr="006B5A5B" w:rsidP="00405430">
      <w:pPr>
        <w:pStyle w:val="ListParagraph"/>
        <w:numPr>
          <w:ilvl w:val="0"/>
          <w:numId w:val="20"/>
        </w:numPr>
        <w:shd w:val="clear" w:color="auto" w:fill="FFFFFF" w:themeFill="background1"/>
        <w:spacing w:before="160" w:line="276" w:lineRule="auto"/>
        <w:rPr>
          <w:rFonts w:eastAsia="Tahoma" w:cs="Tahoma"/>
          <w:color w:val="000000" w:themeColor="text1"/>
          <w:sz w:val="22"/>
          <w:lang w:eastAsia="en-GB"/>
        </w:rPr>
      </w:pPr>
      <w:r w:rsidRPr="006B5A5B">
        <w:rPr>
          <w:rFonts w:eastAsia="Tahoma" w:cs="Tahoma"/>
          <w:color w:val="000000" w:themeColor="text1"/>
          <w:sz w:val="22"/>
          <w:lang w:eastAsia="en-GB"/>
        </w:rPr>
        <w:t xml:space="preserve">Rapid job search </w:t>
      </w:r>
    </w:p>
    <w:p w:rsidR="002938BF" w:rsidRPr="006B5A5B" w:rsidP="00405430">
      <w:pPr>
        <w:pStyle w:val="ListParagraph"/>
        <w:numPr>
          <w:ilvl w:val="0"/>
          <w:numId w:val="20"/>
        </w:numPr>
        <w:shd w:val="clear" w:color="auto" w:fill="FFFFFF" w:themeFill="background1"/>
        <w:spacing w:before="160" w:line="276" w:lineRule="auto"/>
        <w:rPr>
          <w:rFonts w:eastAsia="Tahoma" w:cs="Tahoma"/>
          <w:color w:val="000000" w:themeColor="text1"/>
          <w:sz w:val="22"/>
          <w:lang w:eastAsia="en-GB"/>
        </w:rPr>
      </w:pPr>
      <w:r w:rsidRPr="006B5A5B">
        <w:rPr>
          <w:rFonts w:eastAsia="Tahoma" w:cs="Tahoma"/>
          <w:color w:val="000000" w:themeColor="text1"/>
          <w:sz w:val="22"/>
          <w:lang w:eastAsia="en-GB"/>
        </w:rPr>
        <w:t xml:space="preserve">Employer engagement and job development </w:t>
      </w:r>
    </w:p>
    <w:p w:rsidR="002938BF" w:rsidRPr="006B5A5B" w:rsidP="00405430">
      <w:pPr>
        <w:pStyle w:val="ListParagraph"/>
        <w:numPr>
          <w:ilvl w:val="0"/>
          <w:numId w:val="20"/>
        </w:numPr>
        <w:shd w:val="clear" w:color="auto" w:fill="FFFFFF" w:themeFill="background1"/>
        <w:spacing w:before="160" w:line="276" w:lineRule="auto"/>
        <w:rPr>
          <w:rFonts w:eastAsia="Tahoma" w:cs="Tahoma"/>
          <w:color w:val="000000" w:themeColor="text1"/>
          <w:sz w:val="22"/>
          <w:lang w:eastAsia="en-GB"/>
        </w:rPr>
      </w:pPr>
      <w:r w:rsidRPr="006B5A5B">
        <w:rPr>
          <w:rFonts w:eastAsia="Tahoma" w:cs="Tahoma"/>
          <w:color w:val="000000" w:themeColor="text1"/>
          <w:sz w:val="22"/>
          <w:lang w:eastAsia="en-GB"/>
        </w:rPr>
        <w:t>Time-unlimited and individualised in-work support</w:t>
      </w:r>
    </w:p>
    <w:p w:rsidR="002938BF" w:rsidRPr="006B5A5B" w:rsidP="00405430">
      <w:pPr>
        <w:shd w:val="clear" w:color="auto" w:fill="FFFFFF" w:themeFill="background1"/>
        <w:spacing w:before="160" w:line="276" w:lineRule="auto"/>
        <w:rPr>
          <w:rFonts w:eastAsia="Tahoma" w:cs="Tahoma"/>
          <w:color w:val="000000" w:themeColor="text1"/>
          <w:sz w:val="22"/>
          <w:lang w:eastAsia="en-GB"/>
        </w:rPr>
      </w:pPr>
      <w:r w:rsidRPr="006B5A5B">
        <w:rPr>
          <w:rFonts w:eastAsia="Tahoma" w:cs="Tahoma"/>
          <w:color w:val="000000" w:themeColor="text1"/>
          <w:sz w:val="22"/>
          <w:lang w:eastAsia="en-GB"/>
        </w:rPr>
        <w:t xml:space="preserve">IPS has been shown to be effective for people with severe mental health conditions and could also benefit young people with more common mental health needs. Early indications suggest this approach could create new, cost-effective pathways into work that support recovery from mental ill-health, build confidence and enhance wellbeing – helping tackle the NEET crisis (ONS, 2025). </w:t>
      </w:r>
    </w:p>
    <w:p w:rsidR="002938BF" w:rsidRPr="006B5A5B" w:rsidP="00405430">
      <w:pPr>
        <w:shd w:val="clear" w:color="auto" w:fill="FFFFFF" w:themeFill="background1"/>
        <w:spacing w:before="160" w:line="276" w:lineRule="auto"/>
        <w:rPr>
          <w:rFonts w:eastAsia="Tahoma" w:cs="Tahoma"/>
          <w:b/>
          <w:bCs/>
          <w:sz w:val="22"/>
        </w:rPr>
      </w:pPr>
      <w:r w:rsidRPr="006B5A5B">
        <w:rPr>
          <w:rFonts w:eastAsia="Tahoma" w:cs="Tahoma"/>
          <w:b/>
          <w:bCs/>
          <w:sz w:val="22"/>
        </w:rPr>
        <w:t xml:space="preserve">Recommendation </w:t>
      </w:r>
      <w:r w:rsidRPr="006B5A5B">
        <w:rPr>
          <w:rFonts w:eastAsia="Tahoma" w:cs="Tahoma"/>
          <w:b/>
          <w:bCs/>
          <w:sz w:val="22"/>
        </w:rPr>
        <w:t>3</w:t>
      </w:r>
      <w:r w:rsidRPr="006B5A5B">
        <w:rPr>
          <w:rFonts w:eastAsia="Tahoma" w:cs="Tahoma"/>
          <w:b/>
          <w:bCs/>
          <w:sz w:val="22"/>
        </w:rPr>
        <w:t>. Expand the IPS model to support 16-25-year-olds, focusing on both education and employment, using youth-appropriate approaches.</w:t>
      </w:r>
    </w:p>
    <w:p w:rsidR="002938BF" w:rsidRPr="006B5A5B" w:rsidP="00405430">
      <w:pPr>
        <w:shd w:val="clear" w:color="auto" w:fill="FFFFFF" w:themeFill="background1"/>
        <w:spacing w:before="160" w:line="276" w:lineRule="auto"/>
        <w:rPr>
          <w:rFonts w:eastAsia="Tahoma" w:cs="Tahoma"/>
          <w:color w:val="000000" w:themeColor="text1"/>
          <w:sz w:val="22"/>
          <w:lang w:eastAsia="en-GB"/>
        </w:rPr>
      </w:pPr>
      <w:r w:rsidRPr="006B5A5B">
        <w:rPr>
          <w:rFonts w:eastAsia="Tahoma" w:cs="Tahoma"/>
          <w:color w:val="000000" w:themeColor="text1"/>
          <w:sz w:val="22"/>
          <w:lang w:eastAsia="en-GB"/>
        </w:rPr>
        <w:t>Evidence shows that people who are helped into employment are likely to need less support from community mental health services in the future, and less likely to have further inpatient admissions (Snell et al., 2013). A five-year study of IPS from Switzerland (Hoffmann et al., 2014) reported that 44% of those receiving IPS were employed for at least 50% of the time over five years, compared with just 11% in a control group. Those in the IPS group also had over 50% fewer days in hospital which equates to a s</w:t>
      </w:r>
      <w:r w:rsidRPr="006B5A5B">
        <w:rPr>
          <w:rFonts w:eastAsia="Tahoma" w:cs="Tahoma"/>
          <w:color w:val="000000" w:themeColor="text1"/>
          <w:sz w:val="22"/>
          <w:lang w:eastAsia="en-GB"/>
        </w:rPr>
        <w:t>aving of around £20,000 per person over five years (Centre for Mental Health, 2022). Research also shows that IPS is effective across different ethnic groups, with people from racialised communities not experiencing worse access to, or outcomes from, IPS employment services (Perkins, 2022).</w:t>
      </w:r>
    </w:p>
    <w:p w:rsidR="002938BF" w:rsidRPr="006B5A5B" w:rsidP="00405430">
      <w:pPr>
        <w:shd w:val="clear" w:color="auto" w:fill="FFFFFF" w:themeFill="background1"/>
        <w:spacing w:before="160" w:line="276" w:lineRule="auto"/>
        <w:rPr>
          <w:rFonts w:eastAsia="Tahoma" w:cs="Tahoma"/>
          <w:color w:val="000000" w:themeColor="text1"/>
          <w:sz w:val="22"/>
          <w:lang w:eastAsia="en-GB"/>
        </w:rPr>
      </w:pPr>
      <w:r w:rsidRPr="006B5A5B">
        <w:rPr>
          <w:rFonts w:eastAsia="Tahoma" w:cs="Tahoma"/>
          <w:color w:val="000000" w:themeColor="text1"/>
          <w:sz w:val="22"/>
          <w:lang w:eastAsia="en-GB"/>
        </w:rPr>
        <w:t>IPS for young people (IPS-Y) has been developed to support 16-25-year-olds who are both NEET and experiencing rising levels of anxiety and depression. The model broadens the traditional focus on employment to include education as a key recovery outcome, alongside intensive family involvement, creative use of social media, and hands on, flexible support. IPS-Y has been successfully piloted by Oxford Health NHS Foundation Trust and is now being evaluated as it is rolled out more widely (IPS Grow, n.d.). In pa</w:t>
      </w:r>
      <w:r w:rsidRPr="006B5A5B">
        <w:rPr>
          <w:rFonts w:eastAsia="Tahoma" w:cs="Tahoma"/>
          <w:color w:val="000000" w:themeColor="text1"/>
          <w:sz w:val="22"/>
          <w:lang w:eastAsia="en-GB"/>
        </w:rPr>
        <w:t>rallel, the People’s Health Trust is funding a pioneering programme across Early Support Hubs in Manchester, Norwich and Southampton. This programme embeds IPS roles within open-access community mental health support for young people, strengthening the evidence base for integrated, community-based approaches (People’s Health Trust, 2025).</w:t>
      </w:r>
      <w:r w:rsidRPr="006B5A5B">
        <w:rPr>
          <w:rFonts w:eastAsia="Tahoma" w:cs="Tahoma"/>
          <w:sz w:val="22"/>
          <w:u w:val="single"/>
        </w:rPr>
        <w:t xml:space="preserve"> </w:t>
      </w:r>
    </w:p>
    <w:p w:rsidR="002938BF" w:rsidRPr="00E37A2F" w:rsidP="00E37A2F">
      <w:pPr>
        <w:pStyle w:val="ListParagraph"/>
        <w:numPr>
          <w:ilvl w:val="0"/>
          <w:numId w:val="21"/>
        </w:numPr>
        <w:shd w:val="clear" w:color="auto" w:fill="FFFFFF" w:themeFill="background1"/>
        <w:spacing w:before="160" w:line="276" w:lineRule="auto"/>
        <w:rPr>
          <w:rFonts w:eastAsia="Tahoma" w:cs="Tahoma"/>
          <w:sz w:val="22"/>
          <w:u w:val="single"/>
        </w:rPr>
      </w:pPr>
      <w:r w:rsidRPr="00E37A2F">
        <w:rPr>
          <w:rFonts w:eastAsia="Tahoma" w:cs="Tahoma"/>
          <w:sz w:val="22"/>
          <w:u w:val="single"/>
        </w:rPr>
        <w:t xml:space="preserve">What barriers are there to employers offering and targeting apprenticeships </w:t>
      </w:r>
      <w:r w:rsidRPr="00E37A2F">
        <w:rPr>
          <w:rFonts w:eastAsia="Tahoma" w:cs="Tahoma"/>
          <w:sz w:val="22"/>
          <w:u w:val="single"/>
        </w:rPr>
        <w:t>to young</w:t>
      </w:r>
      <w:r w:rsidRPr="00E37A2F">
        <w:rPr>
          <w:rFonts w:eastAsia="Tahoma" w:cs="Tahoma"/>
          <w:sz w:val="22"/>
          <w:u w:val="single"/>
        </w:rPr>
        <w:t xml:space="preserve"> people? How effectively will the Government’s current approach address these?</w:t>
      </w:r>
      <w:r w:rsidRPr="00E37A2F">
        <w:rPr>
          <w:rFonts w:eastAsia="Tahoma" w:cs="Tahoma"/>
          <w:b/>
          <w:bCs/>
          <w:sz w:val="22"/>
        </w:rPr>
        <w:t xml:space="preserve"> </w:t>
      </w:r>
    </w:p>
    <w:p w:rsidR="002938BF" w:rsidRPr="006B5A5B" w:rsidP="00405430">
      <w:pPr>
        <w:shd w:val="clear" w:color="auto" w:fill="FFFFFF" w:themeFill="background1"/>
        <w:spacing w:before="160" w:line="276" w:lineRule="auto"/>
        <w:rPr>
          <w:rFonts w:eastAsia="Tahoma" w:cs="Tahoma"/>
          <w:color w:val="000000" w:themeColor="text1"/>
          <w:sz w:val="22"/>
        </w:rPr>
      </w:pPr>
      <w:r w:rsidRPr="006B5A5B">
        <w:rPr>
          <w:rFonts w:eastAsia="Tahoma" w:cs="Tahoma"/>
          <w:color w:val="000000" w:themeColor="text1"/>
          <w:sz w:val="22"/>
        </w:rPr>
        <w:t>For many young people, finding employment is often the first of many hurdles</w:t>
      </w:r>
      <w:r w:rsidRPr="006B5A5B">
        <w:rPr>
          <w:rFonts w:eastAsia="Tahoma" w:cs="Tahoma"/>
          <w:color w:val="000000" w:themeColor="text1"/>
          <w:sz w:val="22"/>
        </w:rPr>
        <w:t xml:space="preserve"> when interacting with the labour market</w:t>
      </w:r>
      <w:r w:rsidRPr="006B5A5B">
        <w:rPr>
          <w:rFonts w:eastAsia="Tahoma" w:cs="Tahoma"/>
          <w:color w:val="000000" w:themeColor="text1"/>
          <w:sz w:val="22"/>
        </w:rPr>
        <w:t xml:space="preserve">. A lack of pastoral care, support or mentorship </w:t>
      </w:r>
      <w:r w:rsidRPr="006B5A5B">
        <w:rPr>
          <w:rFonts w:eastAsia="Tahoma" w:cs="Tahoma"/>
          <w:color w:val="000000" w:themeColor="text1"/>
          <w:sz w:val="22"/>
        </w:rPr>
        <w:t xml:space="preserve">in the workplace </w:t>
      </w:r>
      <w:r w:rsidRPr="006B5A5B">
        <w:rPr>
          <w:rFonts w:eastAsia="Tahoma" w:cs="Tahoma"/>
          <w:color w:val="000000" w:themeColor="text1"/>
          <w:sz w:val="22"/>
        </w:rPr>
        <w:t xml:space="preserve">can lead to young people exiting the labour market and thus becoming NEET. </w:t>
      </w:r>
      <w:r w:rsidRPr="006B5A5B">
        <w:rPr>
          <w:rFonts w:eastAsia="Tahoma" w:cs="Tahoma"/>
          <w:color w:val="000000" w:themeColor="text1"/>
          <w:sz w:val="22"/>
        </w:rPr>
        <w:t xml:space="preserve">For young people to feel adequately supported as they enter the labour market, employers also need the resources and guidance </w:t>
      </w:r>
      <w:r w:rsidRPr="006B5A5B">
        <w:rPr>
          <w:rFonts w:eastAsia="Tahoma" w:cs="Tahoma"/>
          <w:color w:val="000000" w:themeColor="text1"/>
          <w:sz w:val="22"/>
        </w:rPr>
        <w:t>to</w:t>
      </w:r>
      <w:r w:rsidRPr="006B5A5B">
        <w:rPr>
          <w:rFonts w:eastAsia="Tahoma" w:cs="Tahoma"/>
          <w:color w:val="000000" w:themeColor="text1"/>
          <w:sz w:val="22"/>
        </w:rPr>
        <w:t xml:space="preserve"> support them to stay </w:t>
      </w:r>
      <w:r w:rsidRPr="006B5A5B">
        <w:rPr>
          <w:rFonts w:eastAsia="Tahoma" w:cs="Tahoma"/>
          <w:color w:val="000000" w:themeColor="text1"/>
          <w:sz w:val="22"/>
        </w:rPr>
        <w:t>at work.</w:t>
      </w:r>
      <w:r w:rsidRPr="006B5A5B">
        <w:rPr>
          <w:rFonts w:eastAsia="Tahoma" w:cs="Tahoma"/>
          <w:color w:val="000000" w:themeColor="text1"/>
          <w:sz w:val="22"/>
        </w:rPr>
        <w:t xml:space="preserve"> </w:t>
      </w:r>
    </w:p>
    <w:p w:rsidR="002938BF" w:rsidRPr="006B5A5B" w:rsidP="00405430">
      <w:pPr>
        <w:shd w:val="clear" w:color="auto" w:fill="FFFFFF" w:themeFill="background1"/>
        <w:spacing w:before="160" w:line="276" w:lineRule="auto"/>
        <w:rPr>
          <w:rFonts w:eastAsia="Tahoma" w:cs="Tahoma"/>
          <w:color w:val="000000" w:themeColor="text1"/>
          <w:sz w:val="22"/>
        </w:rPr>
      </w:pPr>
      <w:r w:rsidRPr="006B5A5B">
        <w:rPr>
          <w:rFonts w:eastAsia="Tahoma" w:cs="Tahoma"/>
          <w:color w:val="000000" w:themeColor="text1"/>
          <w:sz w:val="22"/>
        </w:rPr>
        <w:t xml:space="preserve">Apprenticeships have been a beneficial </w:t>
      </w:r>
      <w:r w:rsidRPr="006B5A5B">
        <w:rPr>
          <w:rFonts w:eastAsia="Tahoma" w:cs="Tahoma"/>
          <w:color w:val="000000" w:themeColor="text1"/>
          <w:sz w:val="22"/>
        </w:rPr>
        <w:t xml:space="preserve">route to employment for young people who </w:t>
      </w:r>
      <w:r w:rsidRPr="006B5A5B">
        <w:rPr>
          <w:rFonts w:eastAsia="Tahoma" w:cs="Tahoma"/>
          <w:color w:val="000000" w:themeColor="text1"/>
          <w:sz w:val="22"/>
        </w:rPr>
        <w:t xml:space="preserve">may </w:t>
      </w:r>
      <w:r w:rsidRPr="006B5A5B">
        <w:rPr>
          <w:rFonts w:eastAsia="Tahoma" w:cs="Tahoma"/>
          <w:color w:val="000000" w:themeColor="text1"/>
          <w:sz w:val="22"/>
        </w:rPr>
        <w:t>not</w:t>
      </w:r>
      <w:r w:rsidRPr="006B5A5B">
        <w:rPr>
          <w:rFonts w:eastAsia="Tahoma" w:cs="Tahoma"/>
          <w:color w:val="000000" w:themeColor="text1"/>
          <w:sz w:val="22"/>
        </w:rPr>
        <w:t xml:space="preserve"> </w:t>
      </w:r>
      <w:r w:rsidRPr="006B5A5B">
        <w:rPr>
          <w:rFonts w:eastAsia="Tahoma" w:cs="Tahoma"/>
          <w:color w:val="000000" w:themeColor="text1"/>
          <w:sz w:val="22"/>
        </w:rPr>
        <w:t xml:space="preserve">have </w:t>
      </w:r>
      <w:r w:rsidRPr="006B5A5B">
        <w:rPr>
          <w:rFonts w:eastAsia="Tahoma" w:cs="Tahoma"/>
          <w:color w:val="000000" w:themeColor="text1"/>
          <w:sz w:val="22"/>
        </w:rPr>
        <w:t>gone on</w:t>
      </w:r>
      <w:r w:rsidRPr="006B5A5B">
        <w:rPr>
          <w:rFonts w:eastAsia="Tahoma" w:cs="Tahoma"/>
          <w:color w:val="000000" w:themeColor="text1"/>
          <w:sz w:val="22"/>
        </w:rPr>
        <w:t xml:space="preserve"> </w:t>
      </w:r>
      <w:r w:rsidRPr="006B5A5B">
        <w:rPr>
          <w:rFonts w:eastAsia="Tahoma" w:cs="Tahoma"/>
          <w:color w:val="000000" w:themeColor="text1"/>
          <w:sz w:val="22"/>
        </w:rPr>
        <w:t xml:space="preserve">to </w:t>
      </w:r>
      <w:r w:rsidRPr="006B5A5B">
        <w:rPr>
          <w:rFonts w:eastAsia="Tahoma" w:cs="Tahoma"/>
          <w:color w:val="000000" w:themeColor="text1"/>
          <w:sz w:val="22"/>
        </w:rPr>
        <w:t>higher education</w:t>
      </w:r>
      <w:r w:rsidRPr="006B5A5B">
        <w:rPr>
          <w:rFonts w:eastAsia="Tahoma" w:cs="Tahoma"/>
          <w:color w:val="000000" w:themeColor="text1"/>
          <w:sz w:val="22"/>
        </w:rPr>
        <w:t xml:space="preserve"> </w:t>
      </w:r>
      <w:r w:rsidRPr="006B5A5B">
        <w:rPr>
          <w:rFonts w:eastAsia="Tahoma" w:cs="Tahoma"/>
          <w:color w:val="000000" w:themeColor="text1"/>
          <w:sz w:val="22"/>
        </w:rPr>
        <w:t xml:space="preserve">and </w:t>
      </w:r>
      <w:r w:rsidRPr="006B5A5B">
        <w:rPr>
          <w:rFonts w:eastAsia="Tahoma" w:cs="Tahoma"/>
          <w:color w:val="000000" w:themeColor="text1"/>
          <w:sz w:val="22"/>
        </w:rPr>
        <w:t>could</w:t>
      </w:r>
      <w:r w:rsidRPr="006B5A5B">
        <w:rPr>
          <w:rFonts w:eastAsia="Tahoma" w:cs="Tahoma"/>
          <w:color w:val="000000" w:themeColor="text1"/>
          <w:sz w:val="22"/>
        </w:rPr>
        <w:t xml:space="preserve"> otherwise be</w:t>
      </w:r>
      <w:r w:rsidRPr="006B5A5B">
        <w:rPr>
          <w:rFonts w:eastAsia="Tahoma" w:cs="Tahoma"/>
          <w:color w:val="000000" w:themeColor="text1"/>
          <w:sz w:val="22"/>
        </w:rPr>
        <w:t>come</w:t>
      </w:r>
      <w:r w:rsidRPr="006B5A5B">
        <w:rPr>
          <w:rFonts w:eastAsia="Tahoma" w:cs="Tahoma"/>
          <w:color w:val="000000" w:themeColor="text1"/>
          <w:sz w:val="22"/>
        </w:rPr>
        <w:t xml:space="preserve"> NEET.</w:t>
      </w:r>
      <w:r w:rsidRPr="006B5A5B">
        <w:rPr>
          <w:rFonts w:eastAsia="Tahoma" w:cs="Tahoma"/>
          <w:color w:val="000000" w:themeColor="text1"/>
          <w:sz w:val="22"/>
        </w:rPr>
        <w:t xml:space="preserve"> While there has been significant progress on apprenticeship access over the past few years, </w:t>
      </w:r>
      <w:r w:rsidRPr="006B5A5B">
        <w:rPr>
          <w:rFonts w:eastAsia="Tahoma" w:cs="Tahoma"/>
          <w:color w:val="000000" w:themeColor="text1"/>
          <w:sz w:val="22"/>
        </w:rPr>
        <w:t xml:space="preserve">there is still opportunity to make better use of vocational routes such as apprenticeships. </w:t>
      </w:r>
    </w:p>
    <w:p w:rsidR="002938BF" w:rsidRPr="006B5A5B" w:rsidP="00405430">
      <w:pPr>
        <w:shd w:val="clear" w:color="auto" w:fill="FFFFFF" w:themeFill="background1"/>
        <w:spacing w:before="160" w:line="276" w:lineRule="auto"/>
        <w:rPr>
          <w:rFonts w:eastAsia="Tahoma" w:cs="Tahoma"/>
          <w:sz w:val="22"/>
        </w:rPr>
      </w:pPr>
      <w:r w:rsidRPr="006B5A5B">
        <w:rPr>
          <w:rFonts w:eastAsia="Tahoma" w:cs="Tahoma"/>
          <w:color w:val="000000" w:themeColor="text1"/>
          <w:sz w:val="22"/>
        </w:rPr>
        <w:t xml:space="preserve">As of </w:t>
      </w:r>
      <w:r w:rsidRPr="006B5A5B">
        <w:rPr>
          <w:rFonts w:eastAsia="Tahoma" w:cs="Tahoma"/>
          <w:color w:val="000000" w:themeColor="text1"/>
          <w:sz w:val="22"/>
        </w:rPr>
        <w:t>today,</w:t>
      </w:r>
      <w:r w:rsidRPr="006B5A5B">
        <w:rPr>
          <w:rFonts w:eastAsia="Tahoma" w:cs="Tahoma"/>
          <w:color w:val="000000" w:themeColor="text1"/>
          <w:sz w:val="22"/>
        </w:rPr>
        <w:t xml:space="preserve"> employers in the UK can be offered up to £1,000 if they hire </w:t>
      </w:r>
      <w:r w:rsidRPr="006B5A5B">
        <w:rPr>
          <w:rFonts w:eastAsia="Tahoma" w:cs="Tahoma"/>
          <w:color w:val="000000" w:themeColor="text1"/>
          <w:sz w:val="22"/>
        </w:rPr>
        <w:t>16-18</w:t>
      </w:r>
      <w:r w:rsidRPr="006B5A5B">
        <w:rPr>
          <w:rFonts w:eastAsia="Tahoma" w:cs="Tahoma"/>
          <w:color w:val="000000" w:themeColor="text1"/>
          <w:sz w:val="22"/>
        </w:rPr>
        <w:t>-year-olds</w:t>
      </w:r>
      <w:r w:rsidRPr="006B5A5B">
        <w:rPr>
          <w:rFonts w:eastAsia="Tahoma" w:cs="Tahoma"/>
          <w:color w:val="000000" w:themeColor="text1"/>
          <w:sz w:val="22"/>
        </w:rPr>
        <w:t xml:space="preserve"> </w:t>
      </w:r>
      <w:r w:rsidRPr="006B5A5B">
        <w:rPr>
          <w:rFonts w:eastAsia="Tahoma" w:cs="Tahoma"/>
          <w:color w:val="000000" w:themeColor="text1"/>
          <w:sz w:val="22"/>
        </w:rPr>
        <w:t>or vulnerable</w:t>
      </w:r>
      <w:r w:rsidRPr="006B5A5B">
        <w:rPr>
          <w:rFonts w:eastAsia="Tahoma" w:cs="Tahoma"/>
          <w:color w:val="000000" w:themeColor="text1"/>
          <w:sz w:val="22"/>
        </w:rPr>
        <w:t xml:space="preserve"> young</w:t>
      </w:r>
      <w:r w:rsidRPr="006B5A5B">
        <w:rPr>
          <w:rFonts w:eastAsia="Tahoma" w:cs="Tahoma"/>
          <w:color w:val="000000" w:themeColor="text1"/>
          <w:sz w:val="22"/>
        </w:rPr>
        <w:t xml:space="preserve"> people</w:t>
      </w:r>
      <w:r w:rsidRPr="006B5A5B">
        <w:rPr>
          <w:rFonts w:eastAsia="Tahoma" w:cs="Tahoma"/>
          <w:color w:val="000000" w:themeColor="text1"/>
          <w:sz w:val="22"/>
        </w:rPr>
        <w:t xml:space="preserve"> up to age 24</w:t>
      </w:r>
      <w:r w:rsidRPr="006B5A5B">
        <w:rPr>
          <w:rFonts w:eastAsia="Tahoma" w:cs="Tahoma"/>
          <w:color w:val="000000" w:themeColor="text1"/>
          <w:sz w:val="22"/>
        </w:rPr>
        <w:t xml:space="preserve"> into apprenticeships. </w:t>
      </w:r>
      <w:r w:rsidRPr="006B5A5B">
        <w:rPr>
          <w:rFonts w:eastAsia="Tahoma" w:cs="Tahoma"/>
          <w:color w:val="000000" w:themeColor="text1"/>
          <w:sz w:val="22"/>
        </w:rPr>
        <w:t>Vulnerable young adults are currently described as those who either:</w:t>
      </w:r>
    </w:p>
    <w:p w:rsidR="002938BF" w:rsidRPr="006B5A5B" w:rsidP="00405430">
      <w:pPr>
        <w:pStyle w:val="ListParagraph"/>
        <w:numPr>
          <w:ilvl w:val="0"/>
          <w:numId w:val="1"/>
        </w:numPr>
        <w:spacing w:before="160" w:line="276" w:lineRule="auto"/>
        <w:rPr>
          <w:rFonts w:eastAsia="Tahoma" w:cs="Tahoma"/>
          <w:sz w:val="22"/>
        </w:rPr>
      </w:pPr>
      <w:r w:rsidRPr="006B5A5B">
        <w:rPr>
          <w:rFonts w:eastAsia="Tahoma" w:cs="Tahoma"/>
          <w:sz w:val="22"/>
        </w:rPr>
        <w:t xml:space="preserve">Have an Education Health and Care Plan (EHCP) </w:t>
      </w:r>
      <w:r w:rsidRPr="006B5A5B">
        <w:rPr>
          <w:rFonts w:eastAsia="Tahoma" w:cs="Tahoma"/>
          <w:sz w:val="22"/>
        </w:rPr>
        <w:t>and/</w:t>
      </w:r>
      <w:r w:rsidRPr="006B5A5B">
        <w:rPr>
          <w:rFonts w:eastAsia="Tahoma" w:cs="Tahoma"/>
          <w:sz w:val="22"/>
        </w:rPr>
        <w:t>or</w:t>
      </w:r>
    </w:p>
    <w:p w:rsidR="002938BF" w:rsidRPr="006B5A5B" w:rsidP="00405430">
      <w:pPr>
        <w:pStyle w:val="ListParagraph"/>
        <w:numPr>
          <w:ilvl w:val="0"/>
          <w:numId w:val="1"/>
        </w:numPr>
        <w:spacing w:before="160" w:line="276" w:lineRule="auto"/>
        <w:rPr>
          <w:rFonts w:eastAsia="Tahoma" w:cs="Tahoma"/>
          <w:sz w:val="22"/>
        </w:rPr>
      </w:pPr>
      <w:r w:rsidRPr="006B5A5B">
        <w:rPr>
          <w:rFonts w:eastAsia="Tahoma" w:cs="Tahoma"/>
          <w:sz w:val="22"/>
        </w:rPr>
        <w:t xml:space="preserve">Have been in </w:t>
      </w:r>
      <w:r w:rsidRPr="006B5A5B">
        <w:rPr>
          <w:rFonts w:eastAsia="Tahoma" w:cs="Tahoma"/>
          <w:sz w:val="22"/>
        </w:rPr>
        <w:t xml:space="preserve">local authority </w:t>
      </w:r>
      <w:r w:rsidRPr="006B5A5B">
        <w:rPr>
          <w:rFonts w:eastAsia="Tahoma" w:cs="Tahoma"/>
          <w:sz w:val="22"/>
        </w:rPr>
        <w:t>care</w:t>
      </w:r>
      <w:r w:rsidRPr="006B5A5B">
        <w:rPr>
          <w:rFonts w:eastAsia="Tahoma" w:cs="Tahoma"/>
          <w:sz w:val="22"/>
        </w:rPr>
        <w:t>.</w:t>
      </w:r>
    </w:p>
    <w:p w:rsidR="002938BF" w:rsidRPr="006B5A5B" w:rsidP="00405430">
      <w:pPr>
        <w:spacing w:before="160" w:line="276" w:lineRule="auto"/>
        <w:rPr>
          <w:rFonts w:eastAsia="Tahoma" w:cs="Tahoma"/>
          <w:b/>
          <w:bCs/>
          <w:sz w:val="22"/>
        </w:rPr>
      </w:pPr>
      <w:r w:rsidRPr="006B5A5B">
        <w:rPr>
          <w:rFonts w:eastAsia="Tahoma" w:cs="Tahoma"/>
          <w:b/>
          <w:bCs/>
          <w:sz w:val="22"/>
        </w:rPr>
        <w:t xml:space="preserve">Recommendation </w:t>
      </w:r>
      <w:r w:rsidRPr="006B5A5B">
        <w:rPr>
          <w:rFonts w:eastAsia="Tahoma" w:cs="Tahoma"/>
          <w:b/>
          <w:bCs/>
          <w:sz w:val="22"/>
        </w:rPr>
        <w:t>4</w:t>
      </w:r>
      <w:r w:rsidRPr="006B5A5B">
        <w:rPr>
          <w:rFonts w:eastAsia="Tahoma" w:cs="Tahoma"/>
          <w:b/>
          <w:bCs/>
          <w:sz w:val="22"/>
        </w:rPr>
        <w:t xml:space="preserve">. Expand employer incentives for hiring young apprenticeships up to age 24. </w:t>
      </w:r>
    </w:p>
    <w:p w:rsidR="002938BF" w:rsidRPr="006B5A5B" w:rsidP="00405430">
      <w:pPr>
        <w:shd w:val="clear" w:color="auto" w:fill="FFFFFF" w:themeFill="background1"/>
        <w:spacing w:before="160" w:line="276" w:lineRule="auto"/>
        <w:rPr>
          <w:rFonts w:eastAsia="Tahoma" w:cs="Tahoma"/>
          <w:b/>
          <w:bCs/>
          <w:sz w:val="22"/>
        </w:rPr>
      </w:pPr>
      <w:r w:rsidRPr="006B5A5B">
        <w:rPr>
          <w:rFonts w:eastAsia="Tahoma" w:cs="Tahoma"/>
          <w:color w:val="000000" w:themeColor="text1"/>
          <w:sz w:val="22"/>
        </w:rPr>
        <w:t xml:space="preserve">The </w:t>
      </w:r>
      <w:r w:rsidRPr="006B5A5B">
        <w:rPr>
          <w:rFonts w:eastAsia="Tahoma" w:cs="Tahoma"/>
          <w:color w:val="000000" w:themeColor="text1"/>
          <w:sz w:val="22"/>
        </w:rPr>
        <w:t>G</w:t>
      </w:r>
      <w:r w:rsidRPr="006B5A5B">
        <w:rPr>
          <w:rFonts w:eastAsia="Tahoma" w:cs="Tahoma"/>
          <w:color w:val="000000" w:themeColor="text1"/>
          <w:sz w:val="22"/>
        </w:rPr>
        <w:t>overnment</w:t>
      </w:r>
      <w:r w:rsidRPr="006B5A5B">
        <w:rPr>
          <w:rFonts w:eastAsia="Tahoma" w:cs="Tahoma"/>
          <w:color w:val="000000" w:themeColor="text1"/>
          <w:sz w:val="22"/>
        </w:rPr>
        <w:t xml:space="preserve"> </w:t>
      </w:r>
      <w:r w:rsidRPr="006B5A5B">
        <w:rPr>
          <w:rFonts w:eastAsia="Tahoma" w:cs="Tahoma"/>
          <w:color w:val="000000" w:themeColor="text1"/>
          <w:sz w:val="22"/>
        </w:rPr>
        <w:t>should</w:t>
      </w:r>
      <w:r w:rsidRPr="006B5A5B">
        <w:rPr>
          <w:rFonts w:eastAsia="Tahoma" w:cs="Tahoma"/>
          <w:color w:val="000000" w:themeColor="text1"/>
          <w:sz w:val="22"/>
        </w:rPr>
        <w:t xml:space="preserve"> explore</w:t>
      </w:r>
      <w:r w:rsidRPr="006B5A5B">
        <w:rPr>
          <w:rFonts w:eastAsia="Tahoma" w:cs="Tahoma"/>
          <w:color w:val="000000" w:themeColor="text1"/>
          <w:sz w:val="22"/>
        </w:rPr>
        <w:t xml:space="preserve"> expanding this offer</w:t>
      </w:r>
      <w:r w:rsidRPr="006B5A5B">
        <w:rPr>
          <w:rFonts w:eastAsia="Tahoma" w:cs="Tahoma"/>
          <w:color w:val="000000" w:themeColor="text1"/>
          <w:sz w:val="22"/>
        </w:rPr>
        <w:t xml:space="preserve">, so that </w:t>
      </w:r>
      <w:r w:rsidRPr="006B5A5B">
        <w:rPr>
          <w:rFonts w:eastAsia="Tahoma" w:cs="Tahoma"/>
          <w:color w:val="000000" w:themeColor="text1"/>
          <w:sz w:val="22"/>
        </w:rPr>
        <w:t>employers</w:t>
      </w:r>
      <w:r w:rsidRPr="006B5A5B">
        <w:rPr>
          <w:rFonts w:eastAsia="Tahoma" w:cs="Tahoma"/>
          <w:color w:val="000000" w:themeColor="text1"/>
          <w:sz w:val="22"/>
        </w:rPr>
        <w:t xml:space="preserve"> are incentivised to hire young people up to age 24 regardless of vulnerability and need.</w:t>
      </w:r>
      <w:r w:rsidRPr="006B5A5B">
        <w:rPr>
          <w:rFonts w:eastAsia="Tahoma" w:cs="Tahoma"/>
          <w:color w:val="000000" w:themeColor="text1"/>
          <w:sz w:val="22"/>
        </w:rPr>
        <w:t xml:space="preserve"> We know from the evidence that m</w:t>
      </w:r>
      <w:r w:rsidRPr="006B5A5B">
        <w:rPr>
          <w:rFonts w:eastAsia="Tahoma" w:cs="Tahoma"/>
          <w:color w:val="000000" w:themeColor="text1"/>
          <w:sz w:val="22"/>
        </w:rPr>
        <w:t>any young people are struggling due to mental ill</w:t>
      </w:r>
      <w:r w:rsidRPr="006B5A5B">
        <w:rPr>
          <w:rFonts w:eastAsia="Tahoma" w:cs="Tahoma"/>
          <w:color w:val="000000" w:themeColor="text1"/>
          <w:sz w:val="22"/>
        </w:rPr>
        <w:t>-h</w:t>
      </w:r>
      <w:r w:rsidRPr="006B5A5B">
        <w:rPr>
          <w:rFonts w:eastAsia="Tahoma" w:cs="Tahoma"/>
          <w:color w:val="000000" w:themeColor="text1"/>
          <w:sz w:val="22"/>
        </w:rPr>
        <w:t>ealth, undiagnosed neurodivergen</w:t>
      </w:r>
      <w:r w:rsidRPr="006B5A5B">
        <w:rPr>
          <w:rFonts w:eastAsia="Tahoma" w:cs="Tahoma"/>
          <w:color w:val="000000" w:themeColor="text1"/>
          <w:sz w:val="22"/>
        </w:rPr>
        <w:t>t conditions</w:t>
      </w:r>
      <w:r w:rsidRPr="006B5A5B">
        <w:rPr>
          <w:rFonts w:eastAsia="Tahoma" w:cs="Tahoma"/>
          <w:color w:val="000000" w:themeColor="text1"/>
          <w:sz w:val="22"/>
        </w:rPr>
        <w:t xml:space="preserve">, adverse childhood experiences and/or unidentified challenges that they may not be comfortable disclosing. </w:t>
      </w:r>
      <w:r w:rsidRPr="006B5A5B">
        <w:rPr>
          <w:rFonts w:eastAsia="Tahoma" w:cs="Tahoma"/>
          <w:color w:val="000000" w:themeColor="text1"/>
          <w:sz w:val="22"/>
        </w:rPr>
        <w:t xml:space="preserve">Without adequate support, the transition into the workplace may be especially hard for these young people. By expanding this provision, </w:t>
      </w:r>
      <w:r w:rsidRPr="006B5A5B">
        <w:rPr>
          <w:rFonts w:eastAsia="Tahoma" w:cs="Tahoma"/>
          <w:color w:val="000000" w:themeColor="text1"/>
          <w:sz w:val="22"/>
        </w:rPr>
        <w:t>it removes the</w:t>
      </w:r>
      <w:r w:rsidRPr="006B5A5B">
        <w:rPr>
          <w:rFonts w:eastAsia="Tahoma" w:cs="Tahoma"/>
          <w:color w:val="000000" w:themeColor="text1"/>
          <w:sz w:val="22"/>
        </w:rPr>
        <w:t xml:space="preserve"> high threshold of need </w:t>
      </w:r>
      <w:r w:rsidRPr="006B5A5B">
        <w:rPr>
          <w:rFonts w:eastAsia="Tahoma" w:cs="Tahoma"/>
          <w:color w:val="000000" w:themeColor="text1"/>
          <w:sz w:val="22"/>
        </w:rPr>
        <w:t xml:space="preserve">young people </w:t>
      </w:r>
      <w:r w:rsidRPr="006B5A5B">
        <w:rPr>
          <w:rFonts w:eastAsia="Tahoma" w:cs="Tahoma"/>
          <w:color w:val="000000" w:themeColor="text1"/>
          <w:sz w:val="22"/>
        </w:rPr>
        <w:t>must meet before</w:t>
      </w:r>
      <w:r w:rsidRPr="006B5A5B">
        <w:rPr>
          <w:rFonts w:eastAsia="Tahoma" w:cs="Tahoma"/>
          <w:color w:val="000000" w:themeColor="text1"/>
          <w:sz w:val="22"/>
        </w:rPr>
        <w:t xml:space="preserve"> employers </w:t>
      </w:r>
      <w:r w:rsidRPr="006B5A5B">
        <w:rPr>
          <w:rFonts w:eastAsia="Tahoma" w:cs="Tahoma"/>
          <w:color w:val="000000" w:themeColor="text1"/>
          <w:sz w:val="22"/>
        </w:rPr>
        <w:t xml:space="preserve">can </w:t>
      </w:r>
      <w:r w:rsidRPr="006B5A5B">
        <w:rPr>
          <w:rFonts w:eastAsia="Tahoma" w:cs="Tahoma"/>
          <w:color w:val="000000" w:themeColor="text1"/>
          <w:sz w:val="22"/>
        </w:rPr>
        <w:t>receive</w:t>
      </w:r>
      <w:r w:rsidRPr="006B5A5B">
        <w:rPr>
          <w:rFonts w:eastAsia="Tahoma" w:cs="Tahoma"/>
          <w:color w:val="000000" w:themeColor="text1"/>
          <w:sz w:val="22"/>
        </w:rPr>
        <w:t xml:space="preserve"> additional resource to support them. </w:t>
      </w:r>
    </w:p>
    <w:p w:rsidR="002938BF" w:rsidRPr="006B5A5B" w:rsidP="00405430">
      <w:pPr>
        <w:shd w:val="clear" w:color="auto" w:fill="FFFFFF" w:themeFill="background1"/>
        <w:spacing w:before="160" w:line="276" w:lineRule="auto"/>
        <w:rPr>
          <w:rFonts w:eastAsia="Tahoma" w:cs="Tahoma"/>
          <w:color w:val="000000" w:themeColor="text1"/>
          <w:sz w:val="22"/>
        </w:rPr>
      </w:pPr>
      <w:r w:rsidRPr="006B5A5B">
        <w:rPr>
          <w:rFonts w:eastAsia="Tahoma" w:cs="Tahoma"/>
          <w:color w:val="000000" w:themeColor="text1"/>
          <w:sz w:val="22"/>
        </w:rPr>
        <w:t xml:space="preserve">The Government should also recognise the vital role that further education (FE) colleges play and provide clear guidance and resources to support their work. FE colleges are often the first point of contact for </w:t>
      </w:r>
      <w:r w:rsidRPr="006B5A5B">
        <w:rPr>
          <w:rFonts w:eastAsia="Tahoma" w:cs="Tahoma"/>
          <w:color w:val="000000" w:themeColor="text1"/>
          <w:sz w:val="22"/>
        </w:rPr>
        <w:t>16</w:t>
      </w:r>
      <w:r w:rsidRPr="006B5A5B">
        <w:rPr>
          <w:rFonts w:eastAsia="Tahoma" w:cs="Tahoma"/>
          <w:color w:val="000000" w:themeColor="text1"/>
          <w:sz w:val="22"/>
        </w:rPr>
        <w:t>-</w:t>
      </w:r>
      <w:r w:rsidRPr="006B5A5B">
        <w:rPr>
          <w:rFonts w:eastAsia="Tahoma" w:cs="Tahoma"/>
          <w:color w:val="000000" w:themeColor="text1"/>
          <w:sz w:val="22"/>
        </w:rPr>
        <w:t>17-year-olds</w:t>
      </w:r>
      <w:r w:rsidRPr="006B5A5B">
        <w:rPr>
          <w:rFonts w:eastAsia="Tahoma" w:cs="Tahoma"/>
          <w:color w:val="000000" w:themeColor="text1"/>
          <w:sz w:val="22"/>
        </w:rPr>
        <w:t xml:space="preserve"> seeking mental health and careers support, particularly those undertaking apprenticeships. Strengthening support within FE would help ensure all young people, regardless of personal circumstances, have access to the help they need to succeed. In doing so, the Government would move closer to its ambition of building a highly skilled workforce up to age 25. </w:t>
      </w:r>
    </w:p>
    <w:p w:rsidR="002938BF" w:rsidRPr="006B5A5B" w:rsidP="006B5A5B">
      <w:pPr>
        <w:pStyle w:val="Heading1"/>
      </w:pPr>
      <w:r w:rsidRPr="006B5A5B">
        <w:t>References</w:t>
      </w:r>
    </w:p>
    <w:p w:rsidR="002938BF" w:rsidRPr="006B5A5B" w:rsidP="00405430">
      <w:pPr>
        <w:pStyle w:val="ListParagraph"/>
        <w:numPr>
          <w:ilvl w:val="0"/>
          <w:numId w:val="2"/>
        </w:numPr>
        <w:spacing w:before="160" w:line="276" w:lineRule="auto"/>
        <w:rPr>
          <w:rFonts w:eastAsia="Calibri"/>
          <w:sz w:val="22"/>
        </w:rPr>
      </w:pPr>
      <w:r w:rsidRPr="006B5A5B">
        <w:rPr>
          <w:sz w:val="22"/>
        </w:rPr>
        <w:t xml:space="preserve">CCLA (2025). </w:t>
      </w:r>
      <w:r w:rsidRPr="006B5A5B">
        <w:rPr>
          <w:i/>
          <w:iCs/>
          <w:sz w:val="22"/>
        </w:rPr>
        <w:t>CCLA Corporate Benchmark Mental Health Benchmark UK 100.</w:t>
      </w:r>
      <w:r w:rsidRPr="006B5A5B">
        <w:rPr>
          <w:sz w:val="22"/>
        </w:rPr>
        <w:t xml:space="preserve"> [online] Available at: </w:t>
      </w:r>
      <w:r>
        <w:fldChar w:fldCharType="begin"/>
      </w:r>
      <w:r>
        <w:instrText xml:space="preserve"> HYPERLINK "https://www.ccla.co.uk/documents/ccla-corporate-mental-health-benchmark-uk-100-2025/download?inline=" </w:instrText>
      </w:r>
      <w:r>
        <w:fldChar w:fldCharType="separate"/>
      </w:r>
      <w:r w:rsidRPr="006B5A5B">
        <w:rPr>
          <w:rFonts w:eastAsia="Tahoma" w:cs="Tahoma"/>
          <w:color w:val="0563C1"/>
          <w:sz w:val="22"/>
          <w:u w:val="single"/>
        </w:rPr>
        <w:t>https://www.ccla.co.uk/documents/ccla-corporate-mental-health-benchmark-uk-100-2025/download?inline=</w:t>
      </w:r>
      <w:r>
        <w:fldChar w:fldCharType="end"/>
      </w:r>
    </w:p>
    <w:p w:rsidR="002938BF" w:rsidRPr="006B5A5B" w:rsidP="00405430">
      <w:pPr>
        <w:pStyle w:val="ListParagraph"/>
        <w:numPr>
          <w:ilvl w:val="0"/>
          <w:numId w:val="2"/>
        </w:numPr>
        <w:spacing w:before="160" w:line="276" w:lineRule="auto"/>
        <w:rPr>
          <w:sz w:val="22"/>
        </w:rPr>
      </w:pPr>
      <w:r w:rsidRPr="006B5A5B">
        <w:rPr>
          <w:rFonts w:eastAsia="Calibri"/>
          <w:sz w:val="22"/>
        </w:rPr>
        <w:t>Centre for Mental Health (2022).</w:t>
      </w:r>
      <w:r w:rsidRPr="006B5A5B">
        <w:rPr>
          <w:rFonts w:eastAsia="Calibri"/>
          <w:sz w:val="22"/>
        </w:rPr>
        <w:t xml:space="preserve"> </w:t>
      </w:r>
      <w:r w:rsidRPr="006B5A5B">
        <w:rPr>
          <w:rFonts w:eastAsia="Calibri"/>
          <w:i/>
          <w:iCs/>
          <w:sz w:val="22"/>
        </w:rPr>
        <w:t xml:space="preserve">Individual Placement and Support: A guide for Integrated Care Systems. </w:t>
      </w:r>
      <w:r w:rsidRPr="006B5A5B">
        <w:rPr>
          <w:rFonts w:eastAsia="Calibri"/>
          <w:sz w:val="22"/>
        </w:rPr>
        <w:t xml:space="preserve">[online]. Available at: </w:t>
      </w:r>
      <w:r>
        <w:fldChar w:fldCharType="begin"/>
      </w:r>
      <w:r>
        <w:instrText xml:space="preserve"> HYPERLINK "https://www.centreformentalhealth.org.uk/wp-content/uploads/2022/09/CentreforMentalHealth_Briefing59_IPSforICSs.pdf" </w:instrText>
      </w:r>
      <w:r>
        <w:fldChar w:fldCharType="separate"/>
      </w:r>
      <w:r w:rsidRPr="006B5A5B">
        <w:rPr>
          <w:rStyle w:val="Hyperlink"/>
          <w:sz w:val="22"/>
        </w:rPr>
        <w:t>https://www.centreformentalhealth.org.uk/wp-content/uploads/2022/09/CentreforMentalHealth_Briefing59_IPSforICSs.pdf</w:t>
      </w:r>
      <w:r>
        <w:fldChar w:fldCharType="end"/>
      </w:r>
    </w:p>
    <w:p w:rsidR="002938BF" w:rsidRPr="006B5A5B" w:rsidP="00405430">
      <w:pPr>
        <w:pStyle w:val="ListParagraph"/>
        <w:numPr>
          <w:ilvl w:val="0"/>
          <w:numId w:val="2"/>
        </w:numPr>
        <w:spacing w:before="160" w:line="276" w:lineRule="auto"/>
        <w:rPr>
          <w:rFonts w:eastAsia="Calibri"/>
          <w:sz w:val="22"/>
        </w:rPr>
      </w:pPr>
      <w:r w:rsidRPr="006B5A5B">
        <w:rPr>
          <w:rFonts w:eastAsia="Calibri"/>
          <w:sz w:val="22"/>
        </w:rPr>
        <w:t xml:space="preserve">Centre for Mental Health (2025). </w:t>
      </w:r>
      <w:r w:rsidRPr="006B5A5B">
        <w:rPr>
          <w:rFonts w:eastAsia="Calibri"/>
          <w:i/>
          <w:iCs/>
          <w:sz w:val="22"/>
        </w:rPr>
        <w:t>Future Minds: Why investing in children’s mental health will unlock economic growth.</w:t>
      </w:r>
      <w:r w:rsidRPr="006B5A5B">
        <w:rPr>
          <w:rFonts w:eastAsia="Calibri"/>
          <w:sz w:val="22"/>
        </w:rPr>
        <w:t xml:space="preserve"> [online] Available at: </w:t>
      </w:r>
      <w:r>
        <w:fldChar w:fldCharType="begin"/>
      </w:r>
      <w:r>
        <w:instrText xml:space="preserve"> HYPERLINK "https://www.centreformentalhealth.org.uk/wp-content/uploads/2025/02/Future-Minds-Report-2025-WEB.pdf" </w:instrText>
      </w:r>
      <w:r>
        <w:fldChar w:fldCharType="separate"/>
      </w:r>
      <w:r w:rsidRPr="006B5A5B">
        <w:rPr>
          <w:rStyle w:val="Hyperlink"/>
          <w:rFonts w:eastAsia="Calibri"/>
          <w:sz w:val="22"/>
        </w:rPr>
        <w:t>https://www.centreformentalhealth.org.uk/wp-content/uploads/2025/02/Future-Minds-Report-2025-WEB.pdf</w:t>
      </w:r>
      <w:r>
        <w:fldChar w:fldCharType="end"/>
      </w:r>
      <w:r w:rsidRPr="006B5A5B">
        <w:rPr>
          <w:rFonts w:eastAsia="Calibri"/>
          <w:sz w:val="22"/>
        </w:rPr>
        <w:t xml:space="preserve"> </w:t>
      </w:r>
    </w:p>
    <w:p w:rsidR="002938BF" w:rsidRPr="006B5A5B" w:rsidP="00405430">
      <w:pPr>
        <w:pStyle w:val="ListParagraph"/>
        <w:numPr>
          <w:ilvl w:val="0"/>
          <w:numId w:val="2"/>
        </w:numPr>
        <w:spacing w:before="160" w:line="276" w:lineRule="auto"/>
        <w:rPr>
          <w:sz w:val="22"/>
        </w:rPr>
      </w:pPr>
      <w:r w:rsidRPr="006B5A5B">
        <w:rPr>
          <w:rFonts w:eastAsia="Calibri"/>
          <w:sz w:val="22"/>
        </w:rPr>
        <w:t xml:space="preserve">Department for Work and Pensions (2024). </w:t>
      </w:r>
      <w:r w:rsidRPr="006B5A5B">
        <w:rPr>
          <w:rFonts w:eastAsia="Calibri"/>
          <w:i/>
          <w:iCs/>
          <w:sz w:val="22"/>
        </w:rPr>
        <w:t xml:space="preserve">The employment of disabled people 2024. </w:t>
      </w:r>
      <w:r w:rsidRPr="006B5A5B">
        <w:rPr>
          <w:rFonts w:eastAsia="Calibri"/>
          <w:sz w:val="22"/>
        </w:rPr>
        <w:t>[online] Available at:</w:t>
      </w:r>
      <w:r w:rsidRPr="006B5A5B">
        <w:rPr>
          <w:rFonts w:eastAsia="Calibri"/>
          <w:i/>
          <w:iCs/>
          <w:sz w:val="22"/>
        </w:rPr>
        <w:t xml:space="preserve"> </w:t>
      </w:r>
      <w:r>
        <w:fldChar w:fldCharType="begin"/>
      </w:r>
      <w:r>
        <w:instrText xml:space="preserve"> HYPERLINK "https://www.gov.uk/government/statistics/the-employment-of-disabled-people-2024/the-employment-of-disabled-people-2024" </w:instrText>
      </w:r>
      <w:r>
        <w:fldChar w:fldCharType="separate"/>
      </w:r>
      <w:r w:rsidRPr="006B5A5B">
        <w:rPr>
          <w:rStyle w:val="Hyperlink"/>
          <w:sz w:val="22"/>
        </w:rPr>
        <w:t>https://www.gov.uk/government/statistics/the-employment-of-disabled-people-2024/the-employment-of-disabled-people-2024</w:t>
      </w:r>
      <w:r>
        <w:fldChar w:fldCharType="end"/>
      </w:r>
    </w:p>
    <w:p w:rsidR="002938BF" w:rsidRPr="006B5A5B" w:rsidP="00405430">
      <w:pPr>
        <w:pStyle w:val="ListParagraph"/>
        <w:numPr>
          <w:ilvl w:val="0"/>
          <w:numId w:val="2"/>
        </w:numPr>
        <w:spacing w:before="160" w:line="276" w:lineRule="auto"/>
        <w:rPr>
          <w:sz w:val="22"/>
        </w:rPr>
      </w:pPr>
      <w:r w:rsidRPr="006B5A5B">
        <w:rPr>
          <w:rFonts w:eastAsia="Calibri"/>
          <w:sz w:val="22"/>
        </w:rPr>
        <w:t>Department for Work and Pensions (2025</w:t>
      </w:r>
      <w:r w:rsidRPr="006B5A5B">
        <w:rPr>
          <w:rFonts w:eastAsia="Calibri"/>
          <w:sz w:val="22"/>
        </w:rPr>
        <w:t>a</w:t>
      </w:r>
      <w:r w:rsidRPr="006B5A5B">
        <w:rPr>
          <w:rFonts w:eastAsia="Calibri"/>
          <w:sz w:val="22"/>
        </w:rPr>
        <w:t>).</w:t>
      </w:r>
      <w:r w:rsidRPr="006B5A5B">
        <w:rPr>
          <w:rFonts w:eastAsia="Calibri"/>
          <w:sz w:val="22"/>
        </w:rPr>
        <w:t xml:space="preserve"> </w:t>
      </w:r>
      <w:r w:rsidRPr="006B5A5B">
        <w:rPr>
          <w:rFonts w:eastAsia="Calibri"/>
          <w:i/>
          <w:iCs/>
          <w:sz w:val="22"/>
        </w:rPr>
        <w:t xml:space="preserve">Independent investigation to be launched to tackle rising youth inactivity. </w:t>
      </w:r>
      <w:r w:rsidRPr="006B5A5B">
        <w:rPr>
          <w:rFonts w:eastAsia="Calibri"/>
          <w:sz w:val="22"/>
        </w:rPr>
        <w:t xml:space="preserve">[online] Available at: </w:t>
      </w:r>
      <w:r>
        <w:fldChar w:fldCharType="begin"/>
      </w:r>
      <w:r>
        <w:instrText xml:space="preserve"> HYPERLINK "https://www.gov.uk/government/news/independent-investigation-to-be-launched-to-tackle-rising-youth-inactivity" </w:instrText>
      </w:r>
      <w:r>
        <w:fldChar w:fldCharType="separate"/>
      </w:r>
      <w:r w:rsidRPr="006B5A5B">
        <w:rPr>
          <w:rStyle w:val="Hyperlink"/>
          <w:sz w:val="22"/>
        </w:rPr>
        <w:t>https://www.gov.uk/government/news/independent-investigation-to-be-launched-to-tackle-rising-youth-inactivity</w:t>
      </w:r>
      <w:r>
        <w:fldChar w:fldCharType="end"/>
      </w:r>
      <w:r w:rsidRPr="006B5A5B">
        <w:rPr>
          <w:sz w:val="22"/>
        </w:rPr>
        <w:t xml:space="preserve"> </w:t>
      </w:r>
    </w:p>
    <w:p w:rsidR="002938BF" w:rsidRPr="006B5A5B" w:rsidP="00405430">
      <w:pPr>
        <w:pStyle w:val="ListParagraph"/>
        <w:numPr>
          <w:ilvl w:val="0"/>
          <w:numId w:val="2"/>
        </w:numPr>
        <w:spacing w:before="160" w:line="276" w:lineRule="auto"/>
        <w:rPr>
          <w:sz w:val="22"/>
        </w:rPr>
      </w:pPr>
      <w:r w:rsidRPr="006B5A5B">
        <w:rPr>
          <w:rFonts w:eastAsia="Calibri"/>
          <w:sz w:val="22"/>
        </w:rPr>
        <w:t>Department for Work and Pensions (2025</w:t>
      </w:r>
      <w:r w:rsidRPr="006B5A5B">
        <w:rPr>
          <w:rFonts w:eastAsia="Calibri"/>
          <w:sz w:val="22"/>
        </w:rPr>
        <w:t>b</w:t>
      </w:r>
      <w:r w:rsidRPr="006B5A5B">
        <w:rPr>
          <w:rFonts w:eastAsia="Calibri"/>
          <w:sz w:val="22"/>
        </w:rPr>
        <w:t xml:space="preserve">). </w:t>
      </w:r>
      <w:r w:rsidRPr="006B5A5B">
        <w:rPr>
          <w:rFonts w:eastAsia="Calibri"/>
          <w:i/>
          <w:iCs/>
          <w:sz w:val="22"/>
        </w:rPr>
        <w:t xml:space="preserve">New Report reveals young people nearly five times more likely to be put out of work. </w:t>
      </w:r>
      <w:r w:rsidRPr="006B5A5B">
        <w:rPr>
          <w:rFonts w:eastAsia="Calibri"/>
          <w:sz w:val="22"/>
        </w:rPr>
        <w:t xml:space="preserve">[online] Available at: </w:t>
      </w:r>
      <w:r>
        <w:fldChar w:fldCharType="begin"/>
      </w:r>
      <w:r>
        <w:instrText xml:space="preserve"> HYPERLINK "https://www.gov.uk/government/news/new-report-reveals-young-people-nearly-fives-time-more-likely-to-be-put-out-of-work" </w:instrText>
      </w:r>
      <w:r>
        <w:fldChar w:fldCharType="separate"/>
      </w:r>
      <w:r w:rsidRPr="006B5A5B">
        <w:rPr>
          <w:rStyle w:val="Hyperlink"/>
          <w:sz w:val="22"/>
        </w:rPr>
        <w:t>https://www.gov.uk/government/news/new-report-reveals-young-people-nearly-fives-time-more-likely-to-be-put-out-of-work</w:t>
      </w:r>
      <w:r>
        <w:fldChar w:fldCharType="end"/>
      </w:r>
    </w:p>
    <w:p w:rsidR="002938BF" w:rsidRPr="006B5A5B" w:rsidP="00405430">
      <w:pPr>
        <w:numPr>
          <w:ilvl w:val="0"/>
          <w:numId w:val="2"/>
        </w:numPr>
        <w:spacing w:before="160" w:line="276" w:lineRule="auto"/>
        <w:rPr>
          <w:sz w:val="22"/>
        </w:rPr>
      </w:pPr>
      <w:r w:rsidRPr="006B5A5B">
        <w:rPr>
          <w:rFonts w:eastAsia="Calibri"/>
          <w:sz w:val="22"/>
        </w:rPr>
        <w:t>Department for Work and Pensions</w:t>
      </w:r>
      <w:r w:rsidRPr="006B5A5B">
        <w:rPr>
          <w:rFonts w:eastAsia="Calibri"/>
          <w:sz w:val="22"/>
        </w:rPr>
        <w:t xml:space="preserve"> and</w:t>
      </w:r>
      <w:r w:rsidRPr="006B5A5B">
        <w:rPr>
          <w:rFonts w:eastAsia="Calibri"/>
          <w:sz w:val="22"/>
        </w:rPr>
        <w:t xml:space="preserve"> Department for Business and Trade (2025). </w:t>
      </w:r>
      <w:r w:rsidRPr="006B5A5B">
        <w:rPr>
          <w:rFonts w:eastAsia="Calibri"/>
          <w:i/>
          <w:iCs/>
          <w:sz w:val="22"/>
        </w:rPr>
        <w:t>Keep Britain Working</w:t>
      </w:r>
      <w:r w:rsidRPr="006B5A5B">
        <w:rPr>
          <w:rFonts w:eastAsia="Calibri"/>
          <w:i/>
          <w:iCs/>
          <w:sz w:val="22"/>
        </w:rPr>
        <w:t xml:space="preserve"> Review: Discovery.</w:t>
      </w:r>
      <w:r w:rsidRPr="006B5A5B">
        <w:rPr>
          <w:rFonts w:eastAsia="Calibri"/>
          <w:sz w:val="22"/>
        </w:rPr>
        <w:t xml:space="preserve"> [online] Available at: </w:t>
      </w:r>
      <w:r>
        <w:fldChar w:fldCharType="begin"/>
      </w:r>
      <w:r>
        <w:instrText xml:space="preserve"> HYPERLINK "https://www.gov.uk/government/publications/keep-britain-working-review-discovery/keep-britain-working-review-discovery" </w:instrText>
      </w:r>
      <w:r>
        <w:fldChar w:fldCharType="separate"/>
      </w:r>
      <w:r w:rsidRPr="006B5A5B">
        <w:rPr>
          <w:rStyle w:val="Hyperlink"/>
          <w:sz w:val="22"/>
        </w:rPr>
        <w:t>https://www.gov.uk/government/publications/keep-britain-working-review-discovery/keep-britain-working-review-discovery</w:t>
      </w:r>
      <w:r>
        <w:fldChar w:fldCharType="end"/>
      </w:r>
    </w:p>
    <w:p w:rsidR="002938BF" w:rsidRPr="006B5A5B" w:rsidP="00405430">
      <w:pPr>
        <w:numPr>
          <w:ilvl w:val="0"/>
          <w:numId w:val="2"/>
        </w:numPr>
        <w:spacing w:before="160" w:line="276" w:lineRule="auto"/>
        <w:rPr>
          <w:rFonts w:eastAsia="Calibri"/>
          <w:sz w:val="22"/>
        </w:rPr>
      </w:pPr>
      <w:r w:rsidRPr="006B5A5B">
        <w:rPr>
          <w:rFonts w:eastAsia="Calibri"/>
          <w:sz w:val="22"/>
        </w:rPr>
        <w:t xml:space="preserve">Hoffmann, H., Jäckel, D., Glauser, S., Mueser, K.T. and Kupper, Z. (2014). </w:t>
      </w:r>
      <w:r w:rsidRPr="006B5A5B">
        <w:rPr>
          <w:rFonts w:eastAsia="Calibri"/>
          <w:i/>
          <w:iCs/>
          <w:sz w:val="22"/>
        </w:rPr>
        <w:t>Long-Term Effectiveness of Supported Employment: 5-Year Follow-Up of a Randomized Controlled Trial.</w:t>
      </w:r>
      <w:r w:rsidRPr="006B5A5B">
        <w:rPr>
          <w:rFonts w:eastAsia="Calibri"/>
          <w:sz w:val="22"/>
        </w:rPr>
        <w:t xml:space="preserve"> American Journal of Psychiatry, 171(11), pp.1183–1190. doi: </w:t>
      </w:r>
      <w:r>
        <w:fldChar w:fldCharType="begin"/>
      </w:r>
      <w:r>
        <w:instrText xml:space="preserve"> HYPERLINK "https://doi.org/10.1176/appi.ajp.2014.13070857" </w:instrText>
      </w:r>
      <w:r>
        <w:fldChar w:fldCharType="separate"/>
      </w:r>
      <w:r w:rsidRPr="006B5A5B">
        <w:rPr>
          <w:rStyle w:val="Hyperlink"/>
          <w:rFonts w:eastAsia="Calibri"/>
          <w:sz w:val="22"/>
        </w:rPr>
        <w:t>https://doi.org/10.1176/appi.ajp.2014.13070857</w:t>
      </w:r>
      <w:r>
        <w:fldChar w:fldCharType="end"/>
      </w:r>
    </w:p>
    <w:p w:rsidR="002938BF" w:rsidRPr="006B5A5B" w:rsidP="00405430">
      <w:pPr>
        <w:pStyle w:val="ListParagraph"/>
        <w:numPr>
          <w:ilvl w:val="0"/>
          <w:numId w:val="2"/>
        </w:numPr>
        <w:spacing w:before="160" w:line="276" w:lineRule="auto"/>
        <w:rPr>
          <w:sz w:val="22"/>
        </w:rPr>
      </w:pPr>
      <w:r w:rsidRPr="006B5A5B">
        <w:rPr>
          <w:sz w:val="22"/>
        </w:rPr>
        <w:t xml:space="preserve">Institute for Fiscal Studies (2025). </w:t>
      </w:r>
      <w:r w:rsidRPr="006B5A5B">
        <w:rPr>
          <w:i/>
          <w:iCs/>
          <w:sz w:val="22"/>
        </w:rPr>
        <w:t>The role of changing health in rising health-related benefit claims.</w:t>
      </w:r>
      <w:r w:rsidRPr="006B5A5B">
        <w:rPr>
          <w:sz w:val="22"/>
        </w:rPr>
        <w:t xml:space="preserve"> [online] Available at: </w:t>
      </w:r>
      <w:r>
        <w:fldChar w:fldCharType="begin"/>
      </w:r>
      <w:r>
        <w:instrText xml:space="preserve"> HYPERLINK "https://ifs.org.uk/sites/default/files/2025-03/IFS%20report%20-%20The%20role%20of%20changing%20health%20in%20rising%20health-related%20benefit%20claims%20final_0.pdf" </w:instrText>
      </w:r>
      <w:r>
        <w:fldChar w:fldCharType="separate"/>
      </w:r>
      <w:r w:rsidRPr="006B5A5B">
        <w:rPr>
          <w:rStyle w:val="Hyperlink"/>
          <w:sz w:val="22"/>
        </w:rPr>
        <w:t>https://ifs.org.uk/sites/default/files/2025-03/IFS%20report%20-%20The%20role%20of%20changing%20health%20in%20rising%20health-related%20benefit%20claims%20final_0.pdf</w:t>
      </w:r>
      <w:r>
        <w:fldChar w:fldCharType="end"/>
      </w:r>
    </w:p>
    <w:p w:rsidR="002938BF" w:rsidRPr="006B5A5B" w:rsidP="00405430">
      <w:pPr>
        <w:pStyle w:val="ListParagraph"/>
        <w:numPr>
          <w:ilvl w:val="0"/>
          <w:numId w:val="2"/>
        </w:numPr>
        <w:spacing w:before="160" w:line="276" w:lineRule="auto"/>
        <w:rPr>
          <w:sz w:val="22"/>
        </w:rPr>
      </w:pPr>
      <w:r w:rsidRPr="006B5A5B">
        <w:rPr>
          <w:sz w:val="22"/>
        </w:rPr>
        <w:t xml:space="preserve">Intergenerational Foundation (2025). </w:t>
      </w:r>
      <w:r w:rsidRPr="006B5A5B">
        <w:rPr>
          <w:i/>
          <w:iCs/>
          <w:sz w:val="22"/>
        </w:rPr>
        <w:t xml:space="preserve">A generation scarred: NEET figures hit an 11-year high. </w:t>
      </w:r>
      <w:r w:rsidRPr="006B5A5B">
        <w:rPr>
          <w:sz w:val="22"/>
        </w:rPr>
        <w:t xml:space="preserve">[online] Available at: </w:t>
      </w:r>
      <w:r>
        <w:fldChar w:fldCharType="begin"/>
      </w:r>
      <w:r>
        <w:instrText xml:space="preserve"> HYPERLINK "https://www.if.org.uk/2025/04/08/a-generation-scarred-neet-figures-hit-an-11-year-high/" </w:instrText>
      </w:r>
      <w:r>
        <w:fldChar w:fldCharType="separate"/>
      </w:r>
      <w:r w:rsidRPr="006B5A5B">
        <w:rPr>
          <w:rFonts w:eastAsia="Tahoma" w:cs="Tahoma"/>
          <w:color w:val="0563C1"/>
          <w:sz w:val="22"/>
          <w:u w:val="single"/>
        </w:rPr>
        <w:t>https://www.if.org.uk/2025/04/08/a-generation-scarred-neet-figures-hit-an-11-year-high/</w:t>
      </w:r>
      <w:r>
        <w:fldChar w:fldCharType="end"/>
      </w:r>
      <w:r w:rsidRPr="006B5A5B">
        <w:rPr>
          <w:rFonts w:eastAsia="Tahoma" w:cs="Tahoma"/>
          <w:color w:val="0563C1"/>
          <w:sz w:val="22"/>
        </w:rPr>
        <w:t xml:space="preserve"> </w:t>
      </w:r>
    </w:p>
    <w:p w:rsidR="002938BF" w:rsidRPr="006B5A5B" w:rsidP="00405430">
      <w:pPr>
        <w:pStyle w:val="ListParagraph"/>
        <w:numPr>
          <w:ilvl w:val="0"/>
          <w:numId w:val="2"/>
        </w:numPr>
        <w:spacing w:before="160" w:line="276" w:lineRule="auto"/>
        <w:rPr>
          <w:rFonts w:eastAsia="Tahoma" w:cs="Tahoma"/>
          <w:b/>
          <w:bCs/>
          <w:color w:val="0563C1"/>
          <w:sz w:val="22"/>
        </w:rPr>
      </w:pPr>
      <w:r w:rsidRPr="006B5A5B">
        <w:rPr>
          <w:rFonts w:eastAsia="Tahoma" w:cs="Tahoma"/>
          <w:color w:val="0563C1"/>
          <w:sz w:val="22"/>
        </w:rPr>
        <w:t xml:space="preserve">IPS Grow. </w:t>
      </w:r>
      <w:r w:rsidRPr="006B5A5B">
        <w:rPr>
          <w:rFonts w:eastAsia="Tahoma" w:cs="Tahoma"/>
          <w:color w:val="0563C1"/>
          <w:sz w:val="22"/>
        </w:rPr>
        <w:t xml:space="preserve">Oxford Health: Why we are investing in IPS-Y Available at: </w:t>
      </w:r>
      <w:r>
        <w:fldChar w:fldCharType="begin"/>
      </w:r>
      <w:r>
        <w:instrText xml:space="preserve"> HYPERLINK "https://ipsgrow.org.uk/resource/oxford-health-why-we-are-investing-in-ips-y/" </w:instrText>
      </w:r>
      <w:r>
        <w:fldChar w:fldCharType="separate"/>
      </w:r>
      <w:r w:rsidRPr="006B5A5B">
        <w:rPr>
          <w:rStyle w:val="Hyperlink"/>
          <w:rFonts w:eastAsia="Tahoma" w:cs="Tahoma"/>
          <w:sz w:val="22"/>
        </w:rPr>
        <w:t>https://ipsgrow.org.uk/resource/oxford-health-why-we-are-investing-in-ips-y/</w:t>
      </w:r>
      <w:r>
        <w:fldChar w:fldCharType="end"/>
      </w:r>
      <w:r w:rsidRPr="006B5A5B">
        <w:rPr>
          <w:rFonts w:eastAsia="Tahoma" w:cs="Tahoma"/>
          <w:color w:val="0563C1"/>
          <w:sz w:val="22"/>
        </w:rPr>
        <w:t xml:space="preserve"> </w:t>
      </w:r>
    </w:p>
    <w:p w:rsidR="002938BF" w:rsidRPr="006B5A5B" w:rsidP="00405430">
      <w:pPr>
        <w:pStyle w:val="ListParagraph"/>
        <w:numPr>
          <w:ilvl w:val="0"/>
          <w:numId w:val="2"/>
        </w:numPr>
        <w:spacing w:before="160" w:line="276" w:lineRule="auto"/>
        <w:rPr>
          <w:rFonts w:eastAsia="Calibri"/>
          <w:sz w:val="22"/>
        </w:rPr>
      </w:pPr>
      <w:r w:rsidRPr="006B5A5B">
        <w:rPr>
          <w:rFonts w:eastAsia="Calibri"/>
          <w:sz w:val="22"/>
        </w:rPr>
        <w:t xml:space="preserve">Mental Health UK (2026). </w:t>
      </w:r>
      <w:r w:rsidRPr="006B5A5B">
        <w:rPr>
          <w:rFonts w:eastAsia="Calibri"/>
          <w:i/>
          <w:iCs/>
          <w:sz w:val="22"/>
        </w:rPr>
        <w:t>The Burnout Report.</w:t>
      </w:r>
      <w:r w:rsidRPr="006B5A5B">
        <w:rPr>
          <w:rFonts w:eastAsia="Calibri"/>
          <w:sz w:val="22"/>
        </w:rPr>
        <w:t xml:space="preserve"> [online] Available at: </w:t>
      </w:r>
      <w:r>
        <w:fldChar w:fldCharType="begin"/>
      </w:r>
      <w:r>
        <w:instrText xml:space="preserve"> HYPERLINK "https://euc7zxtct58.exactdn.com/wp-content/uploads/2026/01/15144951/Mental-Health-UK_The-Burnout-Report-2026-final.pdf" </w:instrText>
      </w:r>
      <w:r>
        <w:fldChar w:fldCharType="separate"/>
      </w:r>
      <w:r w:rsidRPr="006B5A5B">
        <w:rPr>
          <w:rStyle w:val="Hyperlink"/>
          <w:rFonts w:eastAsia="Calibri"/>
          <w:sz w:val="22"/>
        </w:rPr>
        <w:t>https://euc7zxtct58.exactdn.com/wp-content/uploads/2026/01/15144951/Mental-Health-UK_The-Burnout-Report-2026-final.pdf</w:t>
      </w:r>
      <w:r>
        <w:fldChar w:fldCharType="end"/>
      </w:r>
    </w:p>
    <w:p w:rsidR="002938BF" w:rsidRPr="006B5A5B" w:rsidP="00405430">
      <w:pPr>
        <w:pStyle w:val="ListParagraph"/>
        <w:numPr>
          <w:ilvl w:val="0"/>
          <w:numId w:val="2"/>
        </w:numPr>
        <w:spacing w:before="160" w:line="276" w:lineRule="auto"/>
        <w:rPr>
          <w:rFonts w:eastAsia="Calibri"/>
          <w:sz w:val="22"/>
        </w:rPr>
      </w:pPr>
      <w:r w:rsidRPr="006B5A5B">
        <w:rPr>
          <w:rFonts w:eastAsia="Calibri"/>
          <w:sz w:val="22"/>
        </w:rPr>
        <w:t xml:space="preserve">Mind (2025). </w:t>
      </w:r>
      <w:r w:rsidRPr="006B5A5B">
        <w:rPr>
          <w:rFonts w:eastAsia="Calibri"/>
          <w:i/>
          <w:iCs/>
          <w:sz w:val="22"/>
        </w:rPr>
        <w:t xml:space="preserve">The Big Mental Health Report. </w:t>
      </w:r>
      <w:r w:rsidRPr="006B5A5B">
        <w:rPr>
          <w:rFonts w:eastAsia="Calibri"/>
          <w:sz w:val="22"/>
        </w:rPr>
        <w:t xml:space="preserve">[online] Available at: </w:t>
      </w:r>
      <w:r>
        <w:fldChar w:fldCharType="begin"/>
      </w:r>
      <w:r>
        <w:instrText xml:space="preserve"> HYPERLINK "https://www.mind.org.uk/media/zianu2rn/mind_the-big-mental-health-report_digital4.pdf" </w:instrText>
      </w:r>
      <w:r>
        <w:fldChar w:fldCharType="separate"/>
      </w:r>
      <w:r w:rsidRPr="006B5A5B">
        <w:rPr>
          <w:rStyle w:val="Hyperlink"/>
          <w:rFonts w:eastAsia="Calibri"/>
          <w:sz w:val="22"/>
        </w:rPr>
        <w:t>https://www.mind.org.uk/media/zianu2rn/mind_the-big-mental-health-report_digital4.pdf</w:t>
      </w:r>
      <w:r>
        <w:fldChar w:fldCharType="end"/>
      </w:r>
    </w:p>
    <w:p w:rsidR="002938BF" w:rsidRPr="006B5A5B" w:rsidP="00405430">
      <w:pPr>
        <w:pStyle w:val="ListParagraph"/>
        <w:numPr>
          <w:ilvl w:val="0"/>
          <w:numId w:val="2"/>
        </w:numPr>
        <w:spacing w:before="160" w:line="276" w:lineRule="auto"/>
        <w:rPr>
          <w:rFonts w:eastAsia="Calibri"/>
          <w:sz w:val="22"/>
        </w:rPr>
      </w:pPr>
      <w:r w:rsidRPr="006B5A5B">
        <w:rPr>
          <w:rFonts w:eastAsia="Calibri"/>
          <w:sz w:val="22"/>
        </w:rPr>
        <w:t>NHS Digital</w:t>
      </w:r>
      <w:r w:rsidRPr="006B5A5B">
        <w:rPr>
          <w:rFonts w:eastAsia="Calibri"/>
          <w:sz w:val="22"/>
        </w:rPr>
        <w:t xml:space="preserve"> </w:t>
      </w:r>
      <w:r w:rsidRPr="006B5A5B">
        <w:rPr>
          <w:rFonts w:eastAsia="Calibri"/>
          <w:sz w:val="22"/>
        </w:rPr>
        <w:t xml:space="preserve">(2023). </w:t>
      </w:r>
      <w:r w:rsidRPr="006B5A5B">
        <w:rPr>
          <w:rFonts w:eastAsia="Calibri"/>
          <w:i/>
          <w:iCs/>
          <w:sz w:val="22"/>
        </w:rPr>
        <w:t>Mental Health of Children and Young People in England, 2023 – wave 4 follow up to the 2017 survey.</w:t>
      </w:r>
      <w:r w:rsidRPr="006B5A5B">
        <w:rPr>
          <w:rFonts w:eastAsia="Calibri"/>
          <w:sz w:val="22"/>
        </w:rPr>
        <w:t xml:space="preserve"> [online] Available at: </w:t>
      </w:r>
      <w:r>
        <w:fldChar w:fldCharType="begin"/>
      </w:r>
      <w:r>
        <w:instrText xml:space="preserve"> HYPERLINK "https://digital.nhs.uk/data-and-information/publications/statistical/mental-health-of-children-and-young-people-in-england/2023-wave-4-follow-up" </w:instrText>
      </w:r>
      <w:r>
        <w:fldChar w:fldCharType="separate"/>
      </w:r>
      <w:r w:rsidRPr="006B5A5B">
        <w:rPr>
          <w:rStyle w:val="Hyperlink"/>
          <w:rFonts w:eastAsia="Calibri"/>
          <w:sz w:val="22"/>
        </w:rPr>
        <w:t>https://digital.nhs.uk/data-and-information/publications/statistical/mental-health-of-children-and-young-people-in-england/2</w:t>
      </w:r>
      <w:r>
        <w:fldChar w:fldCharType="end"/>
      </w:r>
    </w:p>
    <w:p w:rsidR="002938BF" w:rsidRPr="006B5A5B" w:rsidP="00405430">
      <w:pPr>
        <w:pStyle w:val="ListParagraph"/>
        <w:numPr>
          <w:ilvl w:val="0"/>
          <w:numId w:val="2"/>
        </w:numPr>
        <w:spacing w:before="160" w:line="276" w:lineRule="auto"/>
        <w:rPr>
          <w:rFonts w:eastAsia="Calibri"/>
          <w:sz w:val="22"/>
        </w:rPr>
      </w:pPr>
      <w:r w:rsidRPr="006B5A5B">
        <w:rPr>
          <w:rFonts w:eastAsia="Calibri"/>
          <w:sz w:val="22"/>
        </w:rPr>
        <w:t>Office for National Statistics (2025).</w:t>
      </w:r>
      <w:r w:rsidRPr="006B5A5B">
        <w:rPr>
          <w:rFonts w:eastAsia="Calibri"/>
          <w:sz w:val="22"/>
        </w:rPr>
        <w:t xml:space="preserve"> </w:t>
      </w:r>
      <w:r w:rsidRPr="006B5A5B">
        <w:rPr>
          <w:rFonts w:eastAsia="Calibri"/>
          <w:i/>
          <w:iCs/>
          <w:sz w:val="22"/>
        </w:rPr>
        <w:t xml:space="preserve">Young people not in education, employment or training (NEET), UK: November 2025. </w:t>
      </w:r>
      <w:r w:rsidRPr="006B5A5B">
        <w:rPr>
          <w:rFonts w:eastAsia="Calibri"/>
          <w:sz w:val="22"/>
        </w:rPr>
        <w:t>[online] Available at:</w:t>
      </w:r>
      <w:r w:rsidRPr="006B5A5B">
        <w:rPr>
          <w:rFonts w:eastAsia="Calibri"/>
          <w:sz w:val="22"/>
        </w:rPr>
        <w:t xml:space="preserve"> </w:t>
      </w:r>
      <w:r>
        <w:fldChar w:fldCharType="begin"/>
      </w:r>
      <w:r>
        <w:instrText xml:space="preserve"> HYPERLINK "https://www.ons.gov.uk/employmentandlabourmarket/peoplenotinwork/unemployment/bulletins/youngpeoplenotineducationemploymentortrainingneet/latest" </w:instrText>
      </w:r>
      <w:r>
        <w:fldChar w:fldCharType="separate"/>
      </w:r>
      <w:r w:rsidRPr="006B5A5B">
        <w:rPr>
          <w:rStyle w:val="Hyperlink"/>
          <w:rFonts w:eastAsia="Calibri"/>
          <w:sz w:val="22"/>
        </w:rPr>
        <w:t>https://www.ons.gov.uk/employmentandlabourmarket/peoplenotinwork/unemployment/bulletins/youngpeoplenotineducationemploymentortrainingneet/latest</w:t>
      </w:r>
      <w:r>
        <w:fldChar w:fldCharType="end"/>
      </w:r>
    </w:p>
    <w:p w:rsidR="002938BF" w:rsidRPr="006B5A5B" w:rsidP="00405430">
      <w:pPr>
        <w:pStyle w:val="ListParagraph"/>
        <w:numPr>
          <w:ilvl w:val="0"/>
          <w:numId w:val="2"/>
        </w:numPr>
        <w:spacing w:before="160" w:line="276" w:lineRule="auto"/>
        <w:rPr>
          <w:rFonts w:eastAsia="Calibri"/>
          <w:sz w:val="22"/>
        </w:rPr>
      </w:pPr>
      <w:r w:rsidRPr="006B5A5B">
        <w:rPr>
          <w:rFonts w:eastAsia="Calibri"/>
          <w:sz w:val="22"/>
        </w:rPr>
        <w:t>Perkins, R., Patel, R., Willett, A., Chisholm, L. and Rinaldi, M., 2022. Individual placement and support: cross-sectional study of equality of access and outcome for Black, Asian and minority ethnic communities. BJPsych Bulletin, 46(1), pp.10-15.</w:t>
      </w:r>
    </w:p>
    <w:p w:rsidR="002938BF" w:rsidRPr="006B5A5B" w:rsidP="00405430">
      <w:pPr>
        <w:pStyle w:val="ListParagraph"/>
        <w:numPr>
          <w:ilvl w:val="0"/>
          <w:numId w:val="2"/>
        </w:numPr>
        <w:spacing w:before="160" w:line="276" w:lineRule="auto"/>
        <w:rPr>
          <w:rFonts w:eastAsia="Calibri"/>
          <w:sz w:val="22"/>
        </w:rPr>
      </w:pPr>
      <w:r w:rsidRPr="006B5A5B">
        <w:rPr>
          <w:rFonts w:eastAsia="Calibri"/>
          <w:sz w:val="22"/>
        </w:rPr>
        <w:t>People’s Health Trust (2025). Pioneering approach to support young people five times more likely to be out of work: peopleshealthtrust.org.uk/news/press-releases/pioneering-approach-to-support-young-people-out-of-work.</w:t>
      </w:r>
    </w:p>
    <w:p w:rsidR="002938BF" w:rsidRPr="006B5A5B" w:rsidP="00405430">
      <w:pPr>
        <w:pStyle w:val="ListParagraph"/>
        <w:numPr>
          <w:ilvl w:val="0"/>
          <w:numId w:val="2"/>
        </w:numPr>
        <w:spacing w:before="160" w:line="276" w:lineRule="auto"/>
        <w:rPr>
          <w:rFonts w:eastAsia="Calibri"/>
          <w:sz w:val="22"/>
        </w:rPr>
      </w:pPr>
      <w:r w:rsidRPr="006B5A5B">
        <w:rPr>
          <w:rFonts w:eastAsia="Calibri"/>
          <w:sz w:val="22"/>
        </w:rPr>
        <w:t xml:space="preserve">Resolution Foundation (2024). </w:t>
      </w:r>
      <w:r w:rsidRPr="006B5A5B">
        <w:rPr>
          <w:rFonts w:eastAsia="Calibri"/>
          <w:i/>
          <w:iCs/>
          <w:sz w:val="22"/>
        </w:rPr>
        <w:t xml:space="preserve">We’ve only just begun: Action to improve young people’s mental health, education and employment. </w:t>
      </w:r>
      <w:r w:rsidRPr="006B5A5B">
        <w:rPr>
          <w:rFonts w:eastAsia="Calibri"/>
          <w:sz w:val="22"/>
        </w:rPr>
        <w:t xml:space="preserve">[online] Available at: </w:t>
      </w:r>
      <w:r>
        <w:fldChar w:fldCharType="begin"/>
      </w:r>
      <w:r>
        <w:instrText xml:space="preserve"> HYPERLINK "https://www.resolutionfoundation.org/app/uploads/2024/02/Weve-only-just-begun.pdf" </w:instrText>
      </w:r>
      <w:r>
        <w:fldChar w:fldCharType="separate"/>
      </w:r>
      <w:r w:rsidRPr="006B5A5B">
        <w:rPr>
          <w:rStyle w:val="Hyperlink"/>
          <w:rFonts w:eastAsia="Calibri"/>
          <w:sz w:val="22"/>
        </w:rPr>
        <w:t>https://www.resolutionfoundation.org/app/uploads/2024/02/Weve-only-just-begun.pdf</w:t>
      </w:r>
      <w:r>
        <w:fldChar w:fldCharType="end"/>
      </w:r>
    </w:p>
    <w:p w:rsidR="002938BF" w:rsidRPr="006B5A5B" w:rsidP="00405430">
      <w:pPr>
        <w:pStyle w:val="ListParagraph"/>
        <w:numPr>
          <w:ilvl w:val="0"/>
          <w:numId w:val="2"/>
        </w:numPr>
        <w:spacing w:before="160" w:line="276" w:lineRule="auto"/>
        <w:rPr>
          <w:rFonts w:eastAsia="Calibri"/>
          <w:sz w:val="22"/>
        </w:rPr>
      </w:pPr>
      <w:r w:rsidRPr="006B5A5B">
        <w:rPr>
          <w:rFonts w:eastAsia="Calibri"/>
          <w:sz w:val="22"/>
        </w:rPr>
        <w:t xml:space="preserve">Rethink Mental Illness (2025). </w:t>
      </w:r>
      <w:r w:rsidRPr="006B5A5B">
        <w:rPr>
          <w:rFonts w:eastAsia="Calibri" w:cs="Arial"/>
          <w:i/>
          <w:iCs/>
          <w:sz w:val="22"/>
        </w:rPr>
        <w:t>People more likely to wait longer for mental health treatment</w:t>
      </w:r>
      <w:r w:rsidRPr="006B5A5B">
        <w:rPr>
          <w:rFonts w:eastAsia="Calibri"/>
          <w:i/>
          <w:iCs/>
          <w:sz w:val="22"/>
        </w:rPr>
        <w:t>.</w:t>
      </w:r>
      <w:r w:rsidRPr="006B5A5B">
        <w:rPr>
          <w:rFonts w:eastAsia="Calibri"/>
          <w:sz w:val="22"/>
        </w:rPr>
        <w:t xml:space="preserve"> [online] Available at: </w:t>
      </w:r>
      <w:r>
        <w:fldChar w:fldCharType="begin"/>
      </w:r>
      <w:r>
        <w:instrText xml:space="preserve"> HYPERLINK "https://www.rethink.org/news-and-stories/news-and-views/2025/people-more-likely-to-wait-longer-for-mental-health-treatment/?whatsnew" </w:instrText>
      </w:r>
      <w:r>
        <w:fldChar w:fldCharType="separate"/>
      </w:r>
      <w:r w:rsidRPr="006B5A5B">
        <w:rPr>
          <w:rStyle w:val="Hyperlink"/>
          <w:rFonts w:eastAsia="Calibri"/>
          <w:sz w:val="22"/>
        </w:rPr>
        <w:t>https://www.rethink.org/news-and-stories/</w:t>
      </w:r>
      <w:r w:rsidRPr="006B5A5B">
        <w:rPr>
          <w:rStyle w:val="Hyperlink"/>
          <w:rFonts w:eastAsia="Calibri"/>
          <w:sz w:val="22"/>
        </w:rPr>
        <w:t>news-</w:t>
      </w:r>
      <w:r w:rsidRPr="006B5A5B">
        <w:rPr>
          <w:rStyle w:val="Hyperlink"/>
          <w:rFonts w:eastAsia="Calibri"/>
          <w:sz w:val="22"/>
        </w:rPr>
        <w:t>and-views/2025/people-more-likely-to-wait-longer-for-mental-health-treatment/?whatsnew</w:t>
      </w:r>
      <w:r>
        <w:fldChar w:fldCharType="end"/>
      </w:r>
    </w:p>
    <w:p w:rsidR="002938BF" w:rsidRPr="006B5A5B" w:rsidP="00405430">
      <w:pPr>
        <w:pStyle w:val="ListParagraph"/>
        <w:numPr>
          <w:ilvl w:val="0"/>
          <w:numId w:val="2"/>
        </w:numPr>
        <w:spacing w:before="160" w:line="276" w:lineRule="auto"/>
        <w:rPr>
          <w:rFonts w:eastAsia="Calibri"/>
          <w:sz w:val="22"/>
        </w:rPr>
      </w:pPr>
      <w:r w:rsidRPr="006B5A5B">
        <w:rPr>
          <w:rFonts w:eastAsia="Calibri"/>
          <w:sz w:val="22"/>
        </w:rPr>
        <w:t xml:space="preserve">Royal College of Psychiatrists (2024). </w:t>
      </w:r>
      <w:r w:rsidRPr="006B5A5B">
        <w:rPr>
          <w:rFonts w:eastAsia="Calibri"/>
          <w:i/>
          <w:iCs/>
          <w:sz w:val="22"/>
        </w:rPr>
        <w:t xml:space="preserve">The Economic Case for Good Mental Health: Why prevention and treatment matter. </w:t>
      </w:r>
      <w:r w:rsidRPr="006B5A5B">
        <w:rPr>
          <w:rFonts w:eastAsia="Calibri"/>
          <w:sz w:val="22"/>
        </w:rPr>
        <w:t xml:space="preserve">[online] Available at: </w:t>
      </w:r>
      <w:r>
        <w:fldChar w:fldCharType="begin"/>
      </w:r>
      <w:r>
        <w:instrText xml:space="preserve"> HYPERLINK "https://www.rcpsych.ac.uk/docs/default-source/improving-care/better-mh-policy/the-economic-case-online-version.pdf?sfvrsn=cf1931d2_4" </w:instrText>
      </w:r>
      <w:r>
        <w:fldChar w:fldCharType="separate"/>
      </w:r>
      <w:r w:rsidRPr="006B5A5B">
        <w:rPr>
          <w:rStyle w:val="Hyperlink"/>
          <w:rFonts w:eastAsia="Calibri"/>
          <w:sz w:val="22"/>
        </w:rPr>
        <w:t>https://www.rcpsych.ac.uk/docs/default-source/improving-care/better-mh-policy/the-economic-case-online-version.pdf?sfvrsn=cf1931d2_4</w:t>
      </w:r>
      <w:r>
        <w:fldChar w:fldCharType="end"/>
      </w:r>
    </w:p>
    <w:p w:rsidR="002938BF" w:rsidRPr="006B5A5B" w:rsidP="00405430">
      <w:pPr>
        <w:pStyle w:val="ListParagraph"/>
        <w:numPr>
          <w:ilvl w:val="0"/>
          <w:numId w:val="2"/>
        </w:numPr>
        <w:spacing w:before="160" w:line="276" w:lineRule="auto"/>
        <w:rPr>
          <w:rFonts w:eastAsia="Calibri"/>
          <w:sz w:val="22"/>
        </w:rPr>
      </w:pPr>
      <w:r w:rsidRPr="006B5A5B">
        <w:rPr>
          <w:rFonts w:eastAsia="Calibri"/>
          <w:sz w:val="22"/>
        </w:rPr>
        <w:t xml:space="preserve">Snell, T., Knapp, M., Healey, A., Guglani, S., Evans-Lacko, S., Fernandez, J.-L., Meltzer, H. and Ford, T. (2013). </w:t>
      </w:r>
      <w:r w:rsidRPr="006B5A5B">
        <w:rPr>
          <w:rFonts w:eastAsia="Calibri"/>
          <w:i/>
          <w:iCs/>
          <w:sz w:val="22"/>
        </w:rPr>
        <w:t xml:space="preserve">Economic impact of childhood psychiatric disorder on public sector services in Britain: estimates from national survey data. </w:t>
      </w:r>
      <w:r w:rsidRPr="006B5A5B">
        <w:rPr>
          <w:rFonts w:eastAsia="Calibri"/>
          <w:sz w:val="22"/>
        </w:rPr>
        <w:t xml:space="preserve">Journal of Child Psychology and Psychiatry, 54(9), pp.977–985. doi: </w:t>
      </w:r>
      <w:r>
        <w:fldChar w:fldCharType="begin"/>
      </w:r>
      <w:r>
        <w:instrText xml:space="preserve"> HYPERLINK "https://doi.org/10.1111/jcpp.12055" </w:instrText>
      </w:r>
      <w:r>
        <w:fldChar w:fldCharType="separate"/>
      </w:r>
      <w:r w:rsidRPr="006B5A5B">
        <w:rPr>
          <w:rStyle w:val="Hyperlink"/>
          <w:rFonts w:eastAsia="Calibri"/>
          <w:sz w:val="22"/>
        </w:rPr>
        <w:t>https://doi.org/10.1111/jcpp.12055</w:t>
      </w:r>
      <w:r>
        <w:fldChar w:fldCharType="end"/>
      </w:r>
    </w:p>
    <w:p w:rsidR="002938BF" w:rsidRPr="006B5A5B" w:rsidP="00405430">
      <w:pPr>
        <w:pStyle w:val="ListParagraph"/>
        <w:numPr>
          <w:ilvl w:val="0"/>
          <w:numId w:val="2"/>
        </w:numPr>
        <w:spacing w:before="160" w:line="276" w:lineRule="auto"/>
        <w:rPr>
          <w:rFonts w:eastAsia="Tahoma" w:cs="Tahoma"/>
          <w:sz w:val="22"/>
        </w:rPr>
      </w:pPr>
      <w:r w:rsidRPr="006B5A5B">
        <w:rPr>
          <w:sz w:val="22"/>
        </w:rPr>
        <w:t xml:space="preserve">Social Mobility Commission (2025). </w:t>
      </w:r>
      <w:r w:rsidRPr="006B5A5B">
        <w:rPr>
          <w:i/>
          <w:iCs/>
          <w:sz w:val="22"/>
        </w:rPr>
        <w:t xml:space="preserve">State of the Nation. </w:t>
      </w:r>
      <w:r w:rsidRPr="006B5A5B">
        <w:rPr>
          <w:sz w:val="22"/>
        </w:rPr>
        <w:t xml:space="preserve">[online] Available at: </w:t>
      </w:r>
      <w:r>
        <w:fldChar w:fldCharType="begin"/>
      </w:r>
      <w:r>
        <w:instrText xml:space="preserve"> HYPERLINK "https://social-mobility.data.gov.uk/intermediate_outcomes/routes_into_work_(16_to_29_years)/destinations_following_the_end_of_compulsory_full-time_education/latest" </w:instrText>
      </w:r>
      <w:r>
        <w:fldChar w:fldCharType="separate"/>
      </w:r>
      <w:r w:rsidRPr="006B5A5B">
        <w:rPr>
          <w:rFonts w:eastAsia="Tahoma" w:cs="Tahoma"/>
          <w:color w:val="0563C1"/>
          <w:sz w:val="22"/>
          <w:u w:val="single"/>
        </w:rPr>
        <w:t>https://social-mobility.data.gov.uk/intermediate_outcomes/routes_into_work_(16_to_29_years)/destinations_following_the_end_of_compulsory_full-time_education/latest</w:t>
      </w:r>
      <w:r>
        <w:fldChar w:fldCharType="end"/>
      </w:r>
      <w:r w:rsidRPr="006B5A5B">
        <w:rPr>
          <w:rFonts w:eastAsia="Tahoma" w:cs="Tahoma"/>
          <w:color w:val="0563C1"/>
          <w:sz w:val="22"/>
          <w:u w:val="single"/>
        </w:rPr>
        <w:t xml:space="preserve"> </w:t>
      </w:r>
    </w:p>
    <w:p w:rsidR="002938BF" w:rsidRPr="006B5A5B" w:rsidP="00405430">
      <w:pPr>
        <w:pStyle w:val="ListParagraph"/>
        <w:numPr>
          <w:ilvl w:val="0"/>
          <w:numId w:val="2"/>
        </w:numPr>
        <w:spacing w:before="160" w:line="276" w:lineRule="auto"/>
        <w:rPr>
          <w:sz w:val="22"/>
        </w:rPr>
      </w:pPr>
      <w:r w:rsidRPr="006B5A5B">
        <w:rPr>
          <w:sz w:val="22"/>
        </w:rPr>
        <w:t xml:space="preserve">Youth Futures Foundation (2024). </w:t>
      </w:r>
      <w:r w:rsidRPr="006B5A5B">
        <w:rPr>
          <w:i/>
          <w:iCs/>
          <w:sz w:val="22"/>
        </w:rPr>
        <w:t xml:space="preserve">Youth Employment: 2024 Outlook. </w:t>
      </w:r>
      <w:r w:rsidRPr="006B5A5B">
        <w:rPr>
          <w:sz w:val="22"/>
        </w:rPr>
        <w:t>[online</w:t>
      </w:r>
      <w:r w:rsidRPr="006B5A5B">
        <w:rPr>
          <w:sz w:val="22"/>
        </w:rPr>
        <w:t>]</w:t>
      </w:r>
      <w:r w:rsidRPr="006B5A5B">
        <w:rPr>
          <w:sz w:val="22"/>
        </w:rPr>
        <w:t xml:space="preserve"> Available at: </w:t>
      </w:r>
      <w:r>
        <w:fldChar w:fldCharType="begin"/>
      </w:r>
      <w:r>
        <w:instrText xml:space="preserve"> HYPERLINK "https://youthfuturesfoundation.org/wp-content/uploads/2024/08/Youth-Employment-2024-Outlook.pdf" </w:instrText>
      </w:r>
      <w:r>
        <w:fldChar w:fldCharType="separate"/>
      </w:r>
      <w:r w:rsidRPr="006B5A5B">
        <w:rPr>
          <w:rStyle w:val="Hyperlink"/>
          <w:sz w:val="22"/>
        </w:rPr>
        <w:t>https://youthfuturesfoundation.org/wp-content/uploads/2024/08/Youth-Employment-2024-Outlook.pdf</w:t>
      </w:r>
      <w:r>
        <w:fldChar w:fldCharType="end"/>
      </w:r>
    </w:p>
    <w:p w:rsidR="002938BF" w:rsidRPr="006B5A5B" w:rsidP="00405430">
      <w:pPr>
        <w:pStyle w:val="ListParagraph"/>
        <w:numPr>
          <w:ilvl w:val="0"/>
          <w:numId w:val="2"/>
        </w:numPr>
        <w:spacing w:before="160" w:line="276" w:lineRule="auto"/>
        <w:rPr>
          <w:rStyle w:val="Hyperlink"/>
          <w:rFonts w:eastAsia="Calibri"/>
          <w:sz w:val="22"/>
        </w:rPr>
      </w:pPr>
      <w:r w:rsidRPr="006B5A5B">
        <w:rPr>
          <w:rFonts w:eastAsia="Calibri"/>
          <w:sz w:val="22"/>
        </w:rPr>
        <w:t>You</w:t>
      </w:r>
      <w:r w:rsidRPr="006B5A5B">
        <w:rPr>
          <w:rFonts w:eastAsia="Calibri"/>
          <w:sz w:val="22"/>
        </w:rPr>
        <w:t>th</w:t>
      </w:r>
      <w:r w:rsidRPr="006B5A5B">
        <w:rPr>
          <w:rFonts w:eastAsia="Calibri"/>
          <w:sz w:val="22"/>
        </w:rPr>
        <w:t xml:space="preserve"> Futures Foundation (2025). </w:t>
      </w:r>
      <w:r w:rsidRPr="006B5A5B">
        <w:rPr>
          <w:rFonts w:eastAsia="Calibri"/>
          <w:i/>
          <w:iCs/>
          <w:sz w:val="22"/>
        </w:rPr>
        <w:t>Understanding drivers in recent trends in young people’s mental health.</w:t>
      </w:r>
      <w:r w:rsidRPr="006B5A5B">
        <w:rPr>
          <w:rFonts w:eastAsia="Calibri"/>
          <w:sz w:val="22"/>
        </w:rPr>
        <w:t xml:space="preserve"> [online] Available at: </w:t>
      </w:r>
      <w:r>
        <w:fldChar w:fldCharType="begin"/>
      </w:r>
      <w:r>
        <w:instrText xml:space="preserve"> HYPERLINK "https://youthfuturesfoundation.org/wp-content/uploads/2025/07/Understanding-drivers-of-recent-trends-in-young-peoples-mental-health-July-2025-final.pdf" </w:instrText>
      </w:r>
      <w:r>
        <w:fldChar w:fldCharType="separate"/>
      </w:r>
      <w:r w:rsidRPr="006B5A5B">
        <w:rPr>
          <w:rStyle w:val="Hyperlink"/>
          <w:rFonts w:eastAsia="Calibri"/>
          <w:sz w:val="22"/>
        </w:rPr>
        <w:t>https://youthfuturesfoundation.org/wp-content/uploads/2025/07/Understanding-drivers-of-recent-trends-in-young-peoples-mental-health-July-2025-final.pdf</w:t>
      </w:r>
      <w:r>
        <w:fldChar w:fldCharType="end"/>
      </w:r>
    </w:p>
    <w:p w:rsidR="002938BF" w:rsidRPr="002938BF" w:rsidP="00405430">
      <w:pPr>
        <w:pStyle w:val="ListParagraph"/>
        <w:numPr>
          <w:ilvl w:val="0"/>
          <w:numId w:val="2"/>
        </w:numPr>
        <w:spacing w:before="160" w:line="276" w:lineRule="auto"/>
        <w:rPr>
          <w:rFonts w:asciiTheme="minorHAnsi" w:eastAsiaTheme="minorEastAsia" w:hAnsiTheme="minorHAnsi"/>
          <w:color w:val="0563C1"/>
          <w:sz w:val="22"/>
        </w:rPr>
      </w:pPr>
      <w:r w:rsidRPr="006B5A5B">
        <w:rPr>
          <w:rFonts w:eastAsia="Calibri"/>
          <w:sz w:val="22"/>
        </w:rPr>
        <w:t xml:space="preserve">YoungMinds (2025). </w:t>
      </w:r>
      <w:r w:rsidRPr="006B5A5B">
        <w:rPr>
          <w:rFonts w:eastAsia="Calibri"/>
          <w:i/>
          <w:iCs/>
          <w:sz w:val="22"/>
        </w:rPr>
        <w:t>Increase in youth waiting over a year for support.</w:t>
      </w:r>
      <w:r w:rsidRPr="006B5A5B">
        <w:rPr>
          <w:rFonts w:eastAsia="Calibri"/>
          <w:sz w:val="22"/>
        </w:rPr>
        <w:t xml:space="preserve"> [online] Available at:</w:t>
      </w:r>
      <w:r w:rsidRPr="006B5A5B">
        <w:rPr>
          <w:rFonts w:asciiTheme="minorHAnsi" w:eastAsiaTheme="minorEastAsia" w:hAnsiTheme="minorHAnsi"/>
          <w:color w:val="0563C1"/>
          <w:sz w:val="22"/>
        </w:rPr>
        <w:t xml:space="preserve"> </w:t>
      </w:r>
      <w:r>
        <w:fldChar w:fldCharType="begin"/>
      </w:r>
      <w:r>
        <w:instrText xml:space="preserve"> HYPERLINK "https://www.youngminds.org.uk/about-us/media-centre/press-releases/increase-in-young-people-waiting-over-a-year-for-mental-health-support/" </w:instrText>
      </w:r>
      <w:r>
        <w:fldChar w:fldCharType="separate"/>
      </w:r>
      <w:r w:rsidRPr="006B5A5B">
        <w:rPr>
          <w:rFonts w:eastAsia="Tahoma" w:cs="Tahoma"/>
          <w:color w:val="0563C1"/>
          <w:sz w:val="22"/>
          <w:u w:val="single"/>
        </w:rPr>
        <w:t>https://www.youngminds.org.uk/about-us/media-centre/press-releases/increase-in-young-people-waiting-over-a-year-for-mental-health-support/</w:t>
      </w:r>
      <w:r>
        <w:fldChar w:fldCharType="end"/>
      </w:r>
    </w:p>
    <w:p w:rsidR="002938BF" w:rsidP="002938BF">
      <w:pPr>
        <w:spacing w:before="160" w:line="276" w:lineRule="auto"/>
        <w:rPr>
          <w:rFonts w:asciiTheme="minorHAnsi" w:eastAsiaTheme="minorEastAsia" w:hAnsiTheme="minorHAnsi"/>
          <w:color w:val="0563C1"/>
          <w:sz w:val="22"/>
        </w:rPr>
      </w:pPr>
    </w:p>
    <w:p w:rsidR="002938BF" w:rsidRPr="002938BF" w:rsidP="002938BF">
      <w:pPr>
        <w:spacing w:before="160" w:line="276" w:lineRule="auto"/>
        <w:rPr>
          <w:rFonts w:asciiTheme="minorHAnsi" w:eastAsiaTheme="minorEastAsia" w:hAnsiTheme="minorHAnsi"/>
          <w:b/>
          <w:bCs/>
          <w:i/>
          <w:iCs/>
          <w:color w:val="0563C1"/>
          <w:sz w:val="22"/>
        </w:rPr>
      </w:pPr>
      <w:r w:rsidRPr="002938BF">
        <w:rPr>
          <w:rFonts w:asciiTheme="minorHAnsi" w:eastAsiaTheme="minorEastAsia" w:hAnsiTheme="minorHAnsi"/>
          <w:b/>
          <w:bCs/>
          <w:i/>
          <w:iCs/>
          <w:color w:val="0563C1"/>
          <w:sz w:val="22"/>
        </w:rPr>
        <w:t>February 2026</w:t>
      </w:r>
    </w:p>
    <w:p w:rsidR="002938BF" w:rsidRPr="006B5A5B" w:rsidP="00405430">
      <w:pPr>
        <w:spacing w:before="160" w:line="276" w:lineRule="auto"/>
        <w:rPr>
          <w:rFonts w:cs="Tahoma"/>
          <w:color w:val="1D252D"/>
          <w:sz w:val="22"/>
        </w:rPr>
      </w:pPr>
    </w:p>
    <w:sectPr w:rsidSect="00FC574F">
      <w:headerReference w:type="default" r:id="rId8"/>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8BF">
    <w:pPr>
      <w:pStyle w:val="Header"/>
    </w:pPr>
    <w:r>
      <w:rPr>
        <w:noProof/>
      </w:rPr>
      <w:t xml:space="preserve"> </w:t>
    </w:r>
    <w:r w:rsidRPr="002922B8">
      <w:rPr>
        <w:noProof/>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C765EF"/>
    <w:multiLevelType w:val="hybridMultilevel"/>
    <w:tmpl w:val="95487D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A2529D9"/>
    <w:multiLevelType w:val="hybridMultilevel"/>
    <w:tmpl w:val="0D4802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C85D36E"/>
    <w:multiLevelType w:val="hybridMultilevel"/>
    <w:tmpl w:val="ACB42A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181BF6A2"/>
    <w:multiLevelType w:val="hybridMultilevel"/>
    <w:tmpl w:val="E60E52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1848A4A4"/>
    <w:multiLevelType w:val="hybridMultilevel"/>
    <w:tmpl w:val="C8E212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1B529C10"/>
    <w:multiLevelType w:val="hybridMultilevel"/>
    <w:tmpl w:val="97F2A8E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1BE51D7"/>
    <w:multiLevelType w:val="hybridMultilevel"/>
    <w:tmpl w:val="0C8A6E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811103C"/>
    <w:multiLevelType w:val="hybridMultilevel"/>
    <w:tmpl w:val="E2D45D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94440E4"/>
    <w:multiLevelType w:val="hybridMultilevel"/>
    <w:tmpl w:val="75907544"/>
    <w:lvl w:ilvl="0">
      <w:start w:val="2"/>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F95BEB0"/>
    <w:multiLevelType w:val="hybridMultilevel"/>
    <w:tmpl w:val="D27C5E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37EC08DA"/>
    <w:multiLevelType w:val="hybridMultilevel"/>
    <w:tmpl w:val="AEFECE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603535C"/>
    <w:multiLevelType w:val="hybridMultilevel"/>
    <w:tmpl w:val="C2224B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D2C62DF"/>
    <w:multiLevelType w:val="hybridMultilevel"/>
    <w:tmpl w:val="8A847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988AFE7"/>
    <w:multiLevelType w:val="hybridMultilevel"/>
    <w:tmpl w:val="4C5E01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60A8FFCF"/>
    <w:multiLevelType w:val="hybridMultilevel"/>
    <w:tmpl w:val="224C3A46"/>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65AD0C98"/>
    <w:multiLevelType w:val="hybridMultilevel"/>
    <w:tmpl w:val="83F611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6730B86C"/>
    <w:multiLevelType w:val="hybridMultilevel"/>
    <w:tmpl w:val="118ED5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nsid w:val="71BE626F"/>
    <w:multiLevelType w:val="hybridMultilevel"/>
    <w:tmpl w:val="873EC9C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nsid w:val="730A4579"/>
    <w:multiLevelType w:val="hybridMultilevel"/>
    <w:tmpl w:val="A6F0E3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78F2684B"/>
    <w:multiLevelType w:val="hybridMultilevel"/>
    <w:tmpl w:val="0D26E82A"/>
    <w:lvl w:ilvl="0">
      <w:start w:val="2"/>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7DA35E45"/>
    <w:multiLevelType w:val="hybridMultilevel"/>
    <w:tmpl w:val="AB86D50C"/>
    <w:lvl w:ilvl="0">
      <w:start w:val="1"/>
      <w:numFmt w:val="bullet"/>
      <w:lvlText w:val="-"/>
      <w:lvlJc w:val="left"/>
      <w:pPr>
        <w:ind w:left="1080" w:hanging="360"/>
      </w:pPr>
      <w:rPr>
        <w:rFonts w:ascii="Aptos" w:hAnsi="Aptos"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num w:numId="1">
    <w:abstractNumId w:val="3"/>
  </w:num>
  <w:num w:numId="2">
    <w:abstractNumId w:val="14"/>
  </w:num>
  <w:num w:numId="3">
    <w:abstractNumId w:val="4"/>
  </w:num>
  <w:num w:numId="4">
    <w:abstractNumId w:val="9"/>
  </w:num>
  <w:num w:numId="5">
    <w:abstractNumId w:val="15"/>
  </w:num>
  <w:num w:numId="6">
    <w:abstractNumId w:val="13"/>
  </w:num>
  <w:num w:numId="7">
    <w:abstractNumId w:val="2"/>
  </w:num>
  <w:num w:numId="8">
    <w:abstractNumId w:val="6"/>
  </w:num>
  <w:num w:numId="9">
    <w:abstractNumId w:val="11"/>
  </w:num>
  <w:num w:numId="10">
    <w:abstractNumId w:val="5"/>
  </w:num>
  <w:num w:numId="11">
    <w:abstractNumId w:val="16"/>
  </w:num>
  <w:num w:numId="12">
    <w:abstractNumId w:val="18"/>
  </w:num>
  <w:num w:numId="13">
    <w:abstractNumId w:val="19"/>
  </w:num>
  <w:num w:numId="14">
    <w:abstractNumId w:val="7"/>
  </w:num>
  <w:num w:numId="15">
    <w:abstractNumId w:val="1"/>
  </w:num>
  <w:num w:numId="16">
    <w:abstractNumId w:val="20"/>
  </w:num>
  <w:num w:numId="17">
    <w:abstractNumId w:val="12"/>
  </w:num>
  <w:num w:numId="18">
    <w:abstractNumId w:val="8"/>
  </w:num>
  <w:num w:numId="19">
    <w:abstractNumId w:val="0"/>
  </w:num>
  <w:num w:numId="20">
    <w:abstractNumId w:val="17"/>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doNotTrackMoves/>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CMH Body text"/>
    <w:qFormat/>
    <w:rsid w:val="00C77033"/>
    <w:rPr>
      <w:rFonts w:ascii="Tahoma" w:hAnsi="Tahoma"/>
      <w:sz w:val="23"/>
    </w:rPr>
  </w:style>
  <w:style w:type="paragraph" w:styleId="Heading1">
    <w:name w:val="heading 1"/>
    <w:basedOn w:val="Normal"/>
    <w:next w:val="Normal"/>
    <w:link w:val="Heading1Char"/>
    <w:autoRedefine/>
    <w:uiPriority w:val="9"/>
    <w:qFormat/>
    <w:rsid w:val="006B5A5B"/>
    <w:pPr>
      <w:keepNext/>
      <w:keepLines/>
      <w:shd w:val="clear" w:color="auto" w:fill="49C5B1"/>
      <w:spacing w:before="160" w:line="276" w:lineRule="auto"/>
      <w:outlineLvl w:val="0"/>
    </w:pPr>
    <w:rPr>
      <w:rFonts w:eastAsiaTheme="majorEastAsia" w:cstheme="majorBidi"/>
      <w:b/>
      <w:color w:val="FFFFFF" w:themeColor="background1"/>
      <w:sz w:val="24"/>
      <w:szCs w:val="24"/>
    </w:rPr>
  </w:style>
  <w:style w:type="paragraph" w:styleId="Heading2">
    <w:name w:val="heading 2"/>
    <w:basedOn w:val="Normal"/>
    <w:next w:val="Normal"/>
    <w:link w:val="Heading2Char"/>
    <w:uiPriority w:val="9"/>
    <w:unhideWhenUsed/>
    <w:qFormat/>
    <w:rsid w:val="00E1128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57E"/>
  </w:style>
  <w:style w:type="paragraph" w:styleId="Footer">
    <w:name w:val="footer"/>
    <w:basedOn w:val="Normal"/>
    <w:link w:val="FooterChar"/>
    <w:uiPriority w:val="99"/>
    <w:unhideWhenUsed/>
    <w:rsid w:val="00695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57E"/>
  </w:style>
  <w:style w:type="character" w:customStyle="1" w:styleId="Heading1Char">
    <w:name w:val="Heading 1 Char"/>
    <w:basedOn w:val="DefaultParagraphFont"/>
    <w:link w:val="Heading1"/>
    <w:uiPriority w:val="9"/>
    <w:rsid w:val="006B5A5B"/>
    <w:rPr>
      <w:rFonts w:ascii="Tahoma" w:hAnsi="Tahoma" w:eastAsiaTheme="majorEastAsia" w:cstheme="majorBidi"/>
      <w:b/>
      <w:color w:val="FFFFFF" w:themeColor="background1"/>
      <w:sz w:val="24"/>
      <w:szCs w:val="24"/>
      <w:shd w:val="clear" w:color="auto" w:fill="49C5B1"/>
    </w:rPr>
  </w:style>
  <w:style w:type="paragraph" w:styleId="ListParagraph">
    <w:name w:val="List Paragraph"/>
    <w:basedOn w:val="Normal"/>
    <w:uiPriority w:val="34"/>
    <w:qFormat/>
    <w:rsid w:val="00A87DD3"/>
    <w:pPr>
      <w:ind w:left="720"/>
      <w:contextualSpacing/>
    </w:pPr>
  </w:style>
  <w:style w:type="paragraph" w:styleId="BodyTextIndent3">
    <w:name w:val="Body Text Indent 3"/>
    <w:basedOn w:val="Normal"/>
    <w:link w:val="BodyTextIndent3Char"/>
    <w:rsid w:val="00E8578B"/>
    <w:pPr>
      <w:spacing w:after="120" w:line="240" w:lineRule="auto"/>
      <w:ind w:left="283"/>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E8578B"/>
    <w:rPr>
      <w:rFonts w:ascii="Arial" w:eastAsia="Times New Roman" w:hAnsi="Arial" w:cs="Times New Roman"/>
      <w:sz w:val="16"/>
      <w:szCs w:val="16"/>
    </w:rPr>
  </w:style>
  <w:style w:type="table" w:styleId="TableGrid">
    <w:name w:val="Table Grid"/>
    <w:basedOn w:val="TableNormal"/>
    <w:uiPriority w:val="39"/>
    <w:rsid w:val="00894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8946DA"/>
    <w:pPr>
      <w:spacing w:after="120"/>
    </w:pPr>
  </w:style>
  <w:style w:type="character" w:customStyle="1" w:styleId="BodyTextChar">
    <w:name w:val="Body Text Char"/>
    <w:basedOn w:val="DefaultParagraphFont"/>
    <w:link w:val="BodyText"/>
    <w:uiPriority w:val="99"/>
    <w:semiHidden/>
    <w:rsid w:val="008946DA"/>
    <w:rPr>
      <w:rFonts w:ascii="Tahoma" w:hAnsi="Tahoma"/>
      <w:sz w:val="23"/>
    </w:rPr>
  </w:style>
  <w:style w:type="character" w:styleId="Hyperlink">
    <w:name w:val="Hyperlink"/>
    <w:basedOn w:val="DefaultParagraphFont"/>
    <w:uiPriority w:val="99"/>
    <w:unhideWhenUsed/>
    <w:rsid w:val="00B43736"/>
    <w:rPr>
      <w:color w:val="0563C1" w:themeColor="hyperlink"/>
      <w:u w:val="single"/>
    </w:rPr>
  </w:style>
  <w:style w:type="paragraph" w:styleId="Revision">
    <w:name w:val="Revision"/>
    <w:hidden/>
    <w:uiPriority w:val="99"/>
    <w:semiHidden/>
    <w:rsid w:val="00B775BC"/>
    <w:pPr>
      <w:spacing w:after="0" w:line="240" w:lineRule="auto"/>
    </w:pPr>
    <w:rPr>
      <w:rFonts w:ascii="Tahoma" w:hAnsi="Tahoma"/>
      <w:sz w:val="23"/>
    </w:rPr>
  </w:style>
  <w:style w:type="character" w:styleId="CommentReference">
    <w:name w:val="annotation reference"/>
    <w:basedOn w:val="DefaultParagraphFont"/>
    <w:uiPriority w:val="99"/>
    <w:semiHidden/>
    <w:unhideWhenUsed/>
    <w:rsid w:val="00EC3A1D"/>
    <w:rPr>
      <w:sz w:val="16"/>
      <w:szCs w:val="16"/>
    </w:rPr>
  </w:style>
  <w:style w:type="paragraph" w:styleId="CommentText">
    <w:name w:val="annotation text"/>
    <w:basedOn w:val="Normal"/>
    <w:link w:val="CommentTextChar"/>
    <w:uiPriority w:val="99"/>
    <w:unhideWhenUsed/>
    <w:rsid w:val="00EC3A1D"/>
    <w:pPr>
      <w:spacing w:line="240" w:lineRule="auto"/>
    </w:pPr>
    <w:rPr>
      <w:sz w:val="20"/>
      <w:szCs w:val="20"/>
    </w:rPr>
  </w:style>
  <w:style w:type="character" w:customStyle="1" w:styleId="CommentTextChar">
    <w:name w:val="Comment Text Char"/>
    <w:basedOn w:val="DefaultParagraphFont"/>
    <w:link w:val="CommentText"/>
    <w:uiPriority w:val="99"/>
    <w:rsid w:val="00EC3A1D"/>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EC3A1D"/>
    <w:rPr>
      <w:b/>
      <w:bCs/>
    </w:rPr>
  </w:style>
  <w:style w:type="character" w:customStyle="1" w:styleId="CommentSubjectChar">
    <w:name w:val="Comment Subject Char"/>
    <w:basedOn w:val="CommentTextChar"/>
    <w:link w:val="CommentSubject"/>
    <w:uiPriority w:val="99"/>
    <w:semiHidden/>
    <w:rsid w:val="00EC3A1D"/>
    <w:rPr>
      <w:rFonts w:ascii="Tahoma" w:hAnsi="Tahoma"/>
      <w:b/>
      <w:bCs/>
      <w:sz w:val="20"/>
      <w:szCs w:val="20"/>
    </w:rPr>
  </w:style>
  <w:style w:type="character" w:customStyle="1" w:styleId="UnresolvedMention1">
    <w:name w:val="Unresolved Mention1"/>
    <w:basedOn w:val="DefaultParagraphFont"/>
    <w:uiPriority w:val="99"/>
    <w:semiHidden/>
    <w:unhideWhenUsed/>
    <w:rsid w:val="00AA4BFA"/>
    <w:rPr>
      <w:color w:val="605E5C"/>
      <w:shd w:val="clear" w:color="auto" w:fill="E1DFDD"/>
    </w:rPr>
  </w:style>
  <w:style w:type="character" w:customStyle="1" w:styleId="Heading2Char">
    <w:name w:val="Heading 2 Char"/>
    <w:basedOn w:val="DefaultParagraphFont"/>
    <w:link w:val="Heading2"/>
    <w:uiPriority w:val="9"/>
    <w:rsid w:val="00E1128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theme" Target="theme/theme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ZoriRounds\OneDrive%20-%20The%20Centre%20for%20Mental%20Health\Policy\CYP\Young%20people%20and%20work%20DWP%20consultation%20Jan20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1DA14A196D2D4493356AFB1E1312F4" ma:contentTypeVersion="4" ma:contentTypeDescription="Create a new document." ma:contentTypeScope="" ma:versionID="15faefc64d637b84fe7c7e0f25aceba3">
  <xsd:schema xmlns:xsd="http://www.w3.org/2001/XMLSchema" xmlns:xs="http://www.w3.org/2001/XMLSchema" xmlns:p="http://schemas.microsoft.com/office/2006/metadata/properties" xmlns:ns3="bf17516d-95da-4b9b-b572-94746282cb6c" targetNamespace="http://schemas.microsoft.com/office/2006/metadata/properties" ma:root="true" ma:fieldsID="35a35691727b5b3a464399a969affbb3" ns3:_="">
    <xsd:import namespace="bf17516d-95da-4b9b-b572-94746282cb6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7516d-95da-4b9b-b572-94746282cb6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F7CE5A-AEEE-417F-8B2E-5B327D882E74}">
  <ds:schemaRefs>
    <ds:schemaRef ds:uri="http://schemas.openxmlformats.org/officeDocument/2006/bibliography"/>
  </ds:schemaRefs>
</ds:datastoreItem>
</file>

<file path=customXml/itemProps2.xml><?xml version="1.0" encoding="utf-8"?>
<ds:datastoreItem xmlns:ds="http://schemas.openxmlformats.org/officeDocument/2006/customXml" ds:itemID="{E25FE018-4330-4655-8EF4-B64DF3532E67}">
  <ds:schemaRefs>
    <ds:schemaRef ds:uri="http://schemas.microsoft.com/sharepoint/v3/contenttype/forms"/>
  </ds:schemaRefs>
</ds:datastoreItem>
</file>

<file path=customXml/itemProps3.xml><?xml version="1.0" encoding="utf-8"?>
<ds:datastoreItem xmlns:ds="http://schemas.openxmlformats.org/officeDocument/2006/customXml" ds:itemID="{7B990DAA-E7A5-482F-904C-52FF938446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7516d-95da-4b9b-b572-94746282cb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874BA3-6B20-4451-BF70-52CCF7FFE96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