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622D" w:rsidP="00CC622D">
      <w:pPr>
        <w:rPr>
          <w:rFonts w:ascii="Verdana" w:hAnsi="Verdana"/>
          <w:b/>
          <w:bCs/>
          <w:sz w:val="28"/>
          <w:szCs w:val="28"/>
        </w:rPr>
      </w:pPr>
      <w:r w:rsidRPr="00CC622D">
        <w:rPr>
          <w:rFonts w:ascii="Verdana" w:hAnsi="Verdana"/>
          <w:b/>
          <w:bCs/>
          <w:sz w:val="28"/>
          <w:szCs w:val="28"/>
        </w:rPr>
        <w:t>Andrew Haigh - Written Evidence</w:t>
      </w:r>
      <w:r>
        <w:rPr>
          <w:rFonts w:ascii="Verdana" w:hAnsi="Verdana"/>
          <w:b/>
          <w:bCs/>
          <w:sz w:val="28"/>
          <w:szCs w:val="28"/>
        </w:rPr>
        <w:t xml:space="preserve"> (RAP0003)</w:t>
      </w:r>
    </w:p>
    <w:p w:rsidR="00CC622D" w:rsidRPr="00CC622D" w:rsidP="00CC622D">
      <w:pPr>
        <w:rPr>
          <w:rFonts w:ascii="Verdana" w:hAnsi="Verdana"/>
        </w:rPr>
      </w:pPr>
      <w:r w:rsidRPr="00CC622D">
        <w:rPr>
          <w:rFonts w:ascii="Verdana" w:hAnsi="Verdana"/>
        </w:rPr>
        <w:t>Submission to the House of Lords Committee on Retirement and Participation</w:t>
      </w:r>
    </w:p>
    <w:p w:rsidR="00CC622D" w:rsidRPr="00CC622D" w:rsidP="00CC622D">
      <w:pPr>
        <w:rPr>
          <w:rFonts w:ascii="Verdana" w:hAnsi="Verdana"/>
        </w:rPr>
      </w:pPr>
      <w:r w:rsidRPr="00CC622D">
        <w:rPr>
          <w:rFonts w:ascii="Verdana" w:hAnsi="Verdana"/>
        </w:rPr>
        <w:t>Introduction (anonymised for public view)</w:t>
      </w:r>
    </w:p>
    <w:p w:rsidR="00CC622D" w:rsidRPr="00CC622D" w:rsidP="00CC622D">
      <w:pPr>
        <w:rPr>
          <w:rFonts w:ascii="Verdana" w:hAnsi="Verdana"/>
        </w:rPr>
      </w:pPr>
      <w:r w:rsidRPr="00CC622D">
        <w:rPr>
          <w:rFonts w:ascii="Verdana" w:hAnsi="Verdana"/>
        </w:rPr>
        <w:t>My name is Andrew Haigh. I hope the Committee will not mind that, as a humble parliamentary pass holder, I submit this evidence in response to the call for views issued by the House of Lords Committee on Retirement and Participation. It has been a privilege over the past decade to assist a small number of members of the House, and I believe there is more that can responsibly be shared, without breaching any confidence, about the experiences of those living with life-limiting conditions and the anxiety they face in relation to their continuing role and time in Parliament. One recurring concern is the absence of clear guidance or support when a peer rapidly loses capacity: in such circumstances, it is often unclear what a parliamentary researcher, colleague, or assistant should do, or where appropriate help, advice, or safeguarding responsibility properly lies.</w:t>
      </w:r>
    </w:p>
    <w:p w:rsidR="00CC622D" w:rsidRPr="00CC622D" w:rsidP="00CC622D">
      <w:pPr>
        <w:rPr>
          <w:rFonts w:ascii="Verdana" w:hAnsi="Verdana"/>
        </w:rPr>
      </w:pPr>
      <w:r w:rsidRPr="00CC622D">
        <w:rPr>
          <w:rFonts w:ascii="Verdana" w:hAnsi="Verdana"/>
        </w:rPr>
        <w:t xml:space="preserve">Over the years, I have been appointed in investigative research roles supporting life and hereditary peers, and through this work I have developed professional relationships and insights into the practical and personal challenges of parliamentary service. I have also </w:t>
      </w:r>
      <w:r w:rsidRPr="00CC622D">
        <w:rPr>
          <w:rFonts w:ascii="Verdana" w:hAnsi="Verdana"/>
        </w:rPr>
        <w:t>provided assistance to</w:t>
      </w:r>
      <w:r w:rsidRPr="00CC622D">
        <w:rPr>
          <w:rFonts w:ascii="Verdana" w:hAnsi="Verdana"/>
        </w:rPr>
        <w:t xml:space="preserve"> members through various agencies in matters relating to dissociated outcomes and long-term personal and professional difficulties.</w:t>
      </w:r>
    </w:p>
    <w:p w:rsidR="00CC622D" w:rsidRPr="00CC622D" w:rsidP="00CC622D">
      <w:pPr>
        <w:rPr>
          <w:rFonts w:ascii="Verdana" w:hAnsi="Verdana"/>
        </w:rPr>
      </w:pPr>
      <w:r w:rsidRPr="00CC622D">
        <w:rPr>
          <w:rFonts w:ascii="Verdana" w:hAnsi="Verdana"/>
        </w:rPr>
        <w:t>My perspective has therefore been formed not by theory alone, but by sustained engagement with the lived realities of parliamentary service, on both sides of the red and green carpets, and across party-political and non-aligned groupings. I hope Their Lordships will accept my contribution in that spirit.</w:t>
      </w:r>
    </w:p>
    <w:p w:rsidR="00CC622D" w:rsidRPr="00CC622D" w:rsidP="00CC622D">
      <w:pPr>
        <w:rPr>
          <w:rFonts w:ascii="Verdana" w:hAnsi="Verdana"/>
        </w:rPr>
      </w:pPr>
      <w:r w:rsidRPr="00CC622D">
        <w:rPr>
          <w:rFonts w:ascii="Verdana" w:hAnsi="Verdana"/>
        </w:rPr>
        <w:t>The views expressed here are my own and do not purport to represent those of any individual member of Parliament. However, I have been encouraged to respond to the Committee’s call, on the basis that my experience offers a perspective that is rarely captured in formal evidence.</w:t>
      </w:r>
    </w:p>
    <w:p w:rsidR="00CC622D" w:rsidRPr="00CC622D" w:rsidP="00CC622D">
      <w:pPr>
        <w:rPr>
          <w:rFonts w:ascii="Verdana" w:hAnsi="Verdana"/>
        </w:rPr>
      </w:pPr>
      <w:r w:rsidRPr="00CC622D">
        <w:rPr>
          <w:rFonts w:ascii="Verdana" w:hAnsi="Verdana"/>
        </w:rPr>
        <w:t>I should also note that I am 56 years of age and live with severe life-limiting health conditions. It has nonetheless been a privilege to serve, in my own capacity, within the House of Lords environment, and to support members in the course of their parliamentary duties. My personal circumstances have further shaped my understanding of the anxiety, uncertainty, and sense of duty experienced by those who wish to continue contributing meaningfully while managing serious illness.</w:t>
      </w:r>
    </w:p>
    <w:p w:rsidR="00CC622D" w:rsidRPr="00CC622D" w:rsidP="00CC622D">
      <w:pPr>
        <w:rPr>
          <w:rFonts w:ascii="Verdana" w:hAnsi="Verdana"/>
        </w:rPr>
      </w:pPr>
      <w:r w:rsidRPr="00CC622D">
        <w:rPr>
          <w:rFonts w:ascii="Verdana" w:hAnsi="Verdana"/>
        </w:rPr>
        <w:t>In summary, I am strongly in favour of the introduction of measured, proportionate participation requirements, designed to uphold the integrity and effectiveness of the House. Conversely, I am strongly opposed to mandatory retirement for life peers, and to any reform that would weaken the principle that appointment for life should ordinarily mean service for life.</w:t>
      </w:r>
    </w:p>
    <w:p w:rsidR="00CC622D" w:rsidRPr="00CC622D" w:rsidP="00CC622D">
      <w:pPr>
        <w:rPr>
          <w:rFonts w:ascii="Verdana" w:hAnsi="Verdana"/>
        </w:rPr>
      </w:pPr>
      <w:r w:rsidRPr="00CC622D">
        <w:rPr>
          <w:rFonts w:ascii="Verdana" w:hAnsi="Verdana"/>
        </w:rPr>
        <w:t xml:space="preserve">In my experience, the greatest strength of the House of Lords lies in its independence, institutional memory, and depth of expertise. Many of its most </w:t>
      </w:r>
      <w:r w:rsidRPr="00CC622D">
        <w:rPr>
          <w:rFonts w:ascii="Verdana" w:hAnsi="Verdana"/>
        </w:rPr>
        <w:t>effective contributors are those whose authority and judgment have been earned over long periods of service.</w:t>
      </w:r>
    </w:p>
    <w:p w:rsidR="00CC622D" w:rsidRPr="00CC622D" w:rsidP="00CC622D">
      <w:pPr>
        <w:rPr>
          <w:rFonts w:ascii="Verdana" w:hAnsi="Verdana"/>
        </w:rPr>
      </w:pPr>
      <w:r w:rsidRPr="00CC622D">
        <w:rPr>
          <w:rFonts w:ascii="Verdana" w:hAnsi="Verdana"/>
        </w:rPr>
        <w:t>I have also witnessed at close hand the personal challenges faced by members who continue to serve with dedication while managing illness, vulnerability, or isolation. I have been acutely aware of the difficulty of raising concerns about capacity or wellbeing without causing distress or reputational harm. These experiences inform my belief that incapacity, rather than age, is the only legitimate basis for involuntary departure from the House, and that any such process must be handled with dignity, compassion, and constitutional care.</w:t>
      </w:r>
    </w:p>
    <w:p w:rsidR="00CC622D" w:rsidRPr="00CC622D" w:rsidP="00CC622D">
      <w:pPr>
        <w:rPr>
          <w:rFonts w:ascii="Verdana" w:hAnsi="Verdana"/>
        </w:rPr>
      </w:pPr>
      <w:r w:rsidRPr="00CC622D">
        <w:rPr>
          <w:rFonts w:ascii="Verdana" w:hAnsi="Verdana"/>
        </w:rPr>
        <w:t>Retirement</w:t>
      </w:r>
    </w:p>
    <w:p w:rsidR="00CC622D" w:rsidRPr="00CC622D" w:rsidP="00CC622D">
      <w:pPr>
        <w:rPr>
          <w:rFonts w:ascii="Verdana" w:hAnsi="Verdana"/>
        </w:rPr>
      </w:pPr>
      <w:r w:rsidRPr="00CC622D">
        <w:rPr>
          <w:rFonts w:ascii="Verdana" w:hAnsi="Verdana"/>
        </w:rPr>
        <w:t>1. What are the arguments for and against a mandatory retirement age in principle?</w:t>
      </w:r>
    </w:p>
    <w:p w:rsidR="00CC622D" w:rsidRPr="00CC622D" w:rsidP="00CC622D">
      <w:pPr>
        <w:rPr>
          <w:rFonts w:ascii="Verdana" w:hAnsi="Verdana"/>
        </w:rPr>
      </w:pPr>
      <w:r w:rsidRPr="00CC622D">
        <w:rPr>
          <w:rFonts w:ascii="Verdana" w:hAnsi="Verdana"/>
        </w:rPr>
        <w:t>The arguments in favour of a mandatory retirement age are largely administrative and symbolic. They focus on predictability, turnover, and public perception. While such considerations may appear attractive, they do not address the fundamental strengths or weaknesses of the House.</w:t>
      </w:r>
    </w:p>
    <w:p w:rsidR="00CC622D" w:rsidRPr="00CC622D" w:rsidP="00CC622D">
      <w:pPr>
        <w:rPr>
          <w:rFonts w:ascii="Verdana" w:hAnsi="Verdana"/>
        </w:rPr>
      </w:pPr>
      <w:r w:rsidRPr="00CC622D">
        <w:rPr>
          <w:rFonts w:ascii="Verdana" w:hAnsi="Verdana"/>
        </w:rPr>
        <w:t xml:space="preserve">The arguments against are more substantial. Chronological age is a poor indicator of capability, contribution, or judgment. Many members remain intellectually active, independent, and highly effective well beyond any proposed retirement age. A mandatory retirement age risks </w:t>
      </w:r>
      <w:r w:rsidRPr="00CC622D">
        <w:rPr>
          <w:rFonts w:ascii="Verdana" w:hAnsi="Verdana"/>
        </w:rPr>
        <w:t>removing precisely</w:t>
      </w:r>
      <w:r w:rsidRPr="00CC622D">
        <w:rPr>
          <w:rFonts w:ascii="Verdana" w:hAnsi="Verdana"/>
        </w:rPr>
        <w:t xml:space="preserve"> those individuals whose accumulated experience, institutional memory, and moral authority are of greatest value to the House’s scrutiny and revising role.</w:t>
      </w:r>
    </w:p>
    <w:p w:rsidR="00CC622D" w:rsidRPr="00CC622D" w:rsidP="00CC622D">
      <w:pPr>
        <w:rPr>
          <w:rFonts w:ascii="Verdana" w:hAnsi="Verdana"/>
        </w:rPr>
      </w:pPr>
      <w:r w:rsidRPr="00CC622D">
        <w:rPr>
          <w:rFonts w:ascii="Verdana" w:hAnsi="Verdana"/>
        </w:rPr>
        <w:t>From a Crossbench perspective in particular, the independence of the House is strengthened by members who are not constrained by time-limited tenure or age-based expectations. Mandatory retirement risks undermining the principle that appointment is based on merit and contribution rather than administrative convenience.</w:t>
      </w:r>
    </w:p>
    <w:p w:rsidR="00CC622D" w:rsidRPr="00CC622D" w:rsidP="00CC622D">
      <w:pPr>
        <w:rPr>
          <w:rFonts w:ascii="Verdana" w:hAnsi="Verdana"/>
        </w:rPr>
      </w:pPr>
    </w:p>
    <w:p w:rsidR="00CC622D" w:rsidRPr="00CC622D" w:rsidP="00CC622D">
      <w:pPr>
        <w:rPr>
          <w:rFonts w:ascii="Verdana" w:hAnsi="Verdana"/>
        </w:rPr>
      </w:pPr>
      <w:r w:rsidRPr="00CC622D">
        <w:rPr>
          <w:rFonts w:ascii="Verdana" w:hAnsi="Verdana"/>
        </w:rPr>
        <w:t>2. How would a retirement age impact the size and functioning of the House?</w:t>
      </w:r>
    </w:p>
    <w:p w:rsidR="00CC622D" w:rsidRPr="00CC622D" w:rsidP="00CC622D">
      <w:pPr>
        <w:rPr>
          <w:rFonts w:ascii="Verdana" w:hAnsi="Verdana"/>
        </w:rPr>
      </w:pPr>
      <w:r w:rsidRPr="00CC622D">
        <w:rPr>
          <w:rFonts w:ascii="Verdana" w:hAnsi="Verdana"/>
        </w:rPr>
        <w:t>A retirement age would, over time, introduce a predictable mechanism for turnover and could contribute to managing the size of the House. However, its effectiveness in this regard would depend entirely on parallel restraint in the creation of new peerages.</w:t>
      </w:r>
    </w:p>
    <w:p w:rsidR="00CC622D" w:rsidP="00CC622D">
      <w:pPr>
        <w:rPr>
          <w:rFonts w:ascii="Verdana" w:hAnsi="Verdana"/>
        </w:rPr>
      </w:pPr>
      <w:r w:rsidRPr="00CC622D">
        <w:rPr>
          <w:rFonts w:ascii="Verdana" w:hAnsi="Verdana"/>
        </w:rPr>
        <w:t>In functional terms, the loss of long-serving members would inevitably reduce institutional memory and specialist expertise, particularly in complex policy areas where understanding develops over decades. Without careful transitional arrangements, this could weaken committee work, legislative scrutiny, and the overall cohesion of the House.</w:t>
      </w:r>
    </w:p>
    <w:p w:rsidR="00CC622D" w:rsidRPr="00CC622D" w:rsidP="00CC622D">
      <w:pPr>
        <w:rPr>
          <w:rFonts w:ascii="Verdana" w:hAnsi="Verdana"/>
        </w:rPr>
      </w:pPr>
    </w:p>
    <w:p w:rsidR="00CC622D" w:rsidRPr="00CC622D" w:rsidP="00CC622D">
      <w:pPr>
        <w:rPr>
          <w:rFonts w:ascii="Verdana" w:hAnsi="Verdana"/>
        </w:rPr>
      </w:pPr>
      <w:r w:rsidRPr="00CC622D">
        <w:rPr>
          <w:rFonts w:ascii="Verdana" w:hAnsi="Verdana"/>
        </w:rPr>
        <w:t>3. What are the arguments for and against fixed-term membership, and how would it impact the House?</w:t>
      </w:r>
    </w:p>
    <w:p w:rsidR="00CC622D" w:rsidRPr="00CC622D" w:rsidP="00CC622D">
      <w:pPr>
        <w:rPr>
          <w:rFonts w:ascii="Verdana" w:hAnsi="Verdana"/>
        </w:rPr>
      </w:pPr>
      <w:r w:rsidRPr="00CC622D">
        <w:rPr>
          <w:rFonts w:ascii="Verdana" w:hAnsi="Verdana"/>
        </w:rPr>
        <w:t>Fixed-term membership avoids age discrimination and provides clarity at the point of appointment. It may also assist with long-term size management and create the perception of accountability.</w:t>
      </w:r>
    </w:p>
    <w:p w:rsidR="00CC622D" w:rsidRPr="00CC622D" w:rsidP="00CC622D">
      <w:pPr>
        <w:rPr>
          <w:rFonts w:ascii="Verdana" w:hAnsi="Verdana"/>
        </w:rPr>
      </w:pPr>
      <w:r w:rsidRPr="00CC622D">
        <w:rPr>
          <w:rFonts w:ascii="Verdana" w:hAnsi="Verdana"/>
        </w:rPr>
        <w:t>Against this, fixed terms risk weakening independence, particularly if renewal is possible. Even where renewal is excluded, the knowledge that one’s tenure is finite may subtly influence behaviour, encouraging visibility and short-term impact over careful, sometimes unglamorous scrutiny. The House benefits from members who can develop expertise over long periods and who are insulated from pressures relating to tenure.</w:t>
      </w:r>
    </w:p>
    <w:p w:rsidR="00CC622D" w:rsidRPr="00CC622D" w:rsidP="00CC622D">
      <w:pPr>
        <w:rPr>
          <w:rFonts w:ascii="Verdana" w:hAnsi="Verdana"/>
        </w:rPr>
      </w:pPr>
      <w:r w:rsidRPr="00CC622D">
        <w:rPr>
          <w:rFonts w:ascii="Verdana" w:hAnsi="Verdana"/>
        </w:rPr>
        <w:t>In practical terms, fixed terms may increase turnover without necessarily improving effectiveness, and could alter the culture of the House in unintended ways.</w:t>
      </w:r>
    </w:p>
    <w:p w:rsidR="00CC622D" w:rsidP="00CC622D">
      <w:pPr>
        <w:rPr>
          <w:rFonts w:ascii="Verdana" w:hAnsi="Verdana"/>
        </w:rPr>
      </w:pPr>
    </w:p>
    <w:p w:rsidR="00CC622D" w:rsidRPr="00CC622D" w:rsidP="00CC622D">
      <w:pPr>
        <w:rPr>
          <w:rFonts w:ascii="Verdana" w:hAnsi="Verdana"/>
        </w:rPr>
      </w:pPr>
      <w:r w:rsidRPr="00CC622D">
        <w:rPr>
          <w:rFonts w:ascii="Verdana" w:hAnsi="Verdana"/>
        </w:rPr>
        <w:t>4. What evidence is there of the impact of a mandatory retirement age on public perception?</w:t>
      </w:r>
    </w:p>
    <w:p w:rsidR="00CC622D" w:rsidRPr="00CC622D" w:rsidP="00CC622D">
      <w:pPr>
        <w:rPr>
          <w:rFonts w:ascii="Verdana" w:hAnsi="Verdana"/>
        </w:rPr>
      </w:pPr>
      <w:r w:rsidRPr="00CC622D">
        <w:rPr>
          <w:rFonts w:ascii="Verdana" w:hAnsi="Verdana"/>
        </w:rPr>
        <w:t>There is limited direct evidence that a retirement age alone would significantly improve public confidence. Public criticism of the House tends to focus more on size, inactivity, and appointment practices than on age.</w:t>
      </w:r>
    </w:p>
    <w:p w:rsidR="00CC622D" w:rsidRPr="00CC622D" w:rsidP="00CC622D">
      <w:pPr>
        <w:rPr>
          <w:rFonts w:ascii="Verdana" w:hAnsi="Verdana"/>
        </w:rPr>
      </w:pPr>
      <w:r w:rsidRPr="00CC622D">
        <w:rPr>
          <w:rFonts w:ascii="Verdana" w:hAnsi="Verdana"/>
        </w:rPr>
        <w:t>A mandatory retirement age may offer a superficial signal of reform, but risks being perceived as symbolic if capable contributors are removed while other structural issues remain unaddressed.</w:t>
      </w:r>
    </w:p>
    <w:p w:rsidR="00CC622D" w:rsidP="00CC622D">
      <w:pPr>
        <w:rPr>
          <w:rFonts w:ascii="Verdana" w:hAnsi="Verdana"/>
        </w:rPr>
      </w:pPr>
    </w:p>
    <w:p w:rsidR="00CC622D" w:rsidRPr="00CC622D" w:rsidP="00CC622D">
      <w:pPr>
        <w:rPr>
          <w:rFonts w:ascii="Verdana" w:hAnsi="Verdana"/>
        </w:rPr>
      </w:pPr>
      <w:r w:rsidRPr="00CC622D">
        <w:rPr>
          <w:rFonts w:ascii="Verdana" w:hAnsi="Verdana"/>
        </w:rPr>
        <w:t>5. Should anyone be exempt from a mandatory retirement age?</w:t>
      </w:r>
    </w:p>
    <w:p w:rsidR="00CC622D" w:rsidRPr="00CC622D" w:rsidP="00CC622D">
      <w:pPr>
        <w:rPr>
          <w:rFonts w:ascii="Verdana" w:hAnsi="Verdana"/>
        </w:rPr>
      </w:pPr>
      <w:r w:rsidRPr="00CC622D">
        <w:rPr>
          <w:rFonts w:ascii="Verdana" w:hAnsi="Verdana"/>
        </w:rPr>
        <w:t>Permanent exemptions risk undermining fairness and credibility. While transitional arrangements may be appropriate to avoid sudden loss of expertise, incapacity rather than age remains the only defensible basis for involuntary departure.</w:t>
      </w:r>
    </w:p>
    <w:p w:rsidR="00CC622D" w:rsidP="00CC622D">
      <w:pPr>
        <w:rPr>
          <w:rFonts w:ascii="Verdana" w:hAnsi="Verdana"/>
        </w:rPr>
      </w:pPr>
    </w:p>
    <w:p w:rsidR="00CC622D" w:rsidRPr="00CC622D" w:rsidP="00CC622D">
      <w:pPr>
        <w:rPr>
          <w:rFonts w:ascii="Verdana" w:hAnsi="Verdana"/>
        </w:rPr>
      </w:pPr>
      <w:r w:rsidRPr="00CC622D">
        <w:rPr>
          <w:rFonts w:ascii="Verdana" w:hAnsi="Verdana"/>
        </w:rPr>
        <w:t>6. What unintended consequences could arise from a mandatory retirement age?</w:t>
      </w:r>
    </w:p>
    <w:p w:rsidR="00CC622D" w:rsidRPr="00CC622D" w:rsidP="00CC622D">
      <w:pPr>
        <w:rPr>
          <w:rFonts w:ascii="Verdana" w:hAnsi="Verdana"/>
        </w:rPr>
      </w:pPr>
      <w:r w:rsidRPr="00CC622D">
        <w:rPr>
          <w:rFonts w:ascii="Verdana" w:hAnsi="Verdana"/>
        </w:rPr>
        <w:t>Potential consequences may include:</w:t>
      </w:r>
    </w:p>
    <w:p w:rsidR="00CC622D" w:rsidRPr="00CC622D" w:rsidP="00CC622D">
      <w:pPr>
        <w:rPr>
          <w:rFonts w:ascii="Verdana" w:hAnsi="Verdana"/>
        </w:rPr>
      </w:pPr>
      <w:r w:rsidRPr="00CC622D">
        <w:rPr>
          <w:rFonts w:ascii="Verdana" w:hAnsi="Verdana"/>
        </w:rPr>
        <w:t>•</w:t>
      </w:r>
      <w:r w:rsidRPr="00CC622D">
        <w:rPr>
          <w:rFonts w:ascii="Verdana" w:hAnsi="Verdana"/>
        </w:rPr>
        <w:tab/>
        <w:t>Disproportionate loss of members appointed later in life, such as judges, clinicians, and academics</w:t>
      </w:r>
    </w:p>
    <w:p w:rsidR="00CC622D" w:rsidRPr="00CC622D" w:rsidP="00CC622D">
      <w:pPr>
        <w:rPr>
          <w:rFonts w:ascii="Verdana" w:hAnsi="Verdana"/>
        </w:rPr>
      </w:pPr>
      <w:r w:rsidRPr="00CC622D">
        <w:rPr>
          <w:rFonts w:ascii="Verdana" w:hAnsi="Verdana"/>
        </w:rPr>
        <w:t>•</w:t>
      </w:r>
      <w:r w:rsidRPr="00CC622D">
        <w:rPr>
          <w:rFonts w:ascii="Verdana" w:hAnsi="Verdana"/>
        </w:rPr>
        <w:tab/>
        <w:t>Distortion of the balance between political and Crossbench members</w:t>
      </w:r>
    </w:p>
    <w:p w:rsidR="00CC622D" w:rsidRPr="00CC622D" w:rsidP="00CC622D">
      <w:pPr>
        <w:rPr>
          <w:rFonts w:ascii="Verdana" w:hAnsi="Verdana"/>
        </w:rPr>
      </w:pPr>
      <w:r w:rsidRPr="00CC622D">
        <w:rPr>
          <w:rFonts w:ascii="Verdana" w:hAnsi="Verdana"/>
        </w:rPr>
        <w:t>•</w:t>
      </w:r>
      <w:r w:rsidRPr="00CC622D">
        <w:rPr>
          <w:rFonts w:ascii="Verdana" w:hAnsi="Verdana"/>
        </w:rPr>
        <w:tab/>
        <w:t>Incentives for later appointment, reducing age diversity rather than increasing it</w:t>
      </w:r>
    </w:p>
    <w:p w:rsidR="00CC622D" w:rsidP="00CC622D">
      <w:pPr>
        <w:rPr>
          <w:rFonts w:ascii="Verdana" w:hAnsi="Verdana"/>
        </w:rPr>
      </w:pPr>
    </w:p>
    <w:p w:rsidR="00CC622D" w:rsidRPr="00CC622D" w:rsidP="00CC622D">
      <w:pPr>
        <w:rPr>
          <w:rFonts w:ascii="Verdana" w:hAnsi="Verdana"/>
        </w:rPr>
      </w:pPr>
      <w:r w:rsidRPr="00CC622D">
        <w:rPr>
          <w:rFonts w:ascii="Verdana" w:hAnsi="Verdana"/>
        </w:rPr>
        <w:t>Participation</w:t>
      </w:r>
    </w:p>
    <w:p w:rsidR="00CC622D" w:rsidRPr="00CC622D" w:rsidP="00CC622D">
      <w:pPr>
        <w:rPr>
          <w:rFonts w:ascii="Verdana" w:hAnsi="Verdana"/>
        </w:rPr>
      </w:pPr>
      <w:r w:rsidRPr="00CC622D">
        <w:rPr>
          <w:rFonts w:ascii="Verdana" w:hAnsi="Verdana"/>
        </w:rPr>
        <w:t>7. What are the arguments for and against a minimum participation requirement in principle?</w:t>
      </w:r>
    </w:p>
    <w:p w:rsidR="00CC622D" w:rsidRPr="00CC622D" w:rsidP="00CC622D">
      <w:pPr>
        <w:rPr>
          <w:rFonts w:ascii="Verdana" w:hAnsi="Verdana"/>
        </w:rPr>
      </w:pPr>
      <w:r w:rsidRPr="00CC622D">
        <w:rPr>
          <w:rFonts w:ascii="Verdana" w:hAnsi="Verdana"/>
        </w:rPr>
        <w:t>Measured participation requirements are necessary to maintain public confidence and the effectiveness of the House. Persistent non-participation undermines both.</w:t>
      </w:r>
    </w:p>
    <w:p w:rsidR="00CC622D" w:rsidRPr="00CC622D" w:rsidP="00CC622D">
      <w:pPr>
        <w:rPr>
          <w:rFonts w:ascii="Verdana" w:hAnsi="Verdana"/>
        </w:rPr>
      </w:pPr>
      <w:r w:rsidRPr="00CC622D">
        <w:rPr>
          <w:rFonts w:ascii="Verdana" w:hAnsi="Verdana"/>
        </w:rPr>
        <w:t>However, participation must be defined carefully to reflect the varied and often less visible ways in which members contribute.</w:t>
      </w:r>
    </w:p>
    <w:p w:rsidR="00CC622D" w:rsidP="00CC622D">
      <w:pPr>
        <w:rPr>
          <w:rFonts w:ascii="Verdana" w:hAnsi="Verdana"/>
        </w:rPr>
      </w:pPr>
    </w:p>
    <w:p w:rsidR="00CC622D" w:rsidRPr="00CC622D" w:rsidP="00CC622D">
      <w:pPr>
        <w:rPr>
          <w:rFonts w:ascii="Verdana" w:hAnsi="Verdana"/>
        </w:rPr>
      </w:pPr>
      <w:r w:rsidRPr="00CC622D">
        <w:rPr>
          <w:rFonts w:ascii="Verdana" w:hAnsi="Verdana"/>
        </w:rPr>
        <w:t>8. How can participation be measured and assessed effectively?</w:t>
      </w:r>
    </w:p>
    <w:p w:rsidR="00CC622D" w:rsidRPr="00CC622D" w:rsidP="00CC622D">
      <w:pPr>
        <w:rPr>
          <w:rFonts w:ascii="Verdana" w:hAnsi="Verdana"/>
        </w:rPr>
      </w:pPr>
      <w:r w:rsidRPr="00CC622D">
        <w:rPr>
          <w:rFonts w:ascii="Verdana" w:hAnsi="Verdana"/>
        </w:rPr>
        <w:t>Participation should be assessed using a combination of:</w:t>
      </w:r>
    </w:p>
    <w:p w:rsidR="00CC622D" w:rsidRPr="00CC622D" w:rsidP="00CC622D">
      <w:pPr>
        <w:rPr>
          <w:rFonts w:ascii="Verdana" w:hAnsi="Verdana"/>
        </w:rPr>
      </w:pPr>
      <w:r w:rsidRPr="00CC622D">
        <w:rPr>
          <w:rFonts w:ascii="Verdana" w:hAnsi="Verdana"/>
        </w:rPr>
        <w:t>•</w:t>
      </w:r>
      <w:r w:rsidRPr="00CC622D">
        <w:rPr>
          <w:rFonts w:ascii="Verdana" w:hAnsi="Verdana"/>
        </w:rPr>
        <w:tab/>
        <w:t>Attendance in the Chamber</w:t>
      </w:r>
    </w:p>
    <w:p w:rsidR="00CC622D" w:rsidRPr="00CC622D" w:rsidP="00CC622D">
      <w:pPr>
        <w:rPr>
          <w:rFonts w:ascii="Verdana" w:hAnsi="Verdana"/>
        </w:rPr>
      </w:pPr>
      <w:r w:rsidRPr="00CC622D">
        <w:rPr>
          <w:rFonts w:ascii="Verdana" w:hAnsi="Verdana"/>
        </w:rPr>
        <w:t>•</w:t>
      </w:r>
      <w:r w:rsidRPr="00CC622D">
        <w:rPr>
          <w:rFonts w:ascii="Verdana" w:hAnsi="Verdana"/>
        </w:rPr>
        <w:tab/>
        <w:t>Committee membership and attendance</w:t>
      </w:r>
    </w:p>
    <w:p w:rsidR="00CC622D" w:rsidRPr="00CC622D" w:rsidP="00CC622D">
      <w:pPr>
        <w:rPr>
          <w:rFonts w:ascii="Verdana" w:hAnsi="Verdana"/>
        </w:rPr>
      </w:pPr>
      <w:r w:rsidRPr="00CC622D">
        <w:rPr>
          <w:rFonts w:ascii="Verdana" w:hAnsi="Verdana"/>
        </w:rPr>
        <w:t>•</w:t>
      </w:r>
      <w:r w:rsidRPr="00CC622D">
        <w:rPr>
          <w:rFonts w:ascii="Verdana" w:hAnsi="Verdana"/>
        </w:rPr>
        <w:tab/>
        <w:t>Legislative activity, including amendments and questions</w:t>
      </w:r>
    </w:p>
    <w:p w:rsidR="00CC622D" w:rsidRPr="00CC622D" w:rsidP="00CC622D">
      <w:pPr>
        <w:rPr>
          <w:rFonts w:ascii="Verdana" w:hAnsi="Verdana"/>
        </w:rPr>
      </w:pPr>
      <w:r w:rsidRPr="00CC622D">
        <w:rPr>
          <w:rFonts w:ascii="Verdana" w:hAnsi="Verdana"/>
        </w:rPr>
        <w:t>Any system should include discretion and exemptions for illness, disability, or caring responsibilities, and should avoid incentivising low-value participation.</w:t>
      </w:r>
    </w:p>
    <w:p w:rsidR="00CC622D" w:rsidP="00CC622D">
      <w:pPr>
        <w:rPr>
          <w:rFonts w:ascii="Verdana" w:hAnsi="Verdana"/>
        </w:rPr>
      </w:pPr>
    </w:p>
    <w:p w:rsidR="00CC622D" w:rsidRPr="00CC622D" w:rsidP="00CC622D">
      <w:pPr>
        <w:rPr>
          <w:rFonts w:ascii="Verdana" w:hAnsi="Verdana"/>
        </w:rPr>
      </w:pPr>
      <w:r w:rsidRPr="00CC622D">
        <w:rPr>
          <w:rFonts w:ascii="Verdana" w:hAnsi="Verdana"/>
        </w:rPr>
        <w:t>9. Are some types of participation more valuable than others?</w:t>
      </w:r>
    </w:p>
    <w:p w:rsidR="00CC622D" w:rsidRPr="00CC622D" w:rsidP="00CC622D">
      <w:pPr>
        <w:rPr>
          <w:rFonts w:ascii="Verdana" w:hAnsi="Verdana"/>
        </w:rPr>
      </w:pPr>
      <w:r w:rsidRPr="00CC622D">
        <w:rPr>
          <w:rFonts w:ascii="Verdana" w:hAnsi="Verdana"/>
        </w:rPr>
        <w:t>Yes. Committee work, subject-matter expertise, and detailed legislative scrutiny often contribute more to the quality of legislation than frequency of speeches alone. While measuring “effective contribution” is challenging, it is preferable to relying solely on numerical thresholds.</w:t>
      </w:r>
    </w:p>
    <w:p w:rsidR="00CC622D" w:rsidP="00CC622D">
      <w:pPr>
        <w:rPr>
          <w:rFonts w:ascii="Verdana" w:hAnsi="Verdana"/>
        </w:rPr>
      </w:pPr>
    </w:p>
    <w:p w:rsidR="00CC622D" w:rsidRPr="00CC622D" w:rsidP="00CC622D">
      <w:pPr>
        <w:rPr>
          <w:rFonts w:ascii="Verdana" w:hAnsi="Verdana"/>
        </w:rPr>
      </w:pPr>
      <w:r w:rsidRPr="00CC622D">
        <w:rPr>
          <w:rFonts w:ascii="Verdana" w:hAnsi="Verdana"/>
        </w:rPr>
        <w:t>10. What effects would a participation requirement have on the House?</w:t>
      </w:r>
    </w:p>
    <w:p w:rsidR="00CC622D" w:rsidRPr="00CC622D" w:rsidP="00CC622D">
      <w:pPr>
        <w:rPr>
          <w:rFonts w:ascii="Verdana" w:hAnsi="Verdana"/>
        </w:rPr>
      </w:pPr>
      <w:r w:rsidRPr="00CC622D">
        <w:rPr>
          <w:rFonts w:ascii="Verdana" w:hAnsi="Verdana"/>
        </w:rPr>
        <w:t>A well-designed requirement would reduce persistent inactivity and strengthen legitimacy. A poorly designed one risks encouraging performative participation and discouraging specialist contributors whose involvement is periodic but substantial.</w:t>
      </w:r>
    </w:p>
    <w:p w:rsidR="00CC622D" w:rsidP="00CC622D">
      <w:pPr>
        <w:rPr>
          <w:rFonts w:ascii="Verdana" w:hAnsi="Verdana"/>
        </w:rPr>
      </w:pPr>
    </w:p>
    <w:p w:rsidR="00CC622D" w:rsidRPr="00CC622D" w:rsidP="00CC622D">
      <w:pPr>
        <w:rPr>
          <w:rFonts w:ascii="Verdana" w:hAnsi="Verdana"/>
        </w:rPr>
      </w:pPr>
      <w:r w:rsidRPr="00CC622D">
        <w:rPr>
          <w:rFonts w:ascii="Verdana" w:hAnsi="Verdana"/>
        </w:rPr>
        <w:t>11. What unintended consequences might arise?</w:t>
      </w:r>
    </w:p>
    <w:p w:rsidR="00CC622D" w:rsidRPr="00CC622D" w:rsidP="00CC622D">
      <w:pPr>
        <w:rPr>
          <w:rFonts w:ascii="Verdana" w:hAnsi="Verdana"/>
        </w:rPr>
      </w:pPr>
      <w:r w:rsidRPr="00CC622D">
        <w:rPr>
          <w:rFonts w:ascii="Verdana" w:hAnsi="Verdana"/>
        </w:rPr>
        <w:t>Risks include box-ticking behaviour, disproportionate impact on members with health conditions, and a cultural shift away from deliberation toward visibility.</w:t>
      </w:r>
    </w:p>
    <w:p w:rsidR="00CC622D" w:rsidP="00CC622D">
      <w:pPr>
        <w:rPr>
          <w:rFonts w:ascii="Verdana" w:hAnsi="Verdana"/>
        </w:rPr>
      </w:pPr>
    </w:p>
    <w:p w:rsidR="00CC622D" w:rsidRPr="00CC622D" w:rsidP="00CC622D">
      <w:pPr>
        <w:rPr>
          <w:rFonts w:ascii="Verdana" w:hAnsi="Verdana"/>
        </w:rPr>
      </w:pPr>
      <w:r w:rsidRPr="00CC622D">
        <w:rPr>
          <w:rFonts w:ascii="Verdana" w:hAnsi="Verdana"/>
        </w:rPr>
        <w:t>12. What evidence is there of the impact of participation requirements on public perception?</w:t>
      </w:r>
    </w:p>
    <w:p w:rsidR="00CC622D" w:rsidRPr="00CC622D" w:rsidP="00CC622D">
      <w:pPr>
        <w:rPr>
          <w:rFonts w:ascii="Verdana" w:hAnsi="Verdana"/>
        </w:rPr>
      </w:pPr>
      <w:r w:rsidRPr="00CC622D">
        <w:rPr>
          <w:rFonts w:ascii="Verdana" w:hAnsi="Verdana"/>
        </w:rPr>
        <w:t>Transparent and proportionate participation requirements are likely to improve public confidence if they are clearly linked to genuine engagement rather than simple attendance metrics.</w:t>
      </w:r>
    </w:p>
    <w:p w:rsidR="00CC622D" w:rsidP="00CC622D">
      <w:pPr>
        <w:rPr>
          <w:rFonts w:ascii="Verdana" w:hAnsi="Verdana"/>
        </w:rPr>
      </w:pPr>
    </w:p>
    <w:p w:rsidR="00CC622D" w:rsidRPr="00CC622D" w:rsidP="00CC622D">
      <w:pPr>
        <w:rPr>
          <w:rFonts w:ascii="Verdana" w:hAnsi="Verdana"/>
        </w:rPr>
      </w:pPr>
      <w:r w:rsidRPr="00CC622D">
        <w:rPr>
          <w:rFonts w:ascii="Verdana" w:hAnsi="Verdana"/>
        </w:rPr>
        <w:t>Implementation</w:t>
      </w:r>
    </w:p>
    <w:p w:rsidR="00CC622D" w:rsidRPr="00CC622D" w:rsidP="00CC622D">
      <w:pPr>
        <w:rPr>
          <w:rFonts w:ascii="Verdana" w:hAnsi="Verdana"/>
        </w:rPr>
      </w:pPr>
      <w:r w:rsidRPr="00CC622D">
        <w:rPr>
          <w:rFonts w:ascii="Verdana" w:hAnsi="Verdana"/>
        </w:rPr>
        <w:t>13. What are the options for implementing these reforms?</w:t>
      </w:r>
    </w:p>
    <w:p w:rsidR="00CC622D" w:rsidRPr="00CC622D" w:rsidP="00CC622D">
      <w:pPr>
        <w:rPr>
          <w:rFonts w:ascii="Verdana" w:hAnsi="Verdana"/>
        </w:rPr>
      </w:pPr>
      <w:r w:rsidRPr="00CC622D">
        <w:rPr>
          <w:rFonts w:ascii="Verdana" w:hAnsi="Verdana"/>
        </w:rPr>
        <w:t>Participation requirements could be introduced using rolling multi-year assessments with discretion. Retirement ages and fixed terms should be approached with caution and phased appropriately.</w:t>
      </w:r>
    </w:p>
    <w:p w:rsidR="00CC622D" w:rsidP="00CC622D">
      <w:pPr>
        <w:rPr>
          <w:rFonts w:ascii="Verdana" w:hAnsi="Verdana"/>
        </w:rPr>
      </w:pPr>
    </w:p>
    <w:p w:rsidR="00CC622D" w:rsidRPr="00CC622D" w:rsidP="00CC622D">
      <w:pPr>
        <w:rPr>
          <w:rFonts w:ascii="Verdana" w:hAnsi="Verdana"/>
        </w:rPr>
      </w:pPr>
      <w:r w:rsidRPr="00CC622D">
        <w:rPr>
          <w:rFonts w:ascii="Verdana" w:hAnsi="Verdana"/>
        </w:rPr>
        <w:t>14. What are the benefits and drawbacks of each approach?</w:t>
      </w:r>
    </w:p>
    <w:p w:rsidR="00CC622D" w:rsidRPr="00CC622D" w:rsidP="00CC622D">
      <w:pPr>
        <w:rPr>
          <w:rFonts w:ascii="Verdana" w:hAnsi="Verdana"/>
        </w:rPr>
      </w:pPr>
      <w:r w:rsidRPr="00CC622D">
        <w:rPr>
          <w:rFonts w:ascii="Verdana" w:hAnsi="Verdana"/>
        </w:rPr>
        <w:t>Participation requirements directly address inactivity while preserving independence. Mandatory retirement and fixed terms are administratively simple but constitutionally blunt and risk losing institutional knowledge.</w:t>
      </w:r>
    </w:p>
    <w:p w:rsidR="00CC622D" w:rsidP="00CC622D">
      <w:pPr>
        <w:rPr>
          <w:rFonts w:ascii="Verdana" w:hAnsi="Verdana"/>
        </w:rPr>
      </w:pPr>
    </w:p>
    <w:p w:rsidR="00CC622D" w:rsidRPr="00CC622D" w:rsidP="00CC622D">
      <w:pPr>
        <w:rPr>
          <w:rFonts w:ascii="Verdana" w:hAnsi="Verdana"/>
        </w:rPr>
      </w:pPr>
      <w:r w:rsidRPr="00CC622D">
        <w:rPr>
          <w:rFonts w:ascii="Verdana" w:hAnsi="Verdana"/>
        </w:rPr>
        <w:t>15. Does the House have the power to implement such changes?</w:t>
      </w:r>
    </w:p>
    <w:p w:rsidR="00CC622D" w:rsidRPr="00CC622D" w:rsidP="00CC622D">
      <w:pPr>
        <w:rPr>
          <w:rFonts w:ascii="Verdana" w:hAnsi="Verdana"/>
        </w:rPr>
      </w:pPr>
      <w:r w:rsidRPr="00CC622D">
        <w:rPr>
          <w:rFonts w:ascii="Verdana" w:hAnsi="Verdana"/>
        </w:rPr>
        <w:t>The House can regulate participation through its own procedures. Changes affecting tenure or retirement would require primary legislation.</w:t>
      </w:r>
    </w:p>
    <w:p w:rsidR="00CC622D" w:rsidP="00CC622D">
      <w:pPr>
        <w:rPr>
          <w:rFonts w:ascii="Verdana" w:hAnsi="Verdana"/>
        </w:rPr>
      </w:pPr>
    </w:p>
    <w:p w:rsidR="00CC622D" w:rsidRPr="00CC622D" w:rsidP="00CC622D">
      <w:pPr>
        <w:rPr>
          <w:rFonts w:ascii="Verdana" w:hAnsi="Verdana"/>
        </w:rPr>
      </w:pPr>
      <w:r w:rsidRPr="00CC622D">
        <w:rPr>
          <w:rFonts w:ascii="Verdana" w:hAnsi="Verdana"/>
        </w:rPr>
        <w:t>16. In what circumstances would transitional measures be appropriate?</w:t>
      </w:r>
    </w:p>
    <w:p w:rsidR="00CC622D" w:rsidRPr="00CC622D" w:rsidP="00CC622D">
      <w:pPr>
        <w:rPr>
          <w:rFonts w:ascii="Verdana" w:hAnsi="Verdana"/>
        </w:rPr>
      </w:pPr>
      <w:r w:rsidRPr="00CC622D">
        <w:rPr>
          <w:rFonts w:ascii="Verdana" w:hAnsi="Verdana"/>
        </w:rPr>
        <w:t xml:space="preserve">Transitional measures are essential </w:t>
      </w:r>
      <w:r w:rsidRPr="00CC622D">
        <w:rPr>
          <w:rFonts w:ascii="Verdana" w:hAnsi="Verdana"/>
        </w:rPr>
        <w:t>where</w:t>
      </w:r>
      <w:r w:rsidRPr="00CC622D">
        <w:rPr>
          <w:rFonts w:ascii="Verdana" w:hAnsi="Verdana"/>
        </w:rPr>
        <w:t xml:space="preserve"> reforms risk large-scale departures, loss of expertise, or disruption to committee work. Phased and compassionate implementation is critical to maintaining stability and continuity.</w:t>
      </w:r>
    </w:p>
    <w:p w:rsidR="00CC622D" w:rsidP="00CC622D">
      <w:pPr>
        <w:rPr>
          <w:rFonts w:ascii="Verdana" w:hAnsi="Verdana"/>
        </w:rPr>
      </w:pPr>
    </w:p>
    <w:p w:rsidR="00CC622D" w:rsidRPr="00CC622D" w:rsidP="00CC622D">
      <w:pPr>
        <w:rPr>
          <w:rFonts w:ascii="Verdana" w:hAnsi="Verdana"/>
        </w:rPr>
      </w:pPr>
      <w:r w:rsidRPr="00CC622D">
        <w:rPr>
          <w:rFonts w:ascii="Verdana" w:hAnsi="Verdana"/>
        </w:rPr>
        <w:t>Closing observation</w:t>
      </w:r>
    </w:p>
    <w:p w:rsidR="00CC622D" w:rsidRPr="00CC622D" w:rsidP="00CC622D">
      <w:pPr>
        <w:rPr>
          <w:rFonts w:ascii="Verdana" w:hAnsi="Verdana"/>
        </w:rPr>
      </w:pPr>
      <w:r w:rsidRPr="00CC622D">
        <w:rPr>
          <w:rFonts w:ascii="Verdana" w:hAnsi="Verdana"/>
        </w:rPr>
        <w:t>The authority of the House of Lords rests on service, independence, and contribution rather than age or tenure. Reform should therefore focus on enabling meaningful participation and addressing incapacity with dignity, rather than imposing arbitrary limits that risk weakening the House’s unique constitutional role.</w:t>
      </w:r>
    </w:p>
    <w:p w:rsidR="009C6132" w:rsidP="00CC622D">
      <w:pPr>
        <w:rPr>
          <w:rFonts w:ascii="Verdana" w:hAnsi="Verdana"/>
        </w:rPr>
      </w:pPr>
      <w:r w:rsidRPr="00CC622D">
        <w:rPr>
          <w:rFonts w:ascii="Verdana" w:hAnsi="Verdana"/>
        </w:rPr>
        <w:t>I would welcome the opportunity, should the Committee consider it helpful, to provide further information or clarification in confidence, including in person. There are aspects of lived experience relating to capacity, support, and participation that are difficult to capture fully in written evidence, but which may assist the Committee in its deliberations. END.</w:t>
      </w:r>
    </w:p>
    <w:p w:rsidR="00CC622D" w:rsidP="00CC622D">
      <w:pPr>
        <w:rPr>
          <w:rFonts w:ascii="Verdana" w:hAnsi="Verdana"/>
        </w:rPr>
      </w:pPr>
    </w:p>
    <w:p w:rsidR="00CC622D" w:rsidRPr="00CC622D" w:rsidP="00CC622D">
      <w:pPr>
        <w:rPr>
          <w:rFonts w:ascii="Verdana" w:hAnsi="Verdana"/>
          <w:i/>
          <w:iCs/>
        </w:rPr>
      </w:pPr>
      <w:r>
        <w:rPr>
          <w:rFonts w:ascii="Verdana" w:hAnsi="Verdana"/>
          <w:i/>
          <w:iCs/>
        </w:rPr>
        <w:t>Received 1 February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