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0C20" w:rsidRPr="002A0C20" w:rsidP="002A0C20">
      <w:pPr>
        <w:pStyle w:val="JPageTitle"/>
        <w:jc w:val="center"/>
        <w:rPr>
          <w:rFonts w:ascii="Calibri" w:hAnsi="Calibri" w:cs="Calibri"/>
          <w:b/>
          <w:bCs/>
          <w:kern w:val="0"/>
          <w:sz w:val="24"/>
          <w:szCs w:val="24"/>
        </w:rPr>
      </w:pPr>
      <w:r w:rsidRPr="002A0C20">
        <w:rPr>
          <w:rFonts w:ascii="Calibri" w:hAnsi="Calibri" w:cs="Calibri"/>
          <w:b/>
          <w:bCs/>
          <w:kern w:val="0"/>
          <w:sz w:val="24"/>
          <w:szCs w:val="24"/>
        </w:rPr>
        <w:t xml:space="preserve">WRITTEN EVIDENCE SUBMITTED BY </w:t>
      </w:r>
      <w:r w:rsidRPr="002A0C20">
        <w:rPr>
          <w:rFonts w:ascii="Calibri" w:hAnsi="Calibri" w:cs="Calibri"/>
          <w:b/>
          <w:bCs/>
          <w:kern w:val="0"/>
          <w:sz w:val="24"/>
          <w:szCs w:val="24"/>
        </w:rPr>
        <w:t>JUSTICE</w:t>
      </w:r>
    </w:p>
    <w:p w:rsidR="002A0C20" w:rsidRPr="002A0C20" w:rsidP="002A0C20">
      <w:pPr>
        <w:pStyle w:val="JSubtitle"/>
        <w:jc w:val="center"/>
        <w:rPr>
          <w:rFonts w:ascii="Calibri" w:hAnsi="Calibri" w:cs="Calibri"/>
          <w:b/>
          <w:sz w:val="24"/>
          <w:szCs w:val="24"/>
        </w:rPr>
      </w:pPr>
      <w:r w:rsidRPr="002A0C20">
        <w:rPr>
          <w:rFonts w:ascii="Calibri" w:hAnsi="Calibri" w:cs="Calibri"/>
          <w:b/>
          <w:sz w:val="24"/>
          <w:szCs w:val="24"/>
        </w:rPr>
        <w:t>(RAI008</w:t>
      </w:r>
      <w:r w:rsidRPr="002A0C20">
        <w:rPr>
          <w:rFonts w:ascii="Calibri" w:hAnsi="Calibri" w:cs="Calibri"/>
          <w:b/>
          <w:sz w:val="24"/>
          <w:szCs w:val="24"/>
        </w:rPr>
        <w:t>2</w:t>
      </w:r>
      <w:r w:rsidRPr="002A0C20">
        <w:rPr>
          <w:rFonts w:ascii="Calibri" w:hAnsi="Calibri" w:cs="Calibri"/>
          <w:b/>
          <w:sz w:val="24"/>
          <w:szCs w:val="24"/>
        </w:rPr>
        <w:t>)</w:t>
      </w:r>
    </w:p>
    <w:p w:rsidR="002A0C20" w:rsidRPr="002A0C20" w:rsidP="002A0C20">
      <w:pPr>
        <w:pStyle w:val="JSubtitle"/>
      </w:pPr>
    </w:p>
    <w:p w:rsidR="002A0C20" w:rsidP="006B39DD">
      <w:pPr>
        <w:pStyle w:val="JHeading1"/>
      </w:pPr>
      <w:r w:rsidRPr="00470089">
        <w:t>Q.</w:t>
      </w:r>
      <w:r w:rsidRPr="00470089">
        <w:tab/>
      </w:r>
      <w:r w:rsidRPr="00470089">
        <w:t>Is the Government’s AI opportunity action plan, consistent with the Council of Europe’s framework convention?</w:t>
      </w:r>
    </w:p>
    <w:p w:rsidR="002A0C20" w:rsidP="006B39DD">
      <w:pPr>
        <w:pStyle w:val="JLevel1"/>
      </w:pPr>
      <w:r>
        <w:t>In my oral evidence, I made the following two points in answer to the above question, expressing concern about incompatibility.</w:t>
      </w:r>
    </w:p>
    <w:p w:rsidR="002A0C20" w:rsidP="006B39DD">
      <w:pPr>
        <w:pStyle w:val="JLevel1"/>
        <w:numPr>
          <w:ilvl w:val="2"/>
          <w:numId w:val="1"/>
        </w:numPr>
      </w:pPr>
      <w:r>
        <w:t>The action plan is an industrial strategy for AI. It seeks to encourage rapid scaling of AI in public services, to boost productivity, improve experiences, and encourage private sector adoption. It recommends a “scan, pilot, scale” approach, and there is little consideration of AI in fact worsening public services, not delivering efficiencies, or leading to harm when integrated into public services. The Framework Convention is more balanced, identifying both the potential for AI to bring improvements and pr</w:t>
      </w:r>
      <w:r>
        <w:t xml:space="preserve">osperity, as well as harms to human rights, democracy and the rule of law. Its Chapter V on risk and impact management clearly identifies more obligations to monitor impact iteratively throughout the lifecycle on an ongoing basis, than a “scan pilot scale” approach does at first blush. </w:t>
      </w:r>
    </w:p>
    <w:p w:rsidR="002A0C20" w:rsidP="006B39DD">
      <w:pPr>
        <w:pStyle w:val="JLevel1"/>
        <w:numPr>
          <w:ilvl w:val="2"/>
          <w:numId w:val="1"/>
        </w:numPr>
      </w:pPr>
      <w:r>
        <w:t>There is an implicit hierarchy in the Action plan, which prioritises growth over human rights in section 1.4: “Government must protect UK citizens from the most significant risks presented by AI and foster public trust in the technology, particularly considering the interests of marginalised groups. That said, we must do this without blocking the path towards AI’s transformative potential.” Firstly, of course human rights are for all humans, not just UK citizens, and it is important to recognise the State’s</w:t>
      </w:r>
      <w:r>
        <w:t xml:space="preserve"> obligation to protect all humans from human rights infringements caused by AI used by public bodies. Secondly, the implication that safeguards must not block the path of growth implies a subsidiarity of human rights to growth which is not in the Framework Convention, unsurprisingly. JUSTICE considers human rights protections and AI-based growth can go hand in hand, an approach we consider to be in line with the Convention.</w:t>
      </w:r>
    </w:p>
    <w:p w:rsidR="002A0C20" w:rsidP="006B39DD">
      <w:pPr>
        <w:pStyle w:val="JLevel1"/>
      </w:pPr>
      <w:r>
        <w:t xml:space="preserve">Our submission to the Committee’s inquiry is </w:t>
      </w:r>
      <w:r w:rsidRPr="00ED6810">
        <w:t>not</w:t>
      </w:r>
      <w:r w:rsidRPr="00CE2751">
        <w:rPr>
          <w:b/>
          <w:bCs/>
        </w:rPr>
        <w:t xml:space="preserve"> </w:t>
      </w:r>
      <w:r>
        <w:t xml:space="preserve">that the two documents are fatally or inevitably incompatible. They are, after all, both only high-level documents. Rather that they are speaking two different languages – one of human rights and protection, and one of pace, growth and power. The risk is therefore </w:t>
      </w:r>
      <w:r w:rsidRPr="00C04CB5">
        <w:t xml:space="preserve">in </w:t>
      </w:r>
      <w:r w:rsidRPr="00CE2751">
        <w:rPr>
          <w:i/>
          <w:iCs/>
        </w:rPr>
        <w:t>their being interpreted and delivered incompatibly</w:t>
      </w:r>
      <w:r w:rsidRPr="00C04CB5">
        <w:t>,</w:t>
      </w:r>
      <w:r>
        <w:t xml:space="preserve"> so that when we decide to ratify the Framework Convention, those in charge of implementing it are confronted with incompatibilities which have arisen in the implementation of the action pl</w:t>
      </w:r>
      <w:r>
        <w:t xml:space="preserve">an. Compatibility is </w:t>
      </w:r>
      <w:r>
        <w:t>possible, but</w:t>
      </w:r>
      <w:r>
        <w:t xml:space="preserve"> must be achieved by delivering the “scan pilot scale” approach in the public sector in a way which reliably integrates </w:t>
      </w:r>
      <w:r w:rsidRPr="008A1378">
        <w:t xml:space="preserve">identification, assessment, prevention and mitigation of risks posed by </w:t>
      </w:r>
      <w:r>
        <w:t>AI to</w:t>
      </w:r>
      <w:r w:rsidRPr="008A1378">
        <w:t xml:space="preserve"> human rights, democracy and the rule of la</w:t>
      </w:r>
      <w:r>
        <w:t>w. This means ensuring public sector decision-makers are empowered to scrutinise AI integration into their services, and decide at any stage - be it scan, pilot, scale stage, or afterwards - that AI poses unacceptable risks which cannot b</w:t>
      </w:r>
      <w:r>
        <w:t xml:space="preserve">e justified, and therefore choose not to integrate, or to </w:t>
      </w:r>
      <w:r>
        <w:t xml:space="preserve">discontinue, the deployment of AI in that context. </w:t>
      </w:r>
      <w:r>
        <w:t>So</w:t>
      </w:r>
      <w:r>
        <w:t xml:space="preserve"> a “scan, pilot, scale,</w:t>
      </w:r>
      <w:r w:rsidRPr="00CE2751">
        <w:rPr>
          <w:b/>
          <w:bCs/>
        </w:rPr>
        <w:t xml:space="preserve"> + </w:t>
      </w:r>
      <w:r w:rsidRPr="00CE2751">
        <w:rPr>
          <w:b/>
          <w:bCs/>
          <w:i/>
          <w:iCs/>
        </w:rPr>
        <w:t>monitor, be willing to stop</w:t>
      </w:r>
      <w:r>
        <w:t xml:space="preserve">” approach. </w:t>
      </w:r>
    </w:p>
    <w:p w:rsidR="002A0C20" w:rsidP="006B39DD">
      <w:pPr>
        <w:pStyle w:val="JLevel1"/>
        <w:numPr>
          <w:ilvl w:val="0"/>
          <w:numId w:val="0"/>
        </w:numPr>
      </w:pPr>
    </w:p>
    <w:p w:rsidR="002A0C20" w:rsidRPr="00F97BA5" w:rsidP="006B39DD">
      <w:pPr>
        <w:pStyle w:val="JHeading1"/>
      </w:pPr>
      <w:r w:rsidRPr="002A156C">
        <w:t xml:space="preserve">Q: Private actor liability for human rights breaches – </w:t>
      </w:r>
      <w:r>
        <w:t xml:space="preserve">is </w:t>
      </w:r>
      <w:r w:rsidRPr="002A156C">
        <w:t>existing liability enough or do we need more?</w:t>
      </w:r>
      <w:r>
        <w:t xml:space="preserve"> </w:t>
      </w:r>
    </w:p>
    <w:p w:rsidR="002A0C20" w:rsidRPr="00D61AFB" w:rsidP="006B39DD">
      <w:pPr>
        <w:pStyle w:val="JLevel1"/>
      </w:pPr>
      <w:r>
        <w:t>JUSTICE’s</w:t>
      </w:r>
      <w:r w:rsidRPr="00714AD3">
        <w:t xml:space="preserve"> 2024 report </w:t>
      </w:r>
      <w:r w:rsidRPr="008062FC">
        <w:rPr>
          <w:i/>
          <w:iCs/>
        </w:rPr>
        <w:t>‘</w:t>
      </w:r>
      <w:r>
        <w:fldChar w:fldCharType="begin"/>
      </w:r>
      <w:r>
        <w:instrText xml:space="preserve"> HYPERLINK "https://files.justice.org.uk/wp-content/uploads/2024/06/11102728/Beyond-the-Blame-Game-JUSTICE-Report-June-2024.pdf" </w:instrText>
      </w:r>
      <w:r>
        <w:fldChar w:fldCharType="separate"/>
      </w:r>
      <w:r w:rsidRPr="00D61AFB">
        <w:rPr>
          <w:rStyle w:val="Hyperlink"/>
        </w:rPr>
        <w:t>Beyond the Blame Game: a responsible and rights-centred approach to government contracting</w:t>
      </w:r>
      <w:r>
        <w:fldChar w:fldCharType="end"/>
      </w:r>
      <w:r w:rsidRPr="00D61AFB">
        <w:t>’ found a concerning lack of human rights protection in government contracting practices with the private sector.</w:t>
      </w:r>
    </w:p>
    <w:p w:rsidR="002A0C20" w:rsidRPr="00D61AFB" w:rsidP="006B39DD">
      <w:pPr>
        <w:pStyle w:val="JLevel1"/>
      </w:pPr>
      <w:r w:rsidRPr="00D61AFB">
        <w:t>This is a critical area to get right since it was estimated in 2019 that one third of all public spending – around £300bn a year – is spent buying goods and services from outside government.</w:t>
      </w:r>
      <w:r>
        <w:rPr>
          <w:vertAlign w:val="superscript"/>
        </w:rPr>
        <w:footnoteReference w:id="2"/>
      </w:r>
      <w:r w:rsidRPr="00D61AFB">
        <w:t xml:space="preserve"> With increasing implementation of AI in public services, this will only increase.</w:t>
      </w:r>
    </w:p>
    <w:p w:rsidR="002A0C20" w:rsidRPr="00D61AFB" w:rsidP="006B39DD">
      <w:pPr>
        <w:pStyle w:val="JLevel1"/>
      </w:pPr>
      <w:r w:rsidRPr="00D61AFB">
        <w:t>Our report was not directly in response to AI procurement, but rather the wider issue of rights-impacting services being procured or otherwise contracted by the government, and the extent to which human rights were going under-considered in the contracts themselves. This was in response to incidents of uncovered human rights abuses by private actors delivering public functions – such as those of G4S officers using unreasonable force at Brook House Immigration Removal Centre, exposed by a Panorama investigat</w:t>
      </w:r>
      <w:r w:rsidRPr="00D61AFB">
        <w:t>ion and subject to the</w:t>
      </w:r>
      <w:r w:rsidRPr="00D61AFB">
        <w:rPr>
          <w:i/>
          <w:iCs/>
        </w:rPr>
        <w:t xml:space="preserve"> </w:t>
      </w:r>
      <w:r>
        <w:fldChar w:fldCharType="begin"/>
      </w:r>
      <w:r>
        <w:instrText xml:space="preserve"> HYPERLINK "https://assets.publishing.service.gov.uk/media/650964844cd3c3000d68cc65/11199-HHG-BHI-Vol_I_Brook_House_Inquiry_Vol_I_ACCESSIBLE__1_.pdf" </w:instrText>
      </w:r>
      <w:r>
        <w:fldChar w:fldCharType="separate"/>
      </w:r>
      <w:r w:rsidRPr="00D61AFB">
        <w:rPr>
          <w:rStyle w:val="Hyperlink"/>
          <w:i/>
          <w:iCs/>
        </w:rPr>
        <w:t>Brook House Inquiry</w:t>
      </w:r>
      <w:r>
        <w:fldChar w:fldCharType="end"/>
      </w:r>
      <w:r w:rsidRPr="00D61AFB">
        <w:rPr>
          <w:i/>
          <w:iCs/>
        </w:rPr>
        <w:t xml:space="preserve">. </w:t>
      </w:r>
      <w:r w:rsidRPr="00D61AFB">
        <w:t>Despite the clear relevance of human rights to the running of a detention centre, the Brook House Inquiry found that the contract</w:t>
      </w:r>
      <w:r w:rsidRPr="00D61AFB">
        <w:rPr>
          <w:i/>
          <w:iCs/>
        </w:rPr>
        <w:t xml:space="preserve"> ‘emphasised security over care’ </w:t>
      </w:r>
      <w:r w:rsidRPr="00D61AFB">
        <w:t>where the</w:t>
      </w:r>
      <w:r w:rsidRPr="00D61AFB">
        <w:rPr>
          <w:i/>
          <w:iCs/>
        </w:rPr>
        <w:t xml:space="preserve"> ‘financial penalty for an escape was penalised at three times that of a death in detention from self-harm involving a failure in procedures’.</w:t>
      </w:r>
      <w:r>
        <w:rPr>
          <w:b/>
          <w:bCs/>
          <w:i/>
          <w:iCs/>
          <w:vertAlign w:val="superscript"/>
        </w:rPr>
        <w:footnoteReference w:id="3"/>
      </w:r>
      <w:r w:rsidRPr="00D61AFB">
        <w:rPr>
          <w:b/>
          <w:bCs/>
          <w:i/>
          <w:iCs/>
        </w:rPr>
        <w:t xml:space="preserve"> </w:t>
      </w:r>
      <w:r w:rsidRPr="00D61AFB">
        <w:t>When the Home Office and G4S analysed 84 separate incidents in the Panorama documentary – most didn’t depict failings against the letter of the contract and in total only total service credit penalty for the incidents documented was £2,768.00 (or 0.5% of G4S’ monthly fee).</w:t>
      </w:r>
      <w:r>
        <w:rPr>
          <w:vertAlign w:val="superscript"/>
        </w:rPr>
        <w:footnoteReference w:id="4"/>
      </w:r>
    </w:p>
    <w:p w:rsidR="002A0C20" w:rsidRPr="00D61AFB" w:rsidP="006B39DD">
      <w:pPr>
        <w:pStyle w:val="JLevel1"/>
      </w:pPr>
      <w:r w:rsidRPr="00D61AFB">
        <w:t>Our report recommended the following changes to help create a responsible, rights-centred approach to government contracting, which we think are equally applicable in AI government contracting:</w:t>
      </w:r>
    </w:p>
    <w:p w:rsidR="002A0C20" w:rsidRPr="00D61AFB" w:rsidP="006B39DD">
      <w:pPr>
        <w:pStyle w:val="JLevel1"/>
        <w:numPr>
          <w:ilvl w:val="2"/>
          <w:numId w:val="1"/>
        </w:numPr>
      </w:pPr>
      <w:r w:rsidRPr="00D61AFB">
        <w:rPr>
          <w:b/>
          <w:bCs/>
        </w:rPr>
        <w:t>Increase Early Engagement </w:t>
      </w:r>
      <w:r w:rsidRPr="00D61AFB">
        <w:t xml:space="preserve">to better assess services and the possible problems/ solutions. Individual service users should be consulted </w:t>
      </w:r>
      <w:r w:rsidRPr="00D61AFB">
        <w:t>beforehand</w:t>
      </w:r>
      <w:r w:rsidRPr="00D61AFB">
        <w:t xml:space="preserve"> and an early Rights Impact Assessment should assess the potential risk of individual rights breaches.  </w:t>
      </w:r>
    </w:p>
    <w:p w:rsidR="002A0C20" w:rsidRPr="00D61AFB" w:rsidP="006B39DD">
      <w:pPr>
        <w:pStyle w:val="JLevel1"/>
        <w:numPr>
          <w:ilvl w:val="2"/>
          <w:numId w:val="1"/>
        </w:numPr>
      </w:pPr>
      <w:r w:rsidRPr="00D61AFB">
        <w:rPr>
          <w:b/>
          <w:bCs/>
        </w:rPr>
        <w:t>Emphasise value during procurement</w:t>
      </w:r>
      <w:r w:rsidRPr="00D61AFB">
        <w:t>, which must be understood to include the rights protection of (often vulnerable) service users, and the risk of unintended costs to individuals and the public authority if things go wrong.  </w:t>
      </w:r>
    </w:p>
    <w:p w:rsidR="002A0C20" w:rsidRPr="00D61AFB" w:rsidP="006B39DD">
      <w:pPr>
        <w:pStyle w:val="JLevel1"/>
        <w:numPr>
          <w:ilvl w:val="3"/>
          <w:numId w:val="1"/>
        </w:numPr>
      </w:pPr>
      <w:r w:rsidRPr="00D61AFB">
        <w:t>Value should be emphasised in Most Advantageous Tender regulations and guidance, </w:t>
      </w:r>
      <w:r w:rsidRPr="00D61AFB">
        <w:rPr>
          <w:b/>
          <w:bCs/>
        </w:rPr>
        <w:t>a recommended new Procurement Policy Note on “Protecting Individual Rights”</w:t>
      </w:r>
      <w:r w:rsidRPr="00D61AFB">
        <w:t>,</w:t>
      </w:r>
      <w:r w:rsidRPr="00D61AFB">
        <w:rPr>
          <w:b/>
          <w:bCs/>
        </w:rPr>
        <w:t> </w:t>
      </w:r>
      <w:r w:rsidRPr="00D61AFB">
        <w:t>and consideration should be given to excluding providers who commit serious rights breaches</w:t>
      </w:r>
    </w:p>
    <w:p w:rsidR="002A0C20" w:rsidRPr="00D61AFB" w:rsidP="006B39DD">
      <w:pPr>
        <w:pStyle w:val="JLevel1"/>
        <w:numPr>
          <w:ilvl w:val="3"/>
          <w:numId w:val="1"/>
        </w:numPr>
      </w:pPr>
      <w:r w:rsidRPr="00D61AFB">
        <w:t>If a tender process does not reveal a bidder which can meet the basic legal standards for individual rights required, then the public authority should not award the contract.</w:t>
      </w:r>
      <w:r w:rsidRPr="00D61AFB">
        <w:rPr>
          <w:rFonts w:ascii="Times New Roman" w:hAnsi="Times New Roman" w:cs="Times New Roman"/>
          <w:b/>
          <w:bCs/>
        </w:rPr>
        <w:t>‍</w:t>
      </w:r>
    </w:p>
    <w:p w:rsidR="002A0C20" w:rsidRPr="00D61AFB" w:rsidP="006B39DD">
      <w:pPr>
        <w:pStyle w:val="JLevel1"/>
        <w:numPr>
          <w:ilvl w:val="2"/>
          <w:numId w:val="1"/>
        </w:numPr>
      </w:pPr>
      <w:r w:rsidRPr="00D61AFB">
        <w:rPr>
          <w:b/>
          <w:bCs/>
        </w:rPr>
        <w:t>Better use of the contract to protect rights. </w:t>
      </w:r>
      <w:r w:rsidRPr="00D61AFB">
        <w:t>Serious rights breaches should lead to proper penalties in the contract. A new Individual Rights Focused Model Contract Guidance should provide model provisions on protecting rights. Outsourced assessments must have a written contract, with clear protections for individuals.  </w:t>
      </w:r>
      <w:r w:rsidRPr="00D61AFB">
        <w:rPr>
          <w:rFonts w:ascii="Times New Roman" w:hAnsi="Times New Roman" w:cs="Times New Roman"/>
          <w:b/>
          <w:bCs/>
        </w:rPr>
        <w:t>‍</w:t>
      </w:r>
    </w:p>
    <w:p w:rsidR="002A0C20" w:rsidRPr="00D61AFB" w:rsidP="006B39DD">
      <w:pPr>
        <w:pStyle w:val="JLevel1"/>
        <w:numPr>
          <w:ilvl w:val="2"/>
          <w:numId w:val="1"/>
        </w:numPr>
      </w:pPr>
      <w:r w:rsidRPr="00D61AFB">
        <w:rPr>
          <w:b/>
          <w:bCs/>
        </w:rPr>
        <w:t>Pro-active contract management and oversight.</w:t>
      </w:r>
      <w:r w:rsidRPr="00D61AFB">
        <w:t> There should be more independent auditing, greater use of independent oversight bodies (such as inspectorates and ombudsman) and central government oversight of local government contracting.  </w:t>
      </w:r>
      <w:r w:rsidRPr="00D61AFB">
        <w:rPr>
          <w:rFonts w:ascii="Times New Roman" w:hAnsi="Times New Roman" w:cs="Times New Roman"/>
          <w:b/>
          <w:bCs/>
        </w:rPr>
        <w:t>‍</w:t>
      </w:r>
    </w:p>
    <w:p w:rsidR="002A0C20" w:rsidRPr="00D61AFB" w:rsidP="006B39DD">
      <w:pPr>
        <w:pStyle w:val="JLevel1"/>
        <w:numPr>
          <w:ilvl w:val="2"/>
          <w:numId w:val="1"/>
        </w:numPr>
      </w:pPr>
      <w:r w:rsidRPr="00D61AFB">
        <w:rPr>
          <w:b/>
          <w:bCs/>
        </w:rPr>
        <w:t>Improve transparency and accountability</w:t>
      </w:r>
      <w:r w:rsidRPr="00D61AFB">
        <w:t xml:space="preserve">: </w:t>
      </w:r>
    </w:p>
    <w:p w:rsidR="002A0C20" w:rsidRPr="00D61AFB" w:rsidP="006B39DD">
      <w:pPr>
        <w:pStyle w:val="JLevel1"/>
        <w:numPr>
          <w:ilvl w:val="3"/>
          <w:numId w:val="1"/>
        </w:numPr>
      </w:pPr>
      <w:r w:rsidRPr="00D61AFB">
        <w:t xml:space="preserve">We have recommended that there should be published information about performance of medium and high-risk services, reform of Freedom of Information law to ensure contracts are published and not excessively redacted, individuals should be given information on how to challenge decisions and access independent oversight bodies. </w:t>
      </w:r>
    </w:p>
    <w:p w:rsidR="002A0C20" w:rsidRPr="00D61AFB" w:rsidP="006B39DD">
      <w:pPr>
        <w:pStyle w:val="JLevel1"/>
        <w:numPr>
          <w:ilvl w:val="3"/>
          <w:numId w:val="1"/>
        </w:numPr>
      </w:pPr>
      <w:r w:rsidRPr="00D61AFB">
        <w:t>Regarding the discretionary exclusion ground for poor performance in the Procurement Act 2023,</w:t>
      </w:r>
      <w:r>
        <w:rPr>
          <w:vertAlign w:val="superscript"/>
        </w:rPr>
        <w:footnoteReference w:id="5"/>
      </w:r>
      <w:r w:rsidRPr="00D61AFB">
        <w:t xml:space="preserve"> subsequent regulations and/or policy on the power should make clear this includes serious breaches of individual rights. Government procurement rules in New Zealand, for example, make clear that an agency can exclude a supplier from a contract opportunity for ‘human rights violations by the supplier or in the supplier’s supply chain.</w:t>
      </w:r>
      <w:r>
        <w:rPr>
          <w:vertAlign w:val="superscript"/>
        </w:rPr>
        <w:footnoteReference w:id="6"/>
      </w:r>
    </w:p>
    <w:p w:rsidR="002A0C20" w:rsidP="006B39DD">
      <w:pPr>
        <w:pStyle w:val="JLevel1"/>
      </w:pPr>
      <w:r w:rsidRPr="00D61AFB">
        <w:t xml:space="preserve">Finally, the Committee </w:t>
      </w:r>
      <w:r w:rsidRPr="00D61AFB">
        <w:t>is well aware that</w:t>
      </w:r>
      <w:r w:rsidRPr="00D61AFB">
        <w:t xml:space="preserve">, even when private sector actors are undertaking public functions, gaps still emerge in their liability under the Human Rights Act 1998. This is due to the definition of ‘public authority’ in section 6 (3) HRA having been narrowly interpreted by the courts since YL v Birmingham City Council [2007] UKHL 27. Successive Governments have legislated to address this accountability gap for publicly funded care, such as section 73 of the Care Act 2014. Of course, most recently, the Committee has </w:t>
      </w:r>
      <w:r w:rsidRPr="00D61AFB">
        <w:t xml:space="preserve">reported on the Mental Health Bill and supported an amendment to close the gap for mental health patients in state commissioned but privately provided care, which emerged in the case of Sammut &amp; Ors v Next Steps Mental Healthcare Ltd &amp; Anor [2024] and on which JUSTICE </w:t>
      </w:r>
      <w:r>
        <w:fldChar w:fldCharType="begin"/>
      </w:r>
      <w:r>
        <w:instrText xml:space="preserve"> HYPERLINK "https://www.justice.org.uk/briefings/mental-health-bill-2025" </w:instrText>
      </w:r>
      <w:r>
        <w:fldChar w:fldCharType="separate"/>
      </w:r>
      <w:r w:rsidRPr="00D61AFB">
        <w:rPr>
          <w:rStyle w:val="Hyperlink"/>
        </w:rPr>
        <w:t>briefed Parliament in support of the amendment</w:t>
      </w:r>
      <w:r>
        <w:fldChar w:fldCharType="end"/>
      </w:r>
      <w:r w:rsidRPr="00D61AFB">
        <w:t xml:space="preserve">. JUSTICE observes that the Committee’s </w:t>
      </w:r>
      <w:r>
        <w:fldChar w:fldCharType="begin"/>
      </w:r>
      <w:r>
        <w:instrText xml:space="preserve"> HYPERLINK "https://committees.parliament.uk/publications/48754/documents/255497/default/" </w:instrText>
      </w:r>
      <w:r>
        <w:fldChar w:fldCharType="separate"/>
      </w:r>
      <w:r w:rsidRPr="00D61AFB">
        <w:rPr>
          <w:rStyle w:val="Hyperlink"/>
        </w:rPr>
        <w:t>recommendation</w:t>
      </w:r>
      <w:r>
        <w:fldChar w:fldCharType="end"/>
      </w:r>
      <w:r w:rsidRPr="00D61AFB">
        <w:t xml:space="preserve"> during this year’s Mental Health Bill – that the Government “</w:t>
      </w:r>
      <w:r w:rsidRPr="00D61AFB">
        <w:rPr>
          <w:i/>
          <w:iCs/>
        </w:rPr>
        <w:t>should also consider carrying out a wider review of the scope of the terms “public authority” and “functions of a public nature” in section 6 HRA to address any other similar and unjustified human rights protection gaps that may exist</w:t>
      </w:r>
      <w:r w:rsidRPr="00D61AFB">
        <w:t>” is one which has ongoing relevance to the current inquiry</w:t>
      </w:r>
      <w:r>
        <w:t xml:space="preserve"> on AI</w:t>
      </w:r>
      <w:r w:rsidRPr="00D61AFB">
        <w:t xml:space="preserve">. The task of understanding what public functions </w:t>
      </w:r>
      <w:r w:rsidRPr="00D61AFB">
        <w:t>are</w:t>
      </w:r>
      <w:r w:rsidRPr="00D61AFB">
        <w:t xml:space="preserve"> being carried out by AI providers, and </w:t>
      </w:r>
      <w:r w:rsidRPr="00D61AFB">
        <w:t>the extent to which any gaps are emerging</w:t>
      </w:r>
      <w:r>
        <w:t xml:space="preserve"> in human rights protection under section 6 HRA</w:t>
      </w:r>
      <w:r w:rsidRPr="00D61AFB">
        <w:t xml:space="preserve">, will be an important ongoing one. </w:t>
      </w:r>
    </w:p>
    <w:p w:rsidR="002A0C20" w:rsidRPr="002A0C20" w:rsidP="002A0C20">
      <w:pPr>
        <w:pStyle w:val="JLevel1"/>
        <w:numPr>
          <w:ilvl w:val="0"/>
          <w:numId w:val="0"/>
        </w:numPr>
        <w:ind w:left="567" w:hanging="567"/>
        <w:rPr>
          <w:rFonts w:ascii="Calibri" w:hAnsi="Calibri" w:cs="Calibri"/>
          <w:b/>
          <w:bCs/>
          <w:i/>
          <w:iCs/>
          <w:sz w:val="24"/>
          <w:szCs w:val="24"/>
        </w:rPr>
      </w:pPr>
      <w:r w:rsidRPr="002A0C20">
        <w:rPr>
          <w:rFonts w:ascii="Calibri" w:hAnsi="Calibri" w:cs="Calibri"/>
          <w:b/>
          <w:bCs/>
          <w:i/>
          <w:iCs/>
          <w:sz w:val="24"/>
          <w:szCs w:val="24"/>
        </w:rPr>
        <w:t>(</w:t>
      </w:r>
      <w:r w:rsidRPr="002A0C20">
        <w:rPr>
          <w:rFonts w:ascii="Calibri" w:hAnsi="Calibri" w:cs="Calibri"/>
          <w:b/>
          <w:bCs/>
          <w:i/>
          <w:iCs/>
          <w:sz w:val="24"/>
          <w:szCs w:val="24"/>
        </w:rPr>
        <w:t>Dec 2025</w:t>
      </w:r>
      <w:r w:rsidRPr="002A0C20">
        <w:rPr>
          <w:rFonts w:ascii="Calibri" w:hAnsi="Calibri" w:cs="Calibri"/>
          <w:b/>
          <w:bCs/>
          <w:i/>
          <w:iCs/>
          <w:sz w:val="24"/>
          <w:szCs w:val="24"/>
        </w:rPr>
        <w:t>)</w:t>
      </w:r>
    </w:p>
    <w:p w:rsidR="002A0C20"/>
    <w:sectPr w:rsidSect="006B39DD">
      <w:headerReference w:type="default" r:id="rId5"/>
      <w:footerReference w:type="default" r:id="rId6"/>
      <w:headerReference w:type="first" r:id="rId7"/>
      <w:footerReference w:type="first" r:id="rId8"/>
      <w:pgSz w:w="11906" w:h="16838" w:code="9"/>
      <w:pgMar w:top="2268" w:right="964" w:bottom="964" w:left="964" w:header="720"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chivo">
    <w:altName w:val="Calibri"/>
    <w:charset w:val="00"/>
    <w:family w:val="auto"/>
    <w:pitch w:val="variable"/>
    <w:sig w:usb0="A00000FF" w:usb1="500020EB" w:usb2="00000008" w:usb3="00000000" w:csb0="00000193"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IvyPresto Display SemiBold">
    <w:altName w:val="Calibri"/>
    <w:charset w:val="00"/>
    <w:family w:val="auto"/>
    <w:pitch w:val="variable"/>
    <w:sig w:usb0="A00002EF" w:usb1="4000E07B" w:usb2="00000008" w:usb3="00000000" w:csb0="0000009F" w:csb1="00000000"/>
  </w:font>
  <w:font w:name="Poppins SemiBold">
    <w:charset w:val="00"/>
    <w:family w:val="auto"/>
    <w:pitch w:val="variable"/>
    <w:sig w:usb0="00008007" w:usb1="00000000" w:usb2="00000000" w:usb3="00000000" w:csb0="00000093" w:csb1="00000000"/>
  </w:font>
  <w:font w:name="Archivo Medium">
    <w:altName w:val="Calibri"/>
    <w:charset w:val="00"/>
    <w:family w:val="auto"/>
    <w:pitch w:val="variable"/>
    <w:sig w:usb0="A00000FF" w:usb1="500020EB" w:usb2="00000008" w:usb3="00000000" w:csb0="00000193" w:csb1="00000000"/>
  </w:font>
  <w:font w:name="Inter">
    <w:altName w:val="Calibri"/>
    <w:charset w:val="00"/>
    <w:family w:val="auto"/>
    <w:pitch w:val="variable"/>
    <w:sig w:usb0="E00002FF" w:usb1="1200A1FF" w:usb2="00000000" w:usb3="00000000" w:csb0="0000019F" w:csb1="00000000"/>
  </w:font>
  <w:font w:name="Archivo Light">
    <w:altName w:val="Calibri"/>
    <w:charset w:val="00"/>
    <w:family w:val="auto"/>
    <w:pitch w:val="variable"/>
    <w:sig w:usb0="A00000FF" w:usb1="500020EB" w:usb2="00000008" w:usb3="00000000" w:csb0="00000193"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il"/>
        <w:left w:val="nil"/>
        <w:bottom w:val="nil"/>
        <w:right w:val="nil"/>
        <w:insideH w:val="nil"/>
        <w:insideV w:val="nil"/>
      </w:tblBorders>
      <w:tblLook w:val="04A0"/>
    </w:tblPr>
    <w:tblGrid>
      <w:gridCol w:w="3209"/>
      <w:gridCol w:w="3209"/>
      <w:gridCol w:w="3210"/>
    </w:tblGrid>
    <w:tr>
      <w:tblPrEx>
        <w:tblW w:w="0" w:type="auto"/>
        <w:tblBorders>
          <w:top w:val="nil"/>
          <w:left w:val="nil"/>
          <w:bottom w:val="nil"/>
          <w:right w:val="nil"/>
          <w:insideH w:val="nil"/>
          <w:insideV w:val="nil"/>
        </w:tblBorders>
        <w:tblLook w:val="04A0"/>
      </w:tblPrEx>
      <w:tc>
        <w:tcPr>
          <w:tcW w:w="9628" w:type="dxa"/>
          <w:gridSpan w:val="3"/>
        </w:tcPr>
        <w:p w:rsidR="002A0C20" w:rsidRPr="00172A98" w:rsidP="00C37DB7">
          <w:pPr>
            <w:pStyle w:val="Footer"/>
          </w:pPr>
        </w:p>
      </w:tc>
    </w:tr>
    <w:tr>
      <w:tblPrEx>
        <w:tblW w:w="0" w:type="auto"/>
        <w:tblLook w:val="04A0"/>
      </w:tblPrEx>
      <w:tc>
        <w:tcPr>
          <w:tcW w:w="3209" w:type="dxa"/>
        </w:tcPr>
        <w:p w:rsidR="002A0C20" w:rsidRPr="00172A98" w:rsidP="00C37DB7">
          <w:pPr>
            <w:pStyle w:val="Footer"/>
          </w:pPr>
        </w:p>
      </w:tc>
      <w:tc>
        <w:tcPr>
          <w:tcW w:w="3209" w:type="dxa"/>
        </w:tcPr>
        <w:p w:rsidR="002A0C20" w:rsidRPr="00172A98"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rsidR="002A0C20" w:rsidRPr="00172A98" w:rsidP="00C37DB7">
          <w:pPr>
            <w:pStyle w:val="Footer"/>
          </w:pPr>
        </w:p>
      </w:tc>
    </w:tr>
  </w:tbl>
  <w:p w:rsidR="002A0C20" w:rsidRPr="00172A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il"/>
        <w:left w:val="nil"/>
        <w:bottom w:val="nil"/>
        <w:right w:val="nil"/>
        <w:insideH w:val="nil"/>
        <w:insideV w:val="nil"/>
      </w:tblBorders>
      <w:tblLook w:val="04A0"/>
    </w:tblPr>
    <w:tblGrid>
      <w:gridCol w:w="3209"/>
      <w:gridCol w:w="3209"/>
      <w:gridCol w:w="3210"/>
    </w:tblGrid>
    <w:tr>
      <w:tblPrEx>
        <w:tblW w:w="0" w:type="auto"/>
        <w:tblBorders>
          <w:top w:val="nil"/>
          <w:left w:val="nil"/>
          <w:bottom w:val="nil"/>
          <w:right w:val="nil"/>
          <w:insideH w:val="nil"/>
          <w:insideV w:val="nil"/>
        </w:tblBorders>
        <w:tblLook w:val="04A0"/>
      </w:tblPrEx>
      <w:tc>
        <w:tcPr>
          <w:tcW w:w="9628" w:type="dxa"/>
          <w:gridSpan w:val="3"/>
        </w:tcPr>
        <w:p w:rsidR="002A0C20" w:rsidRPr="00172A98" w:rsidP="00C37DB7">
          <w:pPr>
            <w:pStyle w:val="Footer"/>
          </w:pPr>
        </w:p>
      </w:tc>
    </w:tr>
    <w:tr>
      <w:tblPrEx>
        <w:tblW w:w="0" w:type="auto"/>
        <w:tblLook w:val="04A0"/>
      </w:tblPrEx>
      <w:tc>
        <w:tcPr>
          <w:tcW w:w="3209" w:type="dxa"/>
        </w:tcPr>
        <w:p w:rsidR="002A0C20" w:rsidRPr="00172A98" w:rsidP="00C37DB7">
          <w:pPr>
            <w:pStyle w:val="Footer"/>
          </w:pPr>
        </w:p>
      </w:tc>
      <w:tc>
        <w:tcPr>
          <w:tcW w:w="3209" w:type="dxa"/>
        </w:tcPr>
        <w:p w:rsidR="002A0C20" w:rsidRPr="00172A98"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rsidR="002A0C20" w:rsidRPr="00172A98" w:rsidP="00C37DB7">
          <w:pPr>
            <w:pStyle w:val="Footer"/>
          </w:pPr>
        </w:p>
      </w:tc>
    </w:tr>
  </w:tbl>
  <w:p w:rsidR="002A0C20" w:rsidRPr="00172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A0C20" w:rsidP="006B39DD">
      <w:pPr>
        <w:spacing w:after="0" w:line="240" w:lineRule="auto"/>
      </w:pPr>
      <w:r>
        <w:separator/>
      </w:r>
    </w:p>
  </w:footnote>
  <w:footnote w:type="continuationSeparator" w:id="1">
    <w:p w:rsidR="002A0C20" w:rsidP="006B39DD">
      <w:pPr>
        <w:spacing w:after="0" w:line="240" w:lineRule="auto"/>
      </w:pPr>
      <w:r>
        <w:continuationSeparator/>
      </w:r>
    </w:p>
  </w:footnote>
  <w:footnote w:id="2">
    <w:p w:rsidR="002A0C20" w:rsidP="006B39DD">
      <w:pPr>
        <w:pStyle w:val="FootnoteText"/>
      </w:pPr>
      <w:r>
        <w:rPr>
          <w:rStyle w:val="FootnoteReference"/>
        </w:rPr>
        <w:footnoteRef/>
      </w:r>
      <w:r>
        <w:t xml:space="preserve"> </w:t>
      </w:r>
      <w:r w:rsidRPr="00051AD1">
        <w:t>IfG</w:t>
      </w:r>
      <w:r w:rsidRPr="00051AD1">
        <w:t>, ‘</w:t>
      </w:r>
      <w:r>
        <w:fldChar w:fldCharType="begin"/>
      </w:r>
      <w:r>
        <w:instrText xml:space="preserve"> HYPERLINK "https://www.instituteforgovernment.org.uk/sites/default/files/publications/IfG_procurement_WEB_4.pdf" </w:instrText>
      </w:r>
      <w:r>
        <w:fldChar w:fldCharType="separate"/>
      </w:r>
      <w:r w:rsidRPr="00051AD1">
        <w:rPr>
          <w:rStyle w:val="Hyperlink"/>
        </w:rPr>
        <w:t>Government procurement: The scale and nature of contracting in the UK’</w:t>
      </w:r>
      <w:r>
        <w:fldChar w:fldCharType="end"/>
      </w:r>
      <w:r w:rsidRPr="00051AD1">
        <w:t xml:space="preserve"> (December 2018), p11.</w:t>
      </w:r>
    </w:p>
  </w:footnote>
  <w:footnote w:id="3">
    <w:p w:rsidR="002A0C20" w:rsidP="006B39DD">
      <w:pPr>
        <w:pStyle w:val="FootnoteText"/>
      </w:pPr>
      <w:r>
        <w:rPr>
          <w:rStyle w:val="FootnoteReference"/>
        </w:rPr>
        <w:footnoteRef/>
      </w:r>
      <w:r>
        <w:t xml:space="preserve"> </w:t>
      </w:r>
      <w:r w:rsidRPr="00BC260B">
        <w:t xml:space="preserve">Brook House Inquiry, </w:t>
      </w:r>
      <w:r>
        <w:fldChar w:fldCharType="begin"/>
      </w:r>
      <w:r>
        <w:instrText xml:space="preserve"> HYPERLINK "https://assets.publishing.service.gov.uk/media/650964844cd3c3000d68cc65/11199-HHG-BHI-Vol_I_Brook_House_Inquiry_Vol_I_ACCESSIBLE__1_.pdf" </w:instrText>
      </w:r>
      <w:r>
        <w:fldChar w:fldCharType="separate"/>
      </w:r>
      <w:r w:rsidRPr="00806BF4">
        <w:rPr>
          <w:rStyle w:val="Hyperlink"/>
          <w:i/>
          <w:iCs/>
        </w:rPr>
        <w:t>The Brook House Inquiry Report Volume I,</w:t>
      </w:r>
      <w:r>
        <w:fldChar w:fldCharType="end"/>
      </w:r>
      <w:r w:rsidRPr="00BC260B">
        <w:t xml:space="preserve"> (September 2023). p.5.</w:t>
      </w:r>
    </w:p>
  </w:footnote>
  <w:footnote w:id="4">
    <w:p w:rsidR="002A0C20" w:rsidRPr="00436503" w:rsidP="006B39DD">
      <w:pPr>
        <w:pStyle w:val="FootnoteText"/>
      </w:pPr>
      <w:r>
        <w:rPr>
          <w:rStyle w:val="FootnoteReference"/>
        </w:rPr>
        <w:footnoteRef/>
      </w:r>
      <w:r>
        <w:t xml:space="preserve"> JUSTICE,</w:t>
      </w:r>
      <w:r w:rsidRPr="0088760B">
        <w:t xml:space="preserve"> </w:t>
      </w:r>
      <w:r>
        <w:fldChar w:fldCharType="begin"/>
      </w:r>
      <w:r>
        <w:instrText xml:space="preserve"> HYPERLINK "https://justice.org.uk/reports/outsourced-public-services-lack-oversight-accountability-and-transparency-risking-peoples-rights-says-new-justice-report" </w:instrText>
      </w:r>
      <w:r>
        <w:fldChar w:fldCharType="separate"/>
      </w:r>
      <w:r w:rsidRPr="00480657">
        <w:rPr>
          <w:rStyle w:val="Hyperlink"/>
          <w:i/>
          <w:iCs/>
        </w:rPr>
        <w:t>Beyond the blame game – a responsible and rights-centred approach to government contracting</w:t>
      </w:r>
      <w:r>
        <w:fldChar w:fldCharType="end"/>
      </w:r>
      <w:r>
        <w:rPr>
          <w:i/>
          <w:iCs/>
        </w:rPr>
        <w:t xml:space="preserve"> </w:t>
      </w:r>
      <w:r>
        <w:t>(2024), p.42.</w:t>
      </w:r>
    </w:p>
  </w:footnote>
  <w:footnote w:id="5">
    <w:p w:rsidR="002A0C20" w:rsidP="006B39DD">
      <w:pPr>
        <w:pStyle w:val="FootnoteText"/>
      </w:pPr>
      <w:r>
        <w:rPr>
          <w:rStyle w:val="FootnoteReference"/>
        </w:rPr>
        <w:footnoteRef/>
      </w:r>
      <w:r>
        <w:t xml:space="preserve"> </w:t>
      </w:r>
      <w:r w:rsidRPr="000648AA">
        <w:t>Procurement Act, Schedule 7 Section 11(1) and (2)</w:t>
      </w:r>
    </w:p>
  </w:footnote>
  <w:footnote w:id="6">
    <w:p w:rsidR="002A0C20" w:rsidP="006B39DD">
      <w:pPr>
        <w:pStyle w:val="FootnoteText"/>
      </w:pPr>
      <w:r>
        <w:rPr>
          <w:rStyle w:val="FootnoteReference"/>
        </w:rPr>
        <w:footnoteRef/>
      </w:r>
      <w:r>
        <w:t xml:space="preserve"> </w:t>
      </w:r>
      <w:r w:rsidRPr="0084262B">
        <w:t xml:space="preserve">New Zealand Government Procurement Rules, </w:t>
      </w:r>
      <w:r>
        <w:fldChar w:fldCharType="begin"/>
      </w:r>
      <w:r>
        <w:instrText xml:space="preserve"> HYPERLINK "https://www.procurement.govt.nz/procurement/principles-charter-and-rules/government-procurement-rules/approaching-the-market/reasons-to-exclude-a-supplier/" </w:instrText>
      </w:r>
      <w:r>
        <w:fldChar w:fldCharType="separate"/>
      </w:r>
      <w:r w:rsidRPr="00685E24">
        <w:rPr>
          <w:rStyle w:val="Hyperlink"/>
        </w:rPr>
        <w:t>‘Rule 44: Reasons to exclude a supplier</w:t>
      </w:r>
      <w:r>
        <w:fldChar w:fldCharType="end"/>
      </w:r>
      <w:r w:rsidRPr="0084262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325"/>
      <w:gridCol w:w="3325"/>
      <w:gridCol w:w="3325"/>
    </w:tblGrid>
    <w:tr w:rsidTr="2539773B">
      <w:tblPrEx>
        <w:tblW w:w="0" w:type="auto"/>
        <w:tblLayout w:type="fixed"/>
        <w:tblLook w:val="06A0"/>
      </w:tblPrEx>
      <w:trPr>
        <w:trHeight w:val="300"/>
      </w:trPr>
      <w:tc>
        <w:tcPr>
          <w:tcW w:w="3325" w:type="dxa"/>
        </w:tcPr>
        <w:p w:rsidR="002A0C20" w:rsidRPr="00172A98" w:rsidP="2539773B">
          <w:pPr>
            <w:pStyle w:val="Header"/>
            <w:ind w:left="-115"/>
          </w:pPr>
        </w:p>
      </w:tc>
      <w:tc>
        <w:tcPr>
          <w:tcW w:w="3325" w:type="dxa"/>
        </w:tcPr>
        <w:p w:rsidR="002A0C20" w:rsidRPr="00172A98" w:rsidP="2539773B">
          <w:pPr>
            <w:pStyle w:val="Header"/>
            <w:jc w:val="center"/>
          </w:pPr>
        </w:p>
      </w:tc>
      <w:tc>
        <w:tcPr>
          <w:tcW w:w="3325" w:type="dxa"/>
        </w:tcPr>
        <w:p w:rsidR="002A0C20" w:rsidRPr="00172A98" w:rsidP="2539773B">
          <w:pPr>
            <w:pStyle w:val="Header"/>
            <w:ind w:right="-115"/>
            <w:jc w:val="right"/>
          </w:pPr>
        </w:p>
      </w:tc>
    </w:tr>
  </w:tbl>
  <w:p w:rsidR="002A0C20" w:rsidRPr="00172A98" w:rsidP="253977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C20" w:rsidRPr="00172A98" w:rsidP="0056432D">
    <w:pPr>
      <w:pStyle w:val="Header"/>
      <w:tabs>
        <w:tab w:val="left" w:pos="3420"/>
      </w:tabs>
      <w:spacing w:after="1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3A7087"/>
    <w:multiLevelType w:val="multilevel"/>
    <w:tmpl w:val="FE20A95E"/>
    <w:name w:val="JusticeHeadX"/>
    <w:lvl w:ilvl="0">
      <w:start w:val="1"/>
      <w:numFmt w:val="decimal"/>
      <w:pStyle w:val="JLevel1"/>
      <w:lvlText w:val="%1."/>
      <w:lvlJc w:val="left"/>
      <w:pPr>
        <w:tabs>
          <w:tab w:val="num" w:pos="720"/>
        </w:tabs>
        <w:ind w:left="720" w:hanging="720"/>
      </w:pPr>
      <w:rPr>
        <w:rFonts w:hint="default"/>
        <w:b w:val="0"/>
        <w:bCs w:val="0"/>
        <w:i w:val="0"/>
        <w:iCs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pStyle w:val="JLevel6"/>
      <w:lvlText w:val="%6."/>
      <w:lvlJc w:val="left"/>
      <w:pPr>
        <w:tabs>
          <w:tab w:val="num" w:pos="3600"/>
        </w:tabs>
        <w:ind w:left="3600" w:hanging="720"/>
      </w:pPr>
      <w:rPr>
        <w:rFonts w:hint="default"/>
      </w:rPr>
    </w:lvl>
    <w:lvl w:ilvl="6">
      <w:start w:val="1"/>
      <w:numFmt w:val="none"/>
      <w:lvlJc w:val="left"/>
      <w:pPr>
        <w:tabs>
          <w:tab w:val="num" w:pos="0"/>
        </w:tabs>
        <w:ind w:left="0" w:firstLine="0"/>
      </w:pPr>
      <w:rPr>
        <w:rFonts w:hint="default"/>
      </w:rPr>
    </w:lvl>
    <w:lvl w:ilvl="7">
      <w:start w:val="1"/>
      <w:numFmt w:val="none"/>
      <w:lvlJc w:val="left"/>
      <w:pPr>
        <w:tabs>
          <w:tab w:val="num" w:pos="0"/>
        </w:tabs>
        <w:ind w:left="0" w:firstLine="0"/>
      </w:pPr>
      <w:rPr>
        <w:rFonts w:hint="default"/>
      </w:rPr>
    </w:lvl>
    <w:lvl w:ilvl="8">
      <w:start w:val="1"/>
      <w:numFmt w:val="none"/>
      <w:lvlJc w:val="left"/>
      <w:pPr>
        <w:tabs>
          <w:tab w:val="num" w:pos="0"/>
        </w:tabs>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8"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8"/>
    <w:rsid w:val="006B39DD"/>
    <w:rPr>
      <w:rFonts w:ascii="Archivo" w:hAnsi="Archivo"/>
    </w:rPr>
  </w:style>
  <w:style w:type="paragraph" w:styleId="Heading1">
    <w:name w:val="heading 1"/>
    <w:basedOn w:val="Normal"/>
    <w:next w:val="Normal"/>
    <w:link w:val="Heading1Char"/>
    <w:uiPriority w:val="9"/>
    <w:qFormat/>
    <w:rsid w:val="006B3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9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9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9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9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9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9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9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9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9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9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9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9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9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9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9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9DD"/>
    <w:rPr>
      <w:rFonts w:eastAsiaTheme="majorEastAsia" w:cstheme="majorBidi"/>
      <w:color w:val="272727" w:themeColor="text1" w:themeTint="D8"/>
    </w:rPr>
  </w:style>
  <w:style w:type="paragraph" w:styleId="Title">
    <w:name w:val="Title"/>
    <w:basedOn w:val="Normal"/>
    <w:next w:val="Normal"/>
    <w:link w:val="TitleChar"/>
    <w:uiPriority w:val="10"/>
    <w:qFormat/>
    <w:rsid w:val="006B3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9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9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9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9DD"/>
    <w:pPr>
      <w:spacing w:before="160"/>
      <w:jc w:val="center"/>
    </w:pPr>
    <w:rPr>
      <w:i/>
      <w:iCs/>
      <w:color w:val="404040" w:themeColor="text1" w:themeTint="BF"/>
    </w:rPr>
  </w:style>
  <w:style w:type="character" w:customStyle="1" w:styleId="QuoteChar">
    <w:name w:val="Quote Char"/>
    <w:basedOn w:val="DefaultParagraphFont"/>
    <w:link w:val="Quote"/>
    <w:uiPriority w:val="29"/>
    <w:rsid w:val="006B39DD"/>
    <w:rPr>
      <w:i/>
      <w:iCs/>
      <w:color w:val="404040" w:themeColor="text1" w:themeTint="BF"/>
    </w:rPr>
  </w:style>
  <w:style w:type="paragraph" w:styleId="ListParagraph">
    <w:name w:val="List Paragraph"/>
    <w:basedOn w:val="Normal"/>
    <w:uiPriority w:val="34"/>
    <w:qFormat/>
    <w:rsid w:val="006B39DD"/>
    <w:pPr>
      <w:ind w:left="720"/>
      <w:contextualSpacing/>
    </w:pPr>
  </w:style>
  <w:style w:type="character" w:styleId="IntenseEmphasis">
    <w:name w:val="Intense Emphasis"/>
    <w:basedOn w:val="DefaultParagraphFont"/>
    <w:uiPriority w:val="21"/>
    <w:qFormat/>
    <w:rsid w:val="006B39DD"/>
    <w:rPr>
      <w:i/>
      <w:iCs/>
      <w:color w:val="0F4761" w:themeColor="accent1" w:themeShade="BF"/>
    </w:rPr>
  </w:style>
  <w:style w:type="paragraph" w:styleId="IntenseQuote">
    <w:name w:val="Intense Quote"/>
    <w:basedOn w:val="Normal"/>
    <w:next w:val="Normal"/>
    <w:link w:val="IntenseQuoteChar"/>
    <w:uiPriority w:val="30"/>
    <w:qFormat/>
    <w:rsid w:val="006B3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9DD"/>
    <w:rPr>
      <w:i/>
      <w:iCs/>
      <w:color w:val="0F4761" w:themeColor="accent1" w:themeShade="BF"/>
    </w:rPr>
  </w:style>
  <w:style w:type="character" w:styleId="IntenseReference">
    <w:name w:val="Intense Reference"/>
    <w:basedOn w:val="DefaultParagraphFont"/>
    <w:uiPriority w:val="32"/>
    <w:qFormat/>
    <w:rsid w:val="006B39DD"/>
    <w:rPr>
      <w:b/>
      <w:bCs/>
      <w:smallCaps/>
      <w:color w:val="0F4761" w:themeColor="accent1" w:themeShade="BF"/>
      <w:spacing w:val="5"/>
    </w:rPr>
  </w:style>
  <w:style w:type="paragraph" w:customStyle="1" w:styleId="JPageTitle">
    <w:name w:val="JPageTitle"/>
    <w:basedOn w:val="Normal"/>
    <w:next w:val="JSubtitle"/>
    <w:qFormat/>
    <w:rsid w:val="006B39DD"/>
    <w:pPr>
      <w:spacing w:after="60" w:line="320" w:lineRule="atLeast"/>
    </w:pPr>
    <w:rPr>
      <w:rFonts w:ascii="IvyPresto Display SemiBold" w:hAnsi="IvyPresto Display SemiBold" w:cs="Poppins SemiBold"/>
      <w:color w:val="000000" w:themeColor="text1"/>
      <w:sz w:val="44"/>
      <w:szCs w:val="104"/>
    </w:rPr>
  </w:style>
  <w:style w:type="paragraph" w:customStyle="1" w:styleId="JSubtitle">
    <w:name w:val="JSubtitle"/>
    <w:basedOn w:val="Normal"/>
    <w:next w:val="Normal"/>
    <w:qFormat/>
    <w:rsid w:val="006B39DD"/>
    <w:pPr>
      <w:spacing w:after="60" w:line="240" w:lineRule="auto"/>
      <w:jc w:val="both"/>
    </w:pPr>
    <w:rPr>
      <w:rFonts w:ascii="IvyPresto Display SemiBold" w:hAnsi="IvyPresto Display SemiBold" w:cs="Archivo Medium"/>
      <w:bCs/>
      <w:sz w:val="32"/>
      <w:szCs w:val="32"/>
    </w:rPr>
  </w:style>
  <w:style w:type="paragraph" w:customStyle="1" w:styleId="JLevel1">
    <w:name w:val="JLevel1"/>
    <w:basedOn w:val="Normal"/>
    <w:uiPriority w:val="2"/>
    <w:qFormat/>
    <w:rsid w:val="006B39DD"/>
    <w:pPr>
      <w:numPr>
        <w:numId w:val="1"/>
      </w:numPr>
      <w:spacing w:line="278" w:lineRule="auto"/>
      <w:ind w:left="567" w:hanging="567"/>
      <w:jc w:val="both"/>
      <w:outlineLvl w:val="0"/>
    </w:pPr>
    <w:rPr>
      <w:rFonts w:ascii="Inter" w:hAnsi="Inter"/>
      <w:color w:val="000000" w:themeColor="text1"/>
    </w:rPr>
  </w:style>
  <w:style w:type="paragraph" w:customStyle="1" w:styleId="JLevel6">
    <w:name w:val="JLevel6"/>
    <w:basedOn w:val="Normal"/>
    <w:uiPriority w:val="2"/>
    <w:qFormat/>
    <w:rsid w:val="006B39DD"/>
    <w:pPr>
      <w:numPr>
        <w:ilvl w:val="5"/>
        <w:numId w:val="1"/>
      </w:numPr>
      <w:spacing w:after="200" w:line="360" w:lineRule="auto"/>
      <w:jc w:val="both"/>
    </w:pPr>
    <w:rPr>
      <w:rFonts w:ascii="Archivo Light" w:hAnsi="Archivo Light"/>
      <w:color w:val="000000" w:themeColor="text1"/>
    </w:rPr>
  </w:style>
  <w:style w:type="paragraph" w:styleId="FootnoteText">
    <w:name w:val="footnote text"/>
    <w:basedOn w:val="Normal"/>
    <w:link w:val="FootnoteTextChar"/>
    <w:uiPriority w:val="99"/>
    <w:rsid w:val="006B39DD"/>
    <w:pPr>
      <w:spacing w:before="120" w:after="120" w:line="278" w:lineRule="auto"/>
      <w:ind w:left="284" w:hanging="284"/>
      <w:jc w:val="both"/>
    </w:pPr>
    <w:rPr>
      <w:rFonts w:ascii="Inter" w:hAnsi="Inter"/>
      <w:sz w:val="18"/>
      <w:szCs w:val="20"/>
    </w:rPr>
  </w:style>
  <w:style w:type="character" w:customStyle="1" w:styleId="FootnoteTextChar">
    <w:name w:val="Footnote Text Char"/>
    <w:basedOn w:val="DefaultParagraphFont"/>
    <w:link w:val="FootnoteText"/>
    <w:uiPriority w:val="99"/>
    <w:rsid w:val="006B39DD"/>
    <w:rPr>
      <w:rFonts w:ascii="Inter" w:hAnsi="Inter"/>
      <w:sz w:val="18"/>
      <w:szCs w:val="20"/>
    </w:rPr>
  </w:style>
  <w:style w:type="character" w:styleId="FootnoteReference">
    <w:name w:val="footnote reference"/>
    <w:aliases w:val="16 Point,4_G,Appel note de bas de page,BVI fnr,Footnote Reference Char1 Char,Footnote Reference Char3,Footnote number,Footnotes refss,Superscript 6 Point,Texto nota al pie,callout,f,referencia nota al pie"/>
    <w:basedOn w:val="DefaultParagraphFont"/>
    <w:uiPriority w:val="99"/>
    <w:unhideWhenUsed/>
    <w:qFormat/>
    <w:rsid w:val="006B39DD"/>
    <w:rPr>
      <w:b/>
      <w:color w:val="651112"/>
      <w:vertAlign w:val="superscript"/>
    </w:rPr>
  </w:style>
  <w:style w:type="paragraph" w:customStyle="1" w:styleId="JHeading1">
    <w:name w:val="JHeading1"/>
    <w:basedOn w:val="Normal"/>
    <w:next w:val="Normal"/>
    <w:uiPriority w:val="1"/>
    <w:qFormat/>
    <w:rsid w:val="006B39DD"/>
    <w:pPr>
      <w:keepNext/>
      <w:spacing w:before="360" w:after="200" w:line="320" w:lineRule="atLeast"/>
      <w:jc w:val="both"/>
    </w:pPr>
    <w:rPr>
      <w:rFonts w:ascii="IvyPresto Display SemiBold" w:hAnsi="IvyPresto Display SemiBold" w:cs="Poppins SemiBold"/>
      <w:color w:val="651112"/>
      <w:sz w:val="28"/>
      <w:szCs w:val="28"/>
    </w:rPr>
  </w:style>
  <w:style w:type="paragraph" w:styleId="Footer">
    <w:name w:val="footer"/>
    <w:basedOn w:val="Normal"/>
    <w:link w:val="FooterChar"/>
    <w:uiPriority w:val="99"/>
    <w:rsid w:val="006B39DD"/>
    <w:pPr>
      <w:tabs>
        <w:tab w:val="center" w:pos="4513"/>
        <w:tab w:val="right" w:pos="9026"/>
      </w:tabs>
      <w:spacing w:after="0" w:line="240" w:lineRule="auto"/>
    </w:pPr>
    <w:rPr>
      <w:rFonts w:ascii="Archivo Light" w:hAnsi="Archivo Light"/>
      <w:sz w:val="18"/>
    </w:rPr>
  </w:style>
  <w:style w:type="character" w:customStyle="1" w:styleId="FooterChar">
    <w:name w:val="Footer Char"/>
    <w:basedOn w:val="DefaultParagraphFont"/>
    <w:link w:val="Footer"/>
    <w:uiPriority w:val="99"/>
    <w:rsid w:val="006B39DD"/>
    <w:rPr>
      <w:rFonts w:ascii="Archivo Light" w:hAnsi="Archivo Light"/>
      <w:sz w:val="18"/>
    </w:rPr>
  </w:style>
  <w:style w:type="paragraph" w:styleId="Header">
    <w:name w:val="header"/>
    <w:basedOn w:val="Normal"/>
    <w:link w:val="HeaderChar"/>
    <w:uiPriority w:val="99"/>
    <w:rsid w:val="006B39DD"/>
    <w:pPr>
      <w:tabs>
        <w:tab w:val="center" w:pos="4513"/>
        <w:tab w:val="right" w:pos="9026"/>
      </w:tabs>
      <w:spacing w:after="0" w:line="240" w:lineRule="auto"/>
    </w:pPr>
    <w:rPr>
      <w:rFonts w:ascii="Archivo Light" w:hAnsi="Archivo Light"/>
      <w:sz w:val="18"/>
    </w:rPr>
  </w:style>
  <w:style w:type="character" w:customStyle="1" w:styleId="HeaderChar">
    <w:name w:val="Header Char"/>
    <w:basedOn w:val="DefaultParagraphFont"/>
    <w:link w:val="Header"/>
    <w:uiPriority w:val="99"/>
    <w:rsid w:val="006B39DD"/>
    <w:rPr>
      <w:rFonts w:ascii="Archivo Light" w:hAnsi="Archivo Light"/>
      <w:sz w:val="18"/>
    </w:rPr>
  </w:style>
  <w:style w:type="table" w:styleId="TableGrid">
    <w:name w:val="Table Grid"/>
    <w:basedOn w:val="TableNormal"/>
    <w:uiPriority w:val="39"/>
    <w:rsid w:val="006B3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39DD"/>
    <w:rPr>
      <w:color w:val="65111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RAI0082</dc:title>
  <cp:revision>0</cp:revision>
</cp:coreProperties>
</file>