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04BB1" w:rsidRPr="00477CDB" w:rsidP="00477CDB">
      <w:pPr>
        <w:spacing w:after="180"/>
        <w:jc w:val="center"/>
        <w:rPr>
          <w:rFonts w:ascii="Arial" w:hAnsi="Arial" w:cs="Arial"/>
        </w:rPr>
      </w:pPr>
      <w:r w:rsidRPr="00477CDB">
        <w:rPr>
          <w:rFonts w:ascii="Arial" w:hAnsi="Arial" w:cs="Arial"/>
          <w:b/>
        </w:rPr>
        <w:t>Written e</w:t>
      </w:r>
      <w:r w:rsidRPr="00477CDB">
        <w:rPr>
          <w:rFonts w:ascii="Arial" w:hAnsi="Arial" w:cs="Arial"/>
          <w:b/>
        </w:rPr>
        <w:t>vidence submitted</w:t>
      </w:r>
      <w:r w:rsidRPr="00477CDB">
        <w:rPr>
          <w:rFonts w:ascii="Arial" w:hAnsi="Arial" w:cs="Arial"/>
          <w:b/>
        </w:rPr>
        <w:t xml:space="preserve"> by Dr Rob Calvert Jump (University of Greenwich and Professor Jo Michell (UWE Bristol)</w:t>
      </w:r>
    </w:p>
    <w:p w:rsidR="00477CDB">
      <w:pPr>
        <w:spacing w:after="180"/>
        <w:rPr>
          <w:rFonts w:ascii="Helvetica" w:hAnsi="Helvetica"/>
          <w:b/>
          <w:sz w:val="32"/>
        </w:rPr>
      </w:pPr>
    </w:p>
    <w:p w:rsidR="00E04BB1">
      <w:pPr>
        <w:spacing w:after="180"/>
      </w:pPr>
      <w:r>
        <w:rPr>
          <w:rFonts w:ascii="Helvetica" w:hAnsi="Helvetica"/>
          <w:b/>
          <w:sz w:val="32"/>
        </w:rPr>
        <w:t>Introduction</w:t>
      </w:r>
    </w:p>
    <w:p w:rsidR="00E04BB1">
      <w:pPr>
        <w:spacing w:after="180"/>
      </w:pPr>
      <w:r>
        <w:rPr>
          <w:rFonts w:ascii="Helvetica" w:hAnsi="Helvetica"/>
        </w:rPr>
        <w:t xml:space="preserve">The Office for Budget Responsibility (OBR) stands at a crossroads. Having </w:t>
      </w:r>
      <w:r>
        <w:rPr>
          <w:rFonts w:ascii="Helvetica" w:hAnsi="Helvetica"/>
        </w:rPr>
        <w:t>being</w:t>
      </w:r>
      <w:r>
        <w:rPr>
          <w:rFonts w:ascii="Helvetica" w:hAnsi="Helvetica"/>
        </w:rPr>
        <w:t xml:space="preserve"> the subject of significant controversy over its 15 years of existence, the early publication of the November 2025 Economic and Fiscal Outlook saw the organisation at the centre of a major crisis.</w:t>
      </w:r>
    </w:p>
    <w:p w:rsidR="00E04BB1">
      <w:pPr>
        <w:spacing w:after="180"/>
      </w:pPr>
      <w:r>
        <w:rPr>
          <w:rFonts w:ascii="Helvetica" w:hAnsi="Helvetica"/>
        </w:rPr>
        <w:t>This inquiry is, therefore, a good opportunity for Parliament to take stock of the OBR’s role, remit and institutional relationship with government.</w:t>
      </w:r>
    </w:p>
    <w:p w:rsidR="00E04BB1">
      <w:pPr>
        <w:spacing w:after="180"/>
      </w:pPr>
      <w:r>
        <w:rPr>
          <w:rFonts w:ascii="Helvetica" w:hAnsi="Helvetica"/>
        </w:rPr>
        <w:t>In this submission, we argue that the OBR has overstepped its original remit as an independent forecaster and fiscal watchdog. The OBR has evolved into a body that determines the bounds of permissible fiscal policy, despite lacking the democratic mandate to fulfil such a role. This has created a dysfunctional dynamic in which long-term strategic policy decisions are driven by short-term movements in inherently uncertain forecasts.</w:t>
      </w:r>
    </w:p>
    <w:p w:rsidR="00E04BB1">
      <w:pPr>
        <w:spacing w:after="180"/>
      </w:pPr>
      <w:r>
        <w:rPr>
          <w:rFonts w:ascii="Helvetica" w:hAnsi="Helvetica"/>
        </w:rPr>
        <w:t>We do not argue that the fiscal position is comfortable or that shared fiscal principles are unnecessary. Rather, we contend that the current institutional arrangement — in which the OBR produces point estimates of “headroom” that trigger immediate policy responses — represents a fundamental misallocation of decision-making authority. The solution is not to tighten the rules or headroom targets, but to restore appropriate boundaries between forecasting and policy judgement.</w:t>
      </w:r>
    </w:p>
    <w:p w:rsidR="00E04BB1">
      <w:pPr>
        <w:spacing w:after="180"/>
      </w:pPr>
      <w:r>
        <w:rPr>
          <w:rFonts w:ascii="Helvetica" w:hAnsi="Helvetica"/>
        </w:rPr>
        <w:t xml:space="preserve">Although we make recommendations about improvements to the OBR’s forecasting approach, our concerns are broader: we focus on the OBR’s influence on fiscal policy </w:t>
      </w:r>
      <w:r>
        <w:rPr>
          <w:rFonts w:ascii="Helvetica" w:hAnsi="Helvetica"/>
        </w:rPr>
        <w:t>itself, and</w:t>
      </w:r>
      <w:r>
        <w:rPr>
          <w:rFonts w:ascii="Helvetica" w:hAnsi="Helvetica"/>
        </w:rPr>
        <w:t xml:space="preserve"> suggest changes to the OBR’s role and remit that could improve the functioning of fiscal policy.</w:t>
      </w:r>
    </w:p>
    <w:p w:rsidR="00E04BB1">
      <w:pPr>
        <w:spacing w:after="180"/>
      </w:pPr>
      <w:r>
        <w:rPr>
          <w:rFonts w:ascii="Helvetica" w:hAnsi="Helvetica"/>
        </w:rPr>
        <w:t>Our recommendations centre on three reforms: simplifying the OBR’s forecasting approach, strengthening its engagement with external expertise, and returning judgement about fiscal rule compliance to the Treasury.</w:t>
      </w:r>
    </w:p>
    <w:p w:rsidR="00E04BB1">
      <w:pPr>
        <w:spacing w:after="180"/>
      </w:pPr>
      <w:r>
        <w:rPr>
          <w:rFonts w:ascii="Helvetica" w:hAnsi="Helvetica"/>
          <w:b/>
          <w:sz w:val="32"/>
        </w:rPr>
        <w:t>Part 1: Problem Statement</w:t>
      </w:r>
    </w:p>
    <w:p w:rsidR="00E04BB1">
      <w:pPr>
        <w:spacing w:after="180"/>
      </w:pPr>
      <w:r>
        <w:rPr>
          <w:rFonts w:ascii="Helvetica" w:hAnsi="Helvetica"/>
          <w:b/>
          <w:sz w:val="28"/>
        </w:rPr>
        <w:t>1.1 Forecast Uncertainty and Policy Volatility</w:t>
      </w:r>
    </w:p>
    <w:p w:rsidR="00E04BB1">
      <w:pPr>
        <w:spacing w:after="180"/>
      </w:pPr>
      <w:r>
        <w:rPr>
          <w:rFonts w:ascii="Helvetica" w:hAnsi="Helvetica"/>
        </w:rPr>
        <w:t xml:space="preserve">Economic forecasts are inherently uncertain. This is not a criticism of the OBR specifically. It is a fundamental characteristic of economic forecasting that applies equally to the Bank of England, the International Monetary Fund, and all comparable institutions. The OBR itself acknowledges this. Its November 2025 Economic and Fiscal Outlook noted that the £22 billion of headroom against the fiscal mandate represented “only two-fifths of the £54 billion median difference between our four-year forecast for borrowing and actual outturn” (OBR, 2025a, pp.14). In other words, the headroom against </w:t>
      </w:r>
      <w:r>
        <w:rPr>
          <w:rFonts w:ascii="Helvetica" w:hAnsi="Helvetica"/>
        </w:rPr>
        <w:t xml:space="preserve">fiscal rules </w:t>
      </w:r>
      <w:r>
        <w:rPr>
          <w:rFonts w:ascii="Helvetica" w:hAnsi="Helvetica"/>
        </w:rPr>
        <w:t>is</w:t>
      </w:r>
      <w:r>
        <w:rPr>
          <w:rFonts w:ascii="Helvetica" w:hAnsi="Helvetica"/>
        </w:rPr>
        <w:t xml:space="preserve"> substantially lower than the likely error in the OBR forecast which is used to assess compliance with those rules.</w:t>
      </w:r>
    </w:p>
    <w:p w:rsidR="00E04BB1">
      <w:pPr>
        <w:spacing w:after="180"/>
      </w:pPr>
      <w:r>
        <w:rPr>
          <w:rFonts w:ascii="Helvetica" w:hAnsi="Helvetica"/>
        </w:rPr>
        <w:t>Similarly, the OBR’s March 2025 forecast stated that headroom of £9.9 billion was “only one-third of the average of £31.3 billion that Chancellors have set aside against their fiscal rules since 2010</w:t>
      </w:r>
      <w:r>
        <w:rPr>
          <w:rFonts w:ascii="Helvetica" w:hAnsi="Helvetica"/>
        </w:rPr>
        <w:t>”, and</w:t>
      </w:r>
      <w:r>
        <w:rPr>
          <w:rFonts w:ascii="Helvetica" w:hAnsi="Helvetica"/>
        </w:rPr>
        <w:t xml:space="preserve"> noted that “the average absolute final-year revision to pre-measures borrowing over the past ten forecasts has been £19.4 billion” (OBR, 2025b, pp.15).</w:t>
      </w:r>
    </w:p>
    <w:p w:rsidR="00E04BB1">
      <w:pPr>
        <w:spacing w:after="180"/>
      </w:pPr>
      <w:r>
        <w:rPr>
          <w:rFonts w:ascii="Helvetica" w:hAnsi="Helvetica"/>
        </w:rPr>
        <w:t>These figures reveal a troubling reality: the typical margin of error in OBR forecasts substantially exceeds the headroom against which Chancellors now operate. This is particularly problematic post-pandemic, when both debt and interest rates are elevated relative to the period between 2010 and 2020. As a result, small differences in the market interest rates used to condition the OBR’s forecasts have significant effects on the public sector’s projected fiscal position. Substantial adjustments in fiscal policy are triggered by short term market movements.</w:t>
      </w:r>
    </w:p>
    <w:p w:rsidR="00E04BB1">
      <w:pPr>
        <w:spacing w:after="180"/>
      </w:pPr>
      <w:r>
        <w:rPr>
          <w:rFonts w:ascii="Helvetica" w:hAnsi="Helvetica"/>
        </w:rPr>
        <w:t xml:space="preserve">The consequence is that fiscal policy has become excessively volatile. As Gemma Tetlow of the Institute for Government observes, “too often, governments have either gamed the rules or made rapid, poorly designed changes in response to often relatively small changes in medium-term economic forecasts” (Tetlow, 2025). The March 2025 Spring Statement exemplified this problem: the Chancellor announced £8.4 billion of spending cuts in response to a modest deterioration in the OBR’s forecast, </w:t>
      </w:r>
      <w:r>
        <w:rPr>
          <w:rFonts w:ascii="Helvetica" w:hAnsi="Helvetica"/>
        </w:rPr>
        <w:t>despite the fact that</w:t>
      </w:r>
      <w:r>
        <w:rPr>
          <w:rFonts w:ascii="Helvetica" w:hAnsi="Helvetica"/>
        </w:rPr>
        <w:t xml:space="preserve"> such forecast revisions are routine and frequently reversed (NEF, 2025).</w:t>
      </w:r>
    </w:p>
    <w:p w:rsidR="00E04BB1">
      <w:pPr>
        <w:spacing w:after="180"/>
      </w:pPr>
      <w:r>
        <w:rPr>
          <w:rFonts w:ascii="Helvetica" w:hAnsi="Helvetica"/>
        </w:rPr>
        <w:t xml:space="preserve">Sir Charles Bean, a former member of the OBR’s Budget Responsibility Committee and former Deputy Governor of the Bank of England, has described this dynamic bluntly: “The OBR forecast embodies all sorts of adjustments, judgements – it’s </w:t>
      </w:r>
      <w:r>
        <w:rPr>
          <w:rFonts w:ascii="Helvetica" w:hAnsi="Helvetica"/>
        </w:rPr>
        <w:t>pretty flaky</w:t>
      </w:r>
      <w:r>
        <w:rPr>
          <w:rFonts w:ascii="Helvetica" w:hAnsi="Helvetica"/>
        </w:rPr>
        <w:t xml:space="preserve"> … I think we want to get away from this idea that we continually </w:t>
      </w:r>
      <w:r>
        <w:rPr>
          <w:rFonts w:ascii="Helvetica" w:hAnsi="Helvetica"/>
        </w:rPr>
        <w:t>have to</w:t>
      </w:r>
      <w:r>
        <w:rPr>
          <w:rFonts w:ascii="Helvetica" w:hAnsi="Helvetica"/>
        </w:rPr>
        <w:t xml:space="preserve"> be neurotically changing taxes and spending to try and control this OBR forecast so that it’s hitting our target” (Bean, quoted in New Economy Brief, 2025).</w:t>
      </w:r>
    </w:p>
    <w:p w:rsidR="00E04BB1">
      <w:pPr>
        <w:spacing w:after="180"/>
      </w:pPr>
      <w:r>
        <w:rPr>
          <w:rFonts w:ascii="Helvetica" w:hAnsi="Helvetica"/>
          <w:b/>
          <w:sz w:val="28"/>
        </w:rPr>
        <w:t>1.2 The Deeper Institutional Problem</w:t>
      </w:r>
    </w:p>
    <w:p w:rsidR="00E04BB1">
      <w:pPr>
        <w:spacing w:after="180"/>
      </w:pPr>
      <w:r>
        <w:rPr>
          <w:rFonts w:ascii="Helvetica" w:hAnsi="Helvetica"/>
        </w:rPr>
        <w:t>It would be tempting to conclude that the solution lies in tightening the fiscal rules, shortening their time horizons, or abandoning rolling targets. Some commentators have proposed exactly this. We believe such proposals fundamentally misdiagnose the problem and would make matters worse.</w:t>
      </w:r>
    </w:p>
    <w:p w:rsidR="00E04BB1">
      <w:pPr>
        <w:spacing w:after="180"/>
      </w:pPr>
      <w:r>
        <w:rPr>
          <w:rFonts w:ascii="Helvetica" w:hAnsi="Helvetica"/>
        </w:rPr>
        <w:t>The issue is not primarily the design of the fiscal rules themselves. The United Kingdom has operated under nine different sets of fiscal rules since 2009 (</w:t>
      </w:r>
      <w:r>
        <w:rPr>
          <w:rFonts w:ascii="Helvetica" w:hAnsi="Helvetica"/>
        </w:rPr>
        <w:t>IfG</w:t>
      </w:r>
      <w:r>
        <w:rPr>
          <w:rFonts w:ascii="Helvetica" w:hAnsi="Helvetica"/>
        </w:rPr>
        <w:t>, 2024). The dysfunction we describe has persisted across all of them. This strongly suggests that the problem lies not in the specific formulation of the rules, but in the institutional relationship between the OBR and the Treasury.</w:t>
      </w:r>
    </w:p>
    <w:p w:rsidR="00E04BB1">
      <w:pPr>
        <w:spacing w:after="180"/>
      </w:pPr>
      <w:r>
        <w:rPr>
          <w:rFonts w:ascii="Helvetica" w:hAnsi="Helvetica"/>
        </w:rPr>
        <w:t xml:space="preserve">The OBR was established in 2010 with a clear purpose: to remove the temptation for Chancellors to produce over-optimistic forecasts by outsourcing this function to an independent body. As the first Chair of the OBR, Robert Chote, put it: “what is unusual is </w:t>
      </w:r>
      <w:r>
        <w:rPr>
          <w:rFonts w:ascii="Helvetica" w:hAnsi="Helvetica"/>
        </w:rPr>
        <w:t>not that we do a forecast, but that the government no longer does one” (Clift, 2022, pp.270).</w:t>
      </w:r>
    </w:p>
    <w:p w:rsidR="00E04BB1">
      <w:pPr>
        <w:spacing w:after="180"/>
      </w:pPr>
      <w:r>
        <w:rPr>
          <w:rFonts w:ascii="Helvetica" w:hAnsi="Helvetica"/>
        </w:rPr>
        <w:t>This was a sensible reform. Prior to 2010, Treasury forecasts had been susceptible to “politically motivated wishful thinking,” as the OECD’s 2020 review acknowledged (OECD, 2020, pp.13). The OBR successfully addressed this problem. Its forecasts have been broadly unbiased and comparable in accuracy to those of other institutions.</w:t>
      </w:r>
    </w:p>
    <w:p w:rsidR="00E04BB1">
      <w:pPr>
        <w:spacing w:after="180"/>
      </w:pPr>
      <w:r>
        <w:rPr>
          <w:rFonts w:ascii="Helvetica" w:hAnsi="Helvetica"/>
        </w:rPr>
        <w:t>However, the OBR has gradually assumed a far more expansive role. It does not merely produce forecasts; it determines whether the Government passes or fails its fiscal rules. As a result, its “headroom” figures have become the binding constraint on policy. Chancellors calibrate their decisions to achieve precise headroom targets – often to within a few million pounds – despite the inherent uncertainty of forecasts five years into the future.</w:t>
      </w:r>
    </w:p>
    <w:p w:rsidR="00E04BB1">
      <w:pPr>
        <w:spacing w:after="180"/>
      </w:pPr>
      <w:r>
        <w:rPr>
          <w:rFonts w:ascii="Helvetica" w:hAnsi="Helvetica"/>
        </w:rPr>
        <w:t>In our opinion, this represents a fundamental overreach that is not justified by the Budget Responsibility and National Audit Act 2011. That Act states that the main duty of the OBR is to examine and report on the sustainability of the public finances, including the preparation of forecasts and assessments of the extent to which the government’s fiscal mandate has been (or is likely to be) achieved.</w:t>
      </w:r>
    </w:p>
    <w:p w:rsidR="00E04BB1">
      <w:pPr>
        <w:spacing w:after="180"/>
      </w:pPr>
      <w:r>
        <w:rPr>
          <w:rFonts w:ascii="Helvetica" w:hAnsi="Helvetica"/>
        </w:rPr>
        <w:t xml:space="preserve">What the Act does </w:t>
      </w:r>
      <w:r>
        <w:rPr>
          <w:rFonts w:ascii="Helvetica" w:hAnsi="Helvetica"/>
          <w:i/>
        </w:rPr>
        <w:t>not</w:t>
      </w:r>
      <w:r>
        <w:rPr>
          <w:rFonts w:ascii="Helvetica" w:hAnsi="Helvetica"/>
        </w:rPr>
        <w:t xml:space="preserve"> state is that the OBR’s assessment of fiscal headroom necessarily feeds into the government’s budgeting process itself, nor that it </w:t>
      </w:r>
      <w:r>
        <w:rPr>
          <w:rFonts w:ascii="Helvetica" w:hAnsi="Helvetica"/>
        </w:rPr>
        <w:t>has to</w:t>
      </w:r>
      <w:r>
        <w:rPr>
          <w:rFonts w:ascii="Helvetica" w:hAnsi="Helvetica"/>
        </w:rPr>
        <w:t xml:space="preserve"> produce a precise, quantitative assessment of the extent to which the mandate is being achieved. As already noted, this is a nigh-on-impossible task, akin to forecasting the weather years into the future.</w:t>
      </w:r>
    </w:p>
    <w:p w:rsidR="00E04BB1">
      <w:pPr>
        <w:spacing w:after="180"/>
      </w:pPr>
      <w:r>
        <w:rPr>
          <w:rFonts w:ascii="Helvetica" w:hAnsi="Helvetica"/>
        </w:rPr>
        <w:t>The fact that successive governments and the OBR have interpreted its mandate in this way is a fundamental overreach. The OBR has become, in effect, judge, jury, and executioner on fiscal policy. It makes judgement calls on a vast range of contested economic questions – fiscal multipliers, the productivity effects of public investment, labour market adjustment processes – and these judgements translate directly into pass/fail assessments that constrain elected ministers. A fundamental reinterpretation of the OBR’s role and remit is needed.</w:t>
      </w:r>
    </w:p>
    <w:p w:rsidR="00E04BB1">
      <w:pPr>
        <w:spacing w:after="180"/>
      </w:pPr>
      <w:r>
        <w:rPr>
          <w:rFonts w:ascii="Helvetica" w:hAnsi="Helvetica"/>
          <w:b/>
          <w:sz w:val="32"/>
        </w:rPr>
        <w:t>Part 2: Recommendations</w:t>
      </w:r>
    </w:p>
    <w:p w:rsidR="00E04BB1">
      <w:pPr>
        <w:spacing w:after="180"/>
      </w:pPr>
      <w:r>
        <w:rPr>
          <w:rFonts w:ascii="Helvetica" w:hAnsi="Helvetica"/>
        </w:rPr>
        <w:t>To address the problems discussed in Part 1, we recommend that the Committee considers the following reforms:</w:t>
      </w:r>
    </w:p>
    <w:p w:rsidR="00E04BB1">
      <w:pPr>
        <w:spacing w:after="180"/>
        <w:ind w:left="360" w:hanging="360"/>
      </w:pPr>
      <w:r>
        <w:rPr>
          <w:rFonts w:ascii="Helvetica" w:hAnsi="Helvetica"/>
        </w:rPr>
        <w:t>1.</w:t>
      </w:r>
      <w:r>
        <w:rPr>
          <w:rFonts w:ascii="Helvetica" w:hAnsi="Helvetica"/>
        </w:rPr>
        <w:tab/>
      </w:r>
      <w:r>
        <w:rPr>
          <w:rFonts w:ascii="Helvetica" w:hAnsi="Helvetica"/>
          <w:b/>
        </w:rPr>
        <w:t>Simplify OBR forecasting:</w:t>
      </w:r>
      <w:r>
        <w:rPr>
          <w:rFonts w:ascii="Helvetica" w:hAnsi="Helvetica"/>
        </w:rPr>
        <w:t xml:space="preserve"> The OBR should focus on producing pre-measures forecasts of key headline indicators using simple, transparent models consistent with current academic best practice. It should move away from the current approach of attempting to model every element of policy and the economy in excessive detail.</w:t>
      </w:r>
    </w:p>
    <w:p w:rsidR="00E04BB1">
      <w:pPr>
        <w:spacing w:after="180"/>
        <w:ind w:left="360" w:hanging="360"/>
      </w:pPr>
      <w:r>
        <w:rPr>
          <w:rFonts w:ascii="Helvetica" w:hAnsi="Helvetica"/>
        </w:rPr>
        <w:t>2.</w:t>
      </w:r>
      <w:r>
        <w:rPr>
          <w:rFonts w:ascii="Helvetica" w:hAnsi="Helvetica"/>
        </w:rPr>
        <w:tab/>
      </w:r>
      <w:r>
        <w:rPr>
          <w:rFonts w:ascii="Helvetica" w:hAnsi="Helvetica"/>
          <w:b/>
        </w:rPr>
        <w:t>Strengthen external engagement:</w:t>
      </w:r>
      <w:r>
        <w:rPr>
          <w:rFonts w:ascii="Helvetica" w:hAnsi="Helvetica"/>
        </w:rPr>
        <w:t xml:space="preserve"> To support recommendation 1, the OBR should commission external research on a more systematic basis to inform its methodological choices. Its approach to contested parameters should be informed by the academic literature and should reflect genuine uncertainty.</w:t>
      </w:r>
    </w:p>
    <w:p w:rsidR="00E04BB1">
      <w:pPr>
        <w:spacing w:after="180"/>
        <w:ind w:left="360" w:hanging="360"/>
      </w:pPr>
      <w:r>
        <w:rPr>
          <w:rFonts w:ascii="Helvetica" w:hAnsi="Helvetica"/>
        </w:rPr>
        <w:t>3.</w:t>
      </w:r>
      <w:r>
        <w:rPr>
          <w:rFonts w:ascii="Helvetica" w:hAnsi="Helvetica"/>
        </w:rPr>
        <w:tab/>
      </w:r>
      <w:r>
        <w:rPr>
          <w:rFonts w:ascii="Helvetica" w:hAnsi="Helvetica"/>
          <w:b/>
        </w:rPr>
        <w:t>Return judgement to the Treasury:</w:t>
      </w:r>
      <w:r>
        <w:rPr>
          <w:rFonts w:ascii="Helvetica" w:hAnsi="Helvetica"/>
        </w:rPr>
        <w:t xml:space="preserve"> Formal responsibility for assessing fiscal rule compliance should rest with the Treasury, subject to parliamentary and market accountability. The OBR should provide the analytical inputs to this judgement, not the judgement itself: the OBR should no longer produce formal pass/fail judgements on fiscal rule compliance. It should instead provide qualitative commentary on the likely impact of Budget measures.</w:t>
      </w:r>
    </w:p>
    <w:p w:rsidR="00E04BB1">
      <w:pPr>
        <w:spacing w:after="180"/>
      </w:pPr>
      <w:r>
        <w:rPr>
          <w:rFonts w:ascii="Helvetica" w:hAnsi="Helvetica"/>
        </w:rPr>
        <w:t>These recommendations are considered in more detail in the following three subsections.</w:t>
      </w:r>
    </w:p>
    <w:p w:rsidR="00E04BB1">
      <w:pPr>
        <w:spacing w:after="180"/>
      </w:pPr>
      <w:r>
        <w:rPr>
          <w:rFonts w:ascii="Helvetica" w:hAnsi="Helvetica"/>
          <w:b/>
          <w:sz w:val="28"/>
        </w:rPr>
        <w:t>2.1 Recommendation 1: Simplify OBR forecasting</w:t>
      </w:r>
    </w:p>
    <w:p w:rsidR="00E04BB1">
      <w:pPr>
        <w:spacing w:after="180"/>
      </w:pPr>
      <w:r>
        <w:rPr>
          <w:rFonts w:ascii="Helvetica" w:hAnsi="Helvetica"/>
        </w:rPr>
        <w:t xml:space="preserve">The OBR’s macroeconomic model was originally developed by the Treasury in the 1970s (OBR, 2013). While it has been updated over the years, its core structure reflects approaches that were standard in an earlier era of economic forecasting. The model is large-scale, complex, and lacks transparency. It is, by now, significantly out of step with contemporary forecasting practice, which does not rely on large-scale </w:t>
      </w:r>
      <w:r>
        <w:rPr>
          <w:rFonts w:ascii="Helvetica" w:hAnsi="Helvetica"/>
        </w:rPr>
        <w:t>macroeconometric</w:t>
      </w:r>
      <w:r>
        <w:rPr>
          <w:rFonts w:ascii="Helvetica" w:hAnsi="Helvetica"/>
        </w:rPr>
        <w:t xml:space="preserve"> models to forecast, and its structure is almost impossible to explain to a non-specialist.</w:t>
      </w:r>
    </w:p>
    <w:p w:rsidR="00E04BB1">
      <w:pPr>
        <w:spacing w:after="180"/>
      </w:pPr>
      <w:r>
        <w:rPr>
          <w:rFonts w:ascii="Helvetica" w:hAnsi="Helvetica"/>
        </w:rPr>
        <w:t xml:space="preserve">At each fiscal event, the OBR produces </w:t>
      </w:r>
      <w:r>
        <w:rPr>
          <w:rFonts w:ascii="Helvetica" w:hAnsi="Helvetica"/>
        </w:rPr>
        <w:t>a ‘pre-measures’</w:t>
      </w:r>
      <w:r>
        <w:rPr>
          <w:rFonts w:ascii="Helvetica" w:hAnsi="Helvetica"/>
        </w:rPr>
        <w:t xml:space="preserve"> forecast of macroeconomic variables which is provided to the Treasury in advance of policy announcements. Once policy changes have been decided, the OBR then produces </w:t>
      </w:r>
      <w:r>
        <w:rPr>
          <w:rFonts w:ascii="Helvetica" w:hAnsi="Helvetica"/>
        </w:rPr>
        <w:t>an updated ‘post-measures’</w:t>
      </w:r>
      <w:r>
        <w:rPr>
          <w:rFonts w:ascii="Helvetica" w:hAnsi="Helvetica"/>
        </w:rPr>
        <w:t xml:space="preserve"> forecast which incorporates the effects of these changes.</w:t>
      </w:r>
    </w:p>
    <w:p w:rsidR="00E04BB1">
      <w:pPr>
        <w:spacing w:after="180"/>
      </w:pPr>
      <w:r>
        <w:rPr>
          <w:rFonts w:ascii="Helvetica" w:hAnsi="Helvetica"/>
        </w:rPr>
        <w:t>Production of the post-measures forecast involves appending multiplier analysis to the pre-</w:t>
      </w:r>
      <w:r>
        <w:rPr>
          <w:rFonts w:ascii="Helvetica" w:hAnsi="Helvetica"/>
        </w:rPr>
        <w:t>measures</w:t>
      </w:r>
      <w:r>
        <w:rPr>
          <w:rFonts w:ascii="Helvetica" w:hAnsi="Helvetica"/>
        </w:rPr>
        <w:t xml:space="preserve"> forecasts. Estimates of fiscal multipliers — the changes in real economic output that follow changes in government spending or taxation — are central to this process. Yet the OBR’s multiplier analyses are remarkably out-of-line with the academic literature on this topic.</w:t>
      </w:r>
    </w:p>
    <w:p w:rsidR="00E04BB1">
      <w:pPr>
        <w:spacing w:after="180"/>
      </w:pPr>
      <w:r>
        <w:rPr>
          <w:rFonts w:ascii="Helvetica" w:hAnsi="Helvetica"/>
        </w:rPr>
        <w:t>A</w:t>
      </w:r>
      <w:r>
        <w:rPr>
          <w:rFonts w:ascii="Helvetica" w:hAnsi="Helvetica"/>
        </w:rPr>
        <w:t xml:space="preserve"> analysis of fiscal multipliers for the IMF by Blanchard and Leigh in 2012 found that multipliers used in forecasting during the early 2010s were underestimated, and attributed growth forecast errors across advanced economies to this underestimation (Blanchard and Leigh, 2013). The OBR’s own 2012 Forecast Evaluation Report acknowledged that underestimated fiscal multipliers could be responsible for over-optimistic economic forecasts during the austerity period (OBR, 2012).</w:t>
      </w:r>
    </w:p>
    <w:p w:rsidR="00E04BB1">
      <w:pPr>
        <w:spacing w:after="180"/>
      </w:pPr>
      <w:r>
        <w:rPr>
          <w:rFonts w:ascii="Helvetica" w:hAnsi="Helvetica"/>
        </w:rPr>
        <w:t xml:space="preserve">More recent research has emphasised that multipliers vary substantially depending on economic conditions. Comprehensive meta-analysis and bibliometric review in </w:t>
      </w:r>
      <w:r>
        <w:rPr>
          <w:rFonts w:ascii="Helvetica" w:hAnsi="Helvetica"/>
        </w:rPr>
        <w:t>Gechert</w:t>
      </w:r>
      <w:r>
        <w:rPr>
          <w:rFonts w:ascii="Helvetica" w:hAnsi="Helvetica"/>
        </w:rPr>
        <w:t xml:space="preserve"> (2015), </w:t>
      </w:r>
      <w:r>
        <w:rPr>
          <w:rFonts w:ascii="Helvetica" w:hAnsi="Helvetica"/>
        </w:rPr>
        <w:t>Gechert</w:t>
      </w:r>
      <w:r>
        <w:rPr>
          <w:rFonts w:ascii="Helvetica" w:hAnsi="Helvetica"/>
        </w:rPr>
        <w:t xml:space="preserve"> &amp; </w:t>
      </w:r>
      <w:r>
        <w:rPr>
          <w:rFonts w:ascii="Helvetica" w:hAnsi="Helvetica"/>
        </w:rPr>
        <w:t>Rannenberg</w:t>
      </w:r>
      <w:r>
        <w:rPr>
          <w:rFonts w:ascii="Helvetica" w:hAnsi="Helvetica"/>
        </w:rPr>
        <w:t xml:space="preserve"> (2018) and Varela and Ribeiro (2025) </w:t>
      </w:r>
      <w:r>
        <w:rPr>
          <w:rFonts w:ascii="Helvetica" w:hAnsi="Helvetica"/>
        </w:rPr>
        <w:t>finds</w:t>
      </w:r>
      <w:r>
        <w:rPr>
          <w:rFonts w:ascii="Helvetica" w:hAnsi="Helvetica"/>
        </w:rPr>
        <w:t xml:space="preserve"> that government spending multipliers are “signiﬁcantly and substantially higher during downturns than during average economic circumstances or booms” (</w:t>
      </w:r>
      <w:r>
        <w:rPr>
          <w:rFonts w:ascii="Helvetica" w:hAnsi="Helvetica"/>
        </w:rPr>
        <w:t>Gechert</w:t>
      </w:r>
      <w:r>
        <w:rPr>
          <w:rFonts w:ascii="Helvetica" w:hAnsi="Helvetica"/>
        </w:rPr>
        <w:t xml:space="preserve"> &amp; </w:t>
      </w:r>
      <w:r>
        <w:rPr>
          <w:rFonts w:ascii="Helvetica" w:hAnsi="Helvetica"/>
        </w:rPr>
        <w:t>Rannenberg</w:t>
      </w:r>
      <w:r>
        <w:rPr>
          <w:rFonts w:ascii="Helvetica" w:hAnsi="Helvetica"/>
        </w:rPr>
        <w:t>, 2018, pp.1160). Even outside of crises, government spending multipliers are found to be around one — meaning that each pound of additional government spending leads to an equivalent increase in GDP. Government investment multipliers are higher still at around 1.5.</w:t>
      </w:r>
    </w:p>
    <w:p w:rsidR="00E04BB1">
      <w:pPr>
        <w:spacing w:after="180"/>
      </w:pPr>
      <w:r>
        <w:rPr>
          <w:rFonts w:ascii="Helvetica" w:hAnsi="Helvetica"/>
        </w:rPr>
        <w:t xml:space="preserve">These contemporary multiplier estimates are usually derived from vector autoregressive models. Yet the OBR uses multipliers that draw on a very narrow part of the </w:t>
      </w:r>
      <w:r>
        <w:rPr>
          <w:rFonts w:ascii="Helvetica" w:hAnsi="Helvetica"/>
        </w:rPr>
        <w:t>literature, and</w:t>
      </w:r>
      <w:r>
        <w:rPr>
          <w:rFonts w:ascii="Helvetica" w:hAnsi="Helvetica"/>
        </w:rPr>
        <w:t xml:space="preserve"> does not publish its methodology in any detail. Nonetheless, </w:t>
      </w:r>
      <w:r>
        <w:rPr>
          <w:rFonts w:ascii="Helvetica" w:hAnsi="Helvetica"/>
        </w:rPr>
        <w:t>it is clear that the</w:t>
      </w:r>
      <w:r>
        <w:rPr>
          <w:rFonts w:ascii="Helvetica" w:hAnsi="Helvetica"/>
        </w:rPr>
        <w:t xml:space="preserve"> OBR makes extreme assumptions which deviate from current academic best practice: they assume that permanent increases in spending (or decreases in taxation) result in multiplier effects for real GDP that taper to zero within five years (see: OBR, 2024). Moreover, they do not provide information on the likely effects on </w:t>
      </w:r>
      <w:r>
        <w:rPr>
          <w:rFonts w:ascii="Helvetica" w:hAnsi="Helvetica"/>
          <w:i/>
        </w:rPr>
        <w:t>nominal</w:t>
      </w:r>
      <w:r>
        <w:rPr>
          <w:rFonts w:ascii="Helvetica" w:hAnsi="Helvetica"/>
        </w:rPr>
        <w:t xml:space="preserve"> GDP, which are central to the effect of fiscal policy on borrowing and debt.</w:t>
      </w:r>
      <w:r>
        <w:rPr>
          <w:rStyle w:val="FootnoteReference"/>
          <w:rFonts w:cs="Noto Sans Devanagari"/>
        </w:rPr>
        <w:footnoteReference w:id="2"/>
      </w:r>
    </w:p>
    <w:p w:rsidR="00E04BB1">
      <w:pPr>
        <w:spacing w:after="180"/>
      </w:pPr>
      <w:r>
        <w:rPr>
          <w:rFonts w:ascii="Helvetica" w:hAnsi="Helvetica"/>
        </w:rPr>
        <w:t>Given the importance of fiscal multipliers, and the OBR’s unusual estimates and methods, one would expect detailed documentation of their estimation process. But this is not the case. In fact, one of the more useful documents regarding the OBR’s fiscal multipliers was gained by a Freedom of Information request in 2024 (OBR, 2024), but this still does not explain how the OBR’s multipliers are estimated.</w:t>
      </w:r>
    </w:p>
    <w:p w:rsidR="00E04BB1">
      <w:pPr>
        <w:spacing w:after="180"/>
      </w:pPr>
      <w:r>
        <w:rPr>
          <w:rFonts w:ascii="Helvetica" w:hAnsi="Helvetica"/>
        </w:rPr>
        <w:t xml:space="preserve">A similar problem exists in the OBR’s forecasts of productivity growth, which have been over-optimistic since its inception. Despite low productivity growth confounding forecasters across advanced economies since the 2008 financial crisis, the OBR is again out-of-step with the leading academic literature on this question. Recent research, for example, has demonstrated that “dramatic reductions” in forecast error are possible using alternative techniques. One study found that applying a “smoothed robust version” of a model </w:t>
      </w:r>
      <w:r>
        <w:rPr>
          <w:rFonts w:ascii="Helvetica" w:hAnsi="Helvetica"/>
        </w:rPr>
        <w:t>similar to</w:t>
      </w:r>
      <w:r>
        <w:rPr>
          <w:rFonts w:ascii="Helvetica" w:hAnsi="Helvetica"/>
        </w:rPr>
        <w:t xml:space="preserve"> the OBR’s reduced root mean-squared forecast error by 75 per cent when forecasting the decade after 2010 (Hendry and </w:t>
      </w:r>
      <w:r>
        <w:rPr>
          <w:rFonts w:ascii="Helvetica" w:hAnsi="Helvetica"/>
        </w:rPr>
        <w:t>Muellbauer</w:t>
      </w:r>
      <w:r>
        <w:rPr>
          <w:rFonts w:ascii="Helvetica" w:hAnsi="Helvetica"/>
        </w:rPr>
        <w:t>, 2024).</w:t>
      </w:r>
    </w:p>
    <w:p w:rsidR="00E04BB1">
      <w:pPr>
        <w:spacing w:after="180"/>
      </w:pPr>
      <w:r>
        <w:rPr>
          <w:rFonts w:ascii="Helvetica" w:hAnsi="Helvetica"/>
        </w:rPr>
        <w:t>The fundamental problem here is that economic forecasting — both unconditional and conditional on government policy — is inherently difficult.</w:t>
      </w:r>
    </w:p>
    <w:p w:rsidR="00E04BB1">
      <w:pPr>
        <w:spacing w:after="180"/>
      </w:pPr>
      <w:r>
        <w:rPr>
          <w:rFonts w:ascii="Helvetica" w:hAnsi="Helvetica"/>
        </w:rPr>
        <w:t xml:space="preserve">The obvious solution is for the OBR to substantially simplify its forecasting approach, using a suite of simple yet robust </w:t>
      </w:r>
      <w:r>
        <w:rPr>
          <w:rFonts w:ascii="Helvetica" w:hAnsi="Helvetica"/>
        </w:rPr>
        <w:t>macroeconometric</w:t>
      </w:r>
      <w:r>
        <w:rPr>
          <w:rFonts w:ascii="Helvetica" w:hAnsi="Helvetica"/>
        </w:rPr>
        <w:t xml:space="preserve"> models that are transparent and straightforward to communicate. This would accord with the approach taken by academic </w:t>
      </w:r>
      <w:r>
        <w:rPr>
          <w:rFonts w:ascii="Helvetica" w:hAnsi="Helvetica"/>
        </w:rPr>
        <w:t>macroeconometrics</w:t>
      </w:r>
      <w:r>
        <w:rPr>
          <w:rFonts w:ascii="Helvetica" w:hAnsi="Helvetica"/>
        </w:rPr>
        <w:t xml:space="preserve"> since the perceived failure of complex models in the 1970s. Complexity does not guarantee accuracy — indeed, there is considerable evidence that simpler approaches often outperform more elaborate models, particularly over medium-term horizons.</w:t>
      </w:r>
    </w:p>
    <w:p w:rsidR="00E04BB1">
      <w:pPr>
        <w:spacing w:after="180"/>
      </w:pPr>
      <w:r>
        <w:rPr>
          <w:rFonts w:ascii="Helvetica" w:hAnsi="Helvetica"/>
        </w:rPr>
        <w:t xml:space="preserve">This approach would still permit the OBR to produce pre-measures forecasts of the important headline indicators: nominal and real GDP, employment, interest rates, the government’s primary fiscal balance, and so on, but would remove the need to produce highly detailed forecasts of the </w:t>
      </w:r>
      <w:r>
        <w:rPr>
          <w:rFonts w:ascii="Helvetica" w:hAnsi="Helvetica"/>
        </w:rPr>
        <w:t>economy as a whole</w:t>
      </w:r>
      <w:r>
        <w:rPr>
          <w:rFonts w:ascii="Helvetica" w:hAnsi="Helvetica"/>
        </w:rPr>
        <w:t>.</w:t>
      </w:r>
    </w:p>
    <w:p w:rsidR="00E04BB1">
      <w:pPr>
        <w:spacing w:after="180"/>
      </w:pPr>
      <w:r>
        <w:rPr>
          <w:rFonts w:ascii="Helvetica" w:hAnsi="Helvetica"/>
          <w:b/>
          <w:sz w:val="28"/>
        </w:rPr>
        <w:t>2.2 Recommendation 2: Strengthen external engagement</w:t>
      </w:r>
    </w:p>
    <w:p w:rsidR="00E04BB1">
      <w:pPr>
        <w:spacing w:after="180"/>
      </w:pPr>
      <w:r>
        <w:rPr>
          <w:rFonts w:ascii="Helvetica" w:hAnsi="Helvetica"/>
        </w:rPr>
        <w:t>The obvious way for the OBR to stay current with academic best practice — and to overcome the limits of what is, essentially, a very small organisation — is to regularly engage with external expertise. It should commission academic research and system</w:t>
      </w:r>
      <w:r>
        <w:rPr>
          <w:rFonts w:ascii="Helvetica" w:hAnsi="Helvetica"/>
        </w:rPr>
        <w:t>atically incorporate the latest findings from the economics profession. Its approach to key contested parameters — such as fiscal multipliers — should be informed by meta-analyses of the literature, should be replicable by external economists, and should reflect genuine uncertainty.</w:t>
      </w:r>
    </w:p>
    <w:p w:rsidR="00E04BB1">
      <w:pPr>
        <w:spacing w:after="180"/>
      </w:pPr>
      <w:r>
        <w:rPr>
          <w:rFonts w:ascii="Helvetica" w:hAnsi="Helvetica"/>
        </w:rPr>
        <w:t xml:space="preserve">This recommendation is consistent with Laura van </w:t>
      </w:r>
      <w:r>
        <w:rPr>
          <w:rFonts w:ascii="Helvetica" w:hAnsi="Helvetica"/>
        </w:rPr>
        <w:t>Geest’s</w:t>
      </w:r>
      <w:r>
        <w:rPr>
          <w:rFonts w:ascii="Helvetica" w:hAnsi="Helvetica"/>
        </w:rPr>
        <w:t xml:space="preserve"> 2025 review of the OBR. Among other things, she recommended that the OBR should </w:t>
      </w:r>
      <w:r>
        <w:rPr>
          <w:rFonts w:ascii="Helvetica" w:hAnsi="Helvetica"/>
        </w:rPr>
        <w:t>should</w:t>
      </w:r>
      <w:r>
        <w:rPr>
          <w:rFonts w:ascii="Helvetica" w:hAnsi="Helvetica"/>
        </w:rPr>
        <w:t xml:space="preserve"> consider mechanisms to signal to the academic community key areas of upcoming interest and should review high-quality submissions received in response. The production of evidence, meta-analyses, or novel research in contested areas could be funded at little cost. This would have the added benefit of rejuvenating basic macroeconomic research in the UK. Consider, for example, that there is next to no research on nominal multipliers being produced by academic macroeconomists: an important yet basic question of public debt sustainability is currently sidelined by a lack of research incentives. At the same time, academia is producing fewer professional macroeconomists; were the OBR to engage more directly with the community, as van </w:t>
      </w:r>
      <w:r>
        <w:rPr>
          <w:rFonts w:ascii="Helvetica" w:hAnsi="Helvetica"/>
        </w:rPr>
        <w:t>Geest</w:t>
      </w:r>
      <w:r>
        <w:rPr>
          <w:rFonts w:ascii="Helvetica" w:hAnsi="Helvetica"/>
        </w:rPr>
        <w:t xml:space="preserve"> points out, this would help to develop a broader pipeline of future OBR staff.</w:t>
      </w:r>
    </w:p>
    <w:p w:rsidR="00E04BB1">
      <w:pPr>
        <w:spacing w:after="180"/>
      </w:pPr>
      <w:r>
        <w:rPr>
          <w:rFonts w:ascii="Helvetica" w:hAnsi="Helvetica"/>
          <w:b/>
          <w:sz w:val="28"/>
        </w:rPr>
        <w:t>2.3 Recommendation 3: Return judgement to the Treasury</w:t>
      </w:r>
    </w:p>
    <w:p w:rsidR="00E04BB1">
      <w:pPr>
        <w:spacing w:after="180"/>
      </w:pPr>
      <w:r>
        <w:rPr>
          <w:rFonts w:ascii="Helvetica" w:hAnsi="Helvetica"/>
        </w:rPr>
        <w:t>As Treasury ministers and their officials are, fundamentally, those with the democratic mandate to set fiscal policy, they alone have the capacity to determine whether fiscal policy meets a broad range of objectives. Judgement on whether objectives are met should be returned to the Treasury.</w:t>
      </w:r>
    </w:p>
    <w:p w:rsidR="00E04BB1">
      <w:pPr>
        <w:spacing w:after="180"/>
      </w:pPr>
      <w:r>
        <w:rPr>
          <w:rFonts w:ascii="Helvetica" w:hAnsi="Helvetica"/>
        </w:rPr>
        <w:t>This does not mean abandoning fiscal discipline. The Treasury would remain accountable to Parliament and the markets for its fiscal decisions. The OBR would continue to provide independent forecasts and analysis. Market participants and independent commentators would continue to scrutinise the Government’s fiscal plans.</w:t>
      </w:r>
    </w:p>
    <w:p w:rsidR="00E04BB1">
      <w:pPr>
        <w:spacing w:after="180"/>
      </w:pPr>
      <w:r>
        <w:rPr>
          <w:rFonts w:ascii="Helvetica" w:hAnsi="Helvetica"/>
        </w:rPr>
        <w:t>What it does mean is that long-term strategic decisions — about investment, public services, and the size and structure of the tax base — would no longer be driven by volatile and uncertain forecasts produced by a small group of individuals operating in relative isolation from the broader economics profession.</w:t>
      </w:r>
    </w:p>
    <w:p w:rsidR="00E04BB1">
      <w:pPr>
        <w:spacing w:after="180"/>
      </w:pPr>
      <w:r>
        <w:rPr>
          <w:rFonts w:ascii="Helvetica" w:hAnsi="Helvetica"/>
        </w:rPr>
        <w:t>At the same time, those setting fiscal policy do not necessarily have the time nor expertise to consider fiscal risk in the round, or in an impartial manner that transcends the pressures of day-to-day governing. It remains the case that an independent assessment of the government’s fiscal position is useful. Indeed, this is the basis of the Budget Responsibility and National Audit Act 2011 that laid the ground for the creation of the OBR.</w:t>
      </w:r>
    </w:p>
    <w:p w:rsidR="00E04BB1">
      <w:pPr>
        <w:spacing w:after="180"/>
      </w:pPr>
      <w:r>
        <w:rPr>
          <w:rFonts w:ascii="Helvetica" w:hAnsi="Helvetica"/>
        </w:rPr>
        <w:t xml:space="preserve">Our recommendation is, therefore, that the OBR should cease producing </w:t>
      </w:r>
      <w:r>
        <w:rPr>
          <w:rFonts w:ascii="Helvetica" w:hAnsi="Helvetica"/>
        </w:rPr>
        <w:t>a detailed post-measures</w:t>
      </w:r>
      <w:r>
        <w:rPr>
          <w:rFonts w:ascii="Helvetica" w:hAnsi="Helvetica"/>
        </w:rPr>
        <w:t xml:space="preserve"> forecast and associated pass/fail assessment of fiscal rule compliance. The OBR should instead produce a </w:t>
      </w:r>
      <w:r>
        <w:rPr>
          <w:rFonts w:ascii="Helvetica" w:hAnsi="Helvetica"/>
          <w:i/>
        </w:rPr>
        <w:t>qualitative</w:t>
      </w:r>
      <w:r>
        <w:rPr>
          <w:rFonts w:ascii="Helvetica" w:hAnsi="Helvetica"/>
        </w:rPr>
        <w:t xml:space="preserve"> report of the impact of policies announced at the Budget on economic outcomes and fiscal sustainability. The government of the day would be free to judge its actions against any fiscal rules it sets itself. This would free the OBR to produce a wider judgement of the government’s fiscal policy and the associated risks (see, e.g., Blanchard et al., 2021).</w:t>
      </w:r>
    </w:p>
    <w:p w:rsidR="00E04BB1">
      <w:pPr>
        <w:spacing w:after="180"/>
      </w:pPr>
      <w:r>
        <w:rPr>
          <w:rFonts w:ascii="Helvetica" w:hAnsi="Helvetica"/>
        </w:rPr>
        <w:t>In a previous submission to the House of Lords inquiry on the sustainability of the national debt, we noted that the complexities of economic forecasting and fiscal risk are too complicated to be captured in any precise, quantitative assessment (Calvert Jump and Michell, 2024). Moreover, the public sector already has a set of procedures to deal with risk analysis in this type of situation: the Orange Book. This is produced by the Government Risk Profession and the Risk Centre of Excellence, in collaboration with various other public sector organisations, and is essentially a manual for public sector risk management.</w:t>
      </w:r>
    </w:p>
    <w:p w:rsidR="00E04BB1">
      <w:pPr>
        <w:spacing w:after="180"/>
      </w:pPr>
      <w:r>
        <w:rPr>
          <w:rFonts w:ascii="Helvetica" w:hAnsi="Helvetica"/>
        </w:rPr>
        <w:t xml:space="preserve">The Orange Book describes how successful organisations recognise the complexity of the risks they face, and approach these risks in an agile, transparent and accountable manner. This has obvious implications for the extent to which quantitative fiscal rules should be relied on at all. But it also has implications for how the OBR </w:t>
      </w:r>
      <w:r>
        <w:rPr>
          <w:rFonts w:ascii="Helvetica" w:hAnsi="Helvetica"/>
        </w:rPr>
        <w:t>judges</w:t>
      </w:r>
      <w:r>
        <w:rPr>
          <w:rFonts w:ascii="Helvetica" w:hAnsi="Helvetica"/>
        </w:rPr>
        <w:t xml:space="preserve"> fiscal risk separately to the existence of those rules. In short, it should evaluate the fiscal risks facing the government along the lines suggested in the Orange Book:</w:t>
      </w:r>
    </w:p>
    <w:p w:rsidR="00E04BB1">
      <w:pPr>
        <w:spacing w:after="180"/>
        <w:ind w:left="720"/>
      </w:pPr>
      <w:r>
        <w:rPr>
          <w:rFonts w:ascii="Helvetica" w:hAnsi="Helvetica"/>
        </w:rPr>
        <w:t>“Risk identification activities should produce an integrated and holistic view of risks, often organised by taxonomies or categories of risk . . . The aim is to understand the organisation’s overall risk profile. The organisation can use a range of techniques for identifying specific risks that may potentially impact on one or more objectives.” (HM Treasury, 2025)</w:t>
      </w:r>
    </w:p>
    <w:p w:rsidR="00E04BB1">
      <w:pPr>
        <w:spacing w:after="180"/>
      </w:pPr>
      <w:r>
        <w:rPr>
          <w:rFonts w:ascii="Helvetica" w:hAnsi="Helvetica"/>
        </w:rPr>
        <w:t xml:space="preserve">The Orange Book goes on to advise that both tangible and intangible risks, changes in the external and internal environment, uncertainties and options, limitations of knowledge and information, as well as the potential biases and beliefs of those involved should all be </w:t>
      </w:r>
      <w:r>
        <w:rPr>
          <w:rFonts w:ascii="Helvetica" w:hAnsi="Helvetica"/>
        </w:rPr>
        <w:t>taken into account</w:t>
      </w:r>
      <w:r>
        <w:rPr>
          <w:rFonts w:ascii="Helvetica" w:hAnsi="Helvetica"/>
        </w:rPr>
        <w:t xml:space="preserve"> when evaluating risks.</w:t>
      </w:r>
    </w:p>
    <w:p w:rsidR="00E04BB1">
      <w:pPr>
        <w:spacing w:after="180"/>
      </w:pPr>
      <w:r>
        <w:rPr>
          <w:rFonts w:ascii="Helvetica" w:hAnsi="Helvetica"/>
        </w:rPr>
        <w:t>Our proposal may seem radical, but it reflects the reality that quantitative forecasts cannot bear the weight currently placed upon them, and — as noted above — have resulted in excessively volatile fiscal policy. Essentially, fiscal policy has returned to the type of fine tuning discredited in the ’60s and ’70s, with entirely predictable results.</w:t>
      </w:r>
    </w:p>
    <w:p w:rsidR="00E04BB1">
      <w:pPr>
        <w:spacing w:after="180"/>
      </w:pPr>
      <w:r>
        <w:rPr>
          <w:rFonts w:ascii="Helvetica" w:hAnsi="Helvetica"/>
          <w:b/>
          <w:sz w:val="32"/>
        </w:rPr>
        <w:t>Part 3: Conclusion: The Low Pay Commission as a Model</w:t>
      </w:r>
    </w:p>
    <w:p w:rsidR="00E04BB1">
      <w:pPr>
        <w:spacing w:after="180"/>
      </w:pPr>
      <w:r>
        <w:rPr>
          <w:rFonts w:ascii="Helvetica" w:hAnsi="Helvetica"/>
        </w:rPr>
        <w:t>The Office for Budget Responsibility was a sensible institutional innovation that addressed a genuine problem: the temptation for governments to produce over-optimistic forecasts. Fifteen years on, it has evolved into something quite different: a body that effectively determines the bounds of permissible fiscal policy.</w:t>
      </w:r>
    </w:p>
    <w:p w:rsidR="00E04BB1">
      <w:pPr>
        <w:spacing w:after="180"/>
      </w:pPr>
      <w:r>
        <w:rPr>
          <w:rFonts w:ascii="Helvetica" w:hAnsi="Helvetica"/>
        </w:rPr>
        <w:t>This evolution was not the result of conscious institutional design. It emerged gradually as the OBR’s forecasts became the reference point against which Chancellors measured their room for manoeuvre. But it has produced a dysfunctional dynamic in which inherently uncertain forecasts drive immediate policy responses, and long-term strategic decisions are subordinated to short-term headroom targets.</w:t>
      </w:r>
    </w:p>
    <w:p w:rsidR="00E04BB1">
      <w:pPr>
        <w:spacing w:after="180"/>
      </w:pPr>
      <w:r>
        <w:rPr>
          <w:rFonts w:ascii="Helvetica" w:hAnsi="Helvetica"/>
        </w:rPr>
        <w:t>The solution is not to double down on this approach — to tighten rules further, shorten horizons, or demand larger headroom buffers. Such reforms would simply entrench the underlying problem.</w:t>
      </w:r>
    </w:p>
    <w:p w:rsidR="00E04BB1">
      <w:pPr>
        <w:spacing w:after="180"/>
      </w:pPr>
      <w:r>
        <w:rPr>
          <w:rFonts w:ascii="Helvetica" w:hAnsi="Helvetica"/>
        </w:rPr>
        <w:t>Instead, appropriate boundaries between forecasting and policy judgement should be restored. The OBR should do what it was designed to do: produce independent, high-quality forecasts and analysis. Judgements about whether fiscal policy is appropriate should be made by elected ministers, accountable to Parliament and the public.</w:t>
      </w:r>
    </w:p>
    <w:p w:rsidR="00E04BB1">
      <w:pPr>
        <w:spacing w:after="180"/>
      </w:pPr>
      <w:r>
        <w:rPr>
          <w:rFonts w:ascii="Helvetica" w:hAnsi="Helvetica"/>
        </w:rPr>
        <w:t>This is not an argument for fiscal irresponsibility. Sustainable public finances matter, and credible fiscal frameworks are valuable. But credibility cannot be outsourced to a forecasting body. It must be earned through consistent, transparent, and defensible policy choices. The current arrangement — in which policy volatility is driven by forecasts that the OBR itself acknowledges are highly uncertain — serves neither credibility nor good policy.</w:t>
      </w:r>
    </w:p>
    <w:p w:rsidR="00E04BB1">
      <w:pPr>
        <w:spacing w:after="180"/>
      </w:pPr>
      <w:r>
        <w:rPr>
          <w:rFonts w:ascii="Helvetica" w:hAnsi="Helvetica"/>
        </w:rPr>
        <w:t xml:space="preserve">Our recommendations would bring the OBR closer to the canonical example of a functioning independent policy body in the United Kingdom: </w:t>
      </w:r>
      <w:r>
        <w:rPr>
          <w:rFonts w:ascii="Helvetica" w:hAnsi="Helvetica"/>
        </w:rPr>
        <w:t>the</w:t>
      </w:r>
      <w:r>
        <w:rPr>
          <w:rFonts w:ascii="Helvetica" w:hAnsi="Helvetica"/>
        </w:rPr>
        <w:t xml:space="preserve"> Low Pay Commission (LPC). The LPC was established in 1997 to advise the Government on the National Minimum Wage. Two key features of the LPC’s institutional design have contributed to its success:</w:t>
      </w:r>
    </w:p>
    <w:p w:rsidR="00E04BB1">
      <w:pPr>
        <w:spacing w:after="180"/>
        <w:ind w:left="360" w:hanging="360"/>
      </w:pPr>
      <w:r>
        <w:rPr>
          <w:rFonts w:ascii="Helvetica" w:hAnsi="Helvetica"/>
        </w:rPr>
        <w:t>1.</w:t>
      </w:r>
      <w:r>
        <w:rPr>
          <w:rFonts w:ascii="Helvetica" w:hAnsi="Helvetica"/>
        </w:rPr>
        <w:tab/>
        <w:t>The LPC is genuinely advisory. It makes recommendations to Government, but it is ultimately for ministers to decide whether to accept them. The Government has typically followed LPC advice, but this reflects the quality and credibility of that advice, not legal or institutional compulsion.</w:t>
      </w:r>
    </w:p>
    <w:p w:rsidR="00E04BB1">
      <w:pPr>
        <w:spacing w:after="180"/>
        <w:ind w:left="360" w:hanging="360"/>
      </w:pPr>
      <w:r>
        <w:rPr>
          <w:rFonts w:ascii="Helvetica" w:hAnsi="Helvetica"/>
        </w:rPr>
        <w:t>2.</w:t>
      </w:r>
      <w:r>
        <w:rPr>
          <w:rFonts w:ascii="Helvetica" w:hAnsi="Helvetica"/>
        </w:rPr>
        <w:tab/>
        <w:t>The LPC draws systematically on external expertise – both its own analyses of the labour market, but also evidence from stakeholders and academic research. Each year, the LPC commissions and publishes independent research projects to inform its recommendations (LPC, 2025).</w:t>
      </w:r>
    </w:p>
    <w:p w:rsidR="00E04BB1">
      <w:pPr>
        <w:spacing w:after="180"/>
      </w:pPr>
      <w:r>
        <w:rPr>
          <w:rFonts w:ascii="Helvetica" w:hAnsi="Helvetica"/>
        </w:rPr>
        <w:t>Unlike the OBR, the LPC has not been at the centre of political controversy, despite significant changes to minimum wage policy since its foundation. Instead, it has played an important role in the de-politicising of the minimum wage, and its establishment as a central plank of labour market policy with cross-party support.</w:t>
      </w:r>
    </w:p>
    <w:p w:rsidR="00E04BB1">
      <w:pPr>
        <w:spacing w:after="180"/>
      </w:pPr>
      <w:r>
        <w:rPr>
          <w:rFonts w:ascii="Helvetica" w:hAnsi="Helvetica"/>
        </w:rPr>
        <w:t xml:space="preserve">The recent announcement by the Chancellor that OBR forecasts will be produced only once per year shows an awareness of the problems outlined above. However, this reform does not address the fundamental problem. Even with annual forecasts, the same dysfunctional dynamic will persist: the OBR will produce a headroom figure, and the Chancellor will adjust policy to meet it. More fundamental reform is required: forecasting methods should be simplified and updated; judgement over fiscal policy should be returned to democratically elected </w:t>
      </w:r>
      <w:r>
        <w:rPr>
          <w:rFonts w:ascii="Helvetica" w:hAnsi="Helvetica"/>
        </w:rPr>
        <w:t>policy-makers</w:t>
      </w:r>
      <w:r>
        <w:rPr>
          <w:rFonts w:ascii="Helvetica" w:hAnsi="Helvetica"/>
        </w:rPr>
        <w:t>. In the absence of such reform, the UK will remain in a dysfunctional cycle in which poor economic outcomes lead to inappropriate policy, and inappropriate policy leads to poor economic outcomes.</w:t>
      </w:r>
    </w:p>
    <w:p w:rsidR="00E04BB1">
      <w:pPr>
        <w:spacing w:after="180"/>
      </w:pPr>
      <w:r>
        <w:rPr>
          <w:rFonts w:ascii="Helvetica" w:hAnsi="Helvetica"/>
          <w:b/>
          <w:sz w:val="32"/>
        </w:rPr>
        <w:t>References</w:t>
      </w:r>
    </w:p>
    <w:p w:rsidR="00E04BB1">
      <w:pPr>
        <w:spacing w:after="180"/>
      </w:pPr>
      <w:r>
        <w:rPr>
          <w:rFonts w:ascii="Helvetica" w:hAnsi="Helvetica"/>
        </w:rPr>
        <w:t xml:space="preserve">Blanchard, O. and Leigh, D. (2013) ‘Growth Forecast Errors and Fiscal Multipliers’, </w:t>
      </w:r>
      <w:r>
        <w:rPr>
          <w:rFonts w:ascii="Helvetica" w:hAnsi="Helvetica"/>
          <w:i/>
        </w:rPr>
        <w:t>IMF Working Paper</w:t>
      </w:r>
      <w:r>
        <w:rPr>
          <w:rFonts w:ascii="Helvetica" w:hAnsi="Helvetica"/>
        </w:rPr>
        <w:t xml:space="preserve"> 13/1. Washington, DC: International Monetary Fund.</w:t>
      </w:r>
    </w:p>
    <w:p w:rsidR="00E04BB1">
      <w:pPr>
        <w:spacing w:after="180"/>
      </w:pPr>
      <w:r>
        <w:rPr>
          <w:rFonts w:ascii="Helvetica" w:hAnsi="Helvetica"/>
        </w:rPr>
        <w:t xml:space="preserve">Blanchard, O., Leandro, A., &amp; </w:t>
      </w:r>
      <w:r>
        <w:rPr>
          <w:rFonts w:ascii="Helvetica" w:hAnsi="Helvetica"/>
        </w:rPr>
        <w:t>Zettelmeyer</w:t>
      </w:r>
      <w:r>
        <w:rPr>
          <w:rFonts w:ascii="Helvetica" w:hAnsi="Helvetica"/>
        </w:rPr>
        <w:t xml:space="preserve">, J. (2021). Redesigning EU fiscal rules: From rules to standards. </w:t>
      </w:r>
      <w:r>
        <w:rPr>
          <w:rFonts w:ascii="Helvetica" w:hAnsi="Helvetica"/>
          <w:i/>
        </w:rPr>
        <w:t>Economic Policy</w:t>
      </w:r>
      <w:r>
        <w:rPr>
          <w:rFonts w:ascii="Helvetica" w:hAnsi="Helvetica"/>
        </w:rPr>
        <w:t>, 36(106), 195-236.</w:t>
      </w:r>
    </w:p>
    <w:p w:rsidR="00E04BB1">
      <w:pPr>
        <w:spacing w:after="180"/>
      </w:pPr>
      <w:r>
        <w:rPr>
          <w:rFonts w:ascii="Helvetica" w:hAnsi="Helvetica"/>
        </w:rPr>
        <w:t>Calvert Jump, R. &amp; Michell, J. (2024). Written evidence SND0025, House of Lords Inquiry on Sustainability of the UK’s national debt.</w:t>
      </w:r>
      <w:r>
        <w:rPr>
          <w:rFonts w:ascii="Helvetica" w:hAnsi="Helvetica"/>
        </w:rPr>
        <w:br/>
        <w:t>Available at: https://committees.parliament.uk/writtenevidence/128311/pdf/</w:t>
      </w:r>
    </w:p>
    <w:p w:rsidR="00E04BB1">
      <w:pPr>
        <w:spacing w:after="180"/>
      </w:pPr>
      <w:r>
        <w:rPr>
          <w:rFonts w:ascii="Helvetica" w:hAnsi="Helvetica"/>
        </w:rPr>
        <w:t>Clift, B. (2022). Technocratic economic governance and the politics of UK fiscal rules. British politics, 18(2), 254-278. Available at: https://link.springer.com/article/10.1057/s41293-022-00204-z</w:t>
      </w:r>
    </w:p>
    <w:p w:rsidR="00E04BB1">
      <w:pPr>
        <w:spacing w:after="180"/>
      </w:pPr>
      <w:r>
        <w:rPr>
          <w:rFonts w:ascii="Helvetica" w:hAnsi="Helvetica"/>
        </w:rPr>
        <w:t>Gechert</w:t>
      </w:r>
      <w:r>
        <w:rPr>
          <w:rFonts w:ascii="Helvetica" w:hAnsi="Helvetica"/>
        </w:rPr>
        <w:t xml:space="preserve">, S. (2015) ‘What fiscal policy is most effective? A meta-regression analysis’, </w:t>
      </w:r>
      <w:r>
        <w:rPr>
          <w:rFonts w:ascii="Helvetica" w:hAnsi="Helvetica"/>
          <w:i/>
        </w:rPr>
        <w:t>Oxford Economic Papers</w:t>
      </w:r>
      <w:r>
        <w:rPr>
          <w:rFonts w:ascii="Helvetica" w:hAnsi="Helvetica"/>
        </w:rPr>
        <w:t>, 67(3), pp. 553-580.</w:t>
      </w:r>
    </w:p>
    <w:p w:rsidR="00E04BB1">
      <w:pPr>
        <w:spacing w:after="180"/>
      </w:pPr>
      <w:r>
        <w:rPr>
          <w:rFonts w:ascii="Helvetica" w:hAnsi="Helvetica"/>
        </w:rPr>
        <w:t>Gechert</w:t>
      </w:r>
      <w:r>
        <w:rPr>
          <w:rFonts w:ascii="Helvetica" w:hAnsi="Helvetica"/>
        </w:rPr>
        <w:t xml:space="preserve">, S. &amp; </w:t>
      </w:r>
      <w:r>
        <w:rPr>
          <w:rFonts w:ascii="Helvetica" w:hAnsi="Helvetica"/>
        </w:rPr>
        <w:t>Rannenberg</w:t>
      </w:r>
      <w:r>
        <w:rPr>
          <w:rFonts w:ascii="Helvetica" w:hAnsi="Helvetica"/>
        </w:rPr>
        <w:t xml:space="preserve">, A. (2018), ‘Which fiscal multipliers are regime-dependent? a meta-regression analysis’. </w:t>
      </w:r>
      <w:r>
        <w:rPr>
          <w:rFonts w:ascii="Helvetica" w:hAnsi="Helvetica"/>
          <w:i/>
        </w:rPr>
        <w:t>Journal of Economic Surveys</w:t>
      </w:r>
      <w:r>
        <w:rPr>
          <w:rFonts w:ascii="Helvetica" w:hAnsi="Helvetica"/>
        </w:rPr>
        <w:t>, 32: 1160-1182.</w:t>
      </w:r>
    </w:p>
    <w:p w:rsidR="00E04BB1">
      <w:pPr>
        <w:spacing w:after="180"/>
      </w:pPr>
      <w:r>
        <w:rPr>
          <w:rFonts w:ascii="Helvetica" w:hAnsi="Helvetica"/>
        </w:rPr>
        <w:t xml:space="preserve">Hendry, D.F. and </w:t>
      </w:r>
      <w:r>
        <w:rPr>
          <w:rFonts w:ascii="Helvetica" w:hAnsi="Helvetica"/>
        </w:rPr>
        <w:t>Muellbauer</w:t>
      </w:r>
      <w:r>
        <w:rPr>
          <w:rFonts w:ascii="Helvetica" w:hAnsi="Helvetica"/>
        </w:rPr>
        <w:t xml:space="preserve">, J. (2024) ‘Why did the Bank of England need a review of its forecasting record?’, </w:t>
      </w:r>
      <w:r>
        <w:rPr>
          <w:rFonts w:ascii="Helvetica" w:hAnsi="Helvetica"/>
          <w:i/>
        </w:rPr>
        <w:t>Economics Observatory</w:t>
      </w:r>
      <w:r>
        <w:rPr>
          <w:rFonts w:ascii="Helvetica" w:hAnsi="Helvetica"/>
        </w:rPr>
        <w:t>, 31 May. Available at: https://www.economicsobservatory.com/why-did-the-bank-of-england-need-a-review-of-its-forecasting-record (Accessed: January 2026).</w:t>
      </w:r>
    </w:p>
    <w:p w:rsidR="00E04BB1">
      <w:pPr>
        <w:spacing w:after="180"/>
      </w:pPr>
      <w:r>
        <w:rPr>
          <w:rFonts w:ascii="Helvetica" w:hAnsi="Helvetica"/>
        </w:rPr>
        <w:t>HM Treasury (2025) The Orange Book: Management of risk – principles and concepts. London: HM Treasury. Available at: https://www.gov.uk/government/publications/orange-book/the-orange-book-management-of-risk-principles-and-concepts (Accessed: January 2026).</w:t>
      </w:r>
    </w:p>
    <w:p w:rsidR="00E04BB1">
      <w:pPr>
        <w:spacing w:after="180"/>
      </w:pPr>
      <w:r>
        <w:rPr>
          <w:rFonts w:ascii="Helvetica" w:hAnsi="Helvetica"/>
        </w:rPr>
        <w:t>IfG</w:t>
      </w:r>
      <w:r>
        <w:rPr>
          <w:rFonts w:ascii="Helvetica" w:hAnsi="Helvetica"/>
        </w:rPr>
        <w:t xml:space="preserve"> (2024) ‘Fiscal rules in the UK since 1997’, November. London: Institute for Government. Available at: https://www.instituteforgovernment.org.uk/explainer/fiscal-rules-history</w:t>
      </w:r>
    </w:p>
    <w:p w:rsidR="00E04BB1">
      <w:pPr>
        <w:spacing w:after="180"/>
      </w:pPr>
      <w:r>
        <w:rPr>
          <w:rFonts w:ascii="Helvetica" w:hAnsi="Helvetica"/>
        </w:rPr>
        <w:t xml:space="preserve">LPC (2025) </w:t>
      </w:r>
      <w:r>
        <w:rPr>
          <w:rFonts w:ascii="Helvetica" w:hAnsi="Helvetica"/>
          <w:i/>
        </w:rPr>
        <w:t>Low Pay Commission Research</w:t>
      </w:r>
      <w:r>
        <w:rPr>
          <w:rFonts w:ascii="Helvetica" w:hAnsi="Helvetica"/>
        </w:rPr>
        <w:t>.</w:t>
      </w:r>
      <w:r>
        <w:rPr>
          <w:rFonts w:ascii="Helvetica" w:hAnsi="Helvetica"/>
        </w:rPr>
        <w:br/>
        <w:t>Available at: https://www.gov.uk/government/collections/low-pay-commission-research (Accessed: January 2026).</w:t>
      </w:r>
    </w:p>
    <w:p w:rsidR="00E04BB1">
      <w:pPr>
        <w:spacing w:after="180"/>
      </w:pPr>
      <w:r>
        <w:rPr>
          <w:rFonts w:ascii="Helvetica" w:hAnsi="Helvetica"/>
        </w:rPr>
        <w:t>NEF (2025) ‘Spring statement austerity measures could hit GDP by up to £12.6bn by 2029/30, wiping out savings from benefit reforms.’ London: New Economics Foundation. Available at: https://neweconomics.org/2025/03/spring-statement-austerity-measures-could-hit-gdp-by-up-to-12-6bn-by-2029-30-wiping-out-savings-from-benefit-reforms (Accessed: January 2026)</w:t>
      </w:r>
    </w:p>
    <w:p w:rsidR="00E04BB1">
      <w:pPr>
        <w:spacing w:after="180"/>
      </w:pPr>
      <w:r>
        <w:rPr>
          <w:rFonts w:ascii="Helvetica" w:hAnsi="Helvetica"/>
        </w:rPr>
        <w:t>New Economy Brief (2025) ‘Spring Statement Part 1: What’s in an OBR Forecast’, March. Available at: https://www.neweconomybrief.net/the-digest/spring-statement-part-1-whats-in-an-obr-forecast (Accessed: January 2026).</w:t>
      </w:r>
    </w:p>
    <w:p w:rsidR="00E04BB1">
      <w:pPr>
        <w:spacing w:after="180"/>
      </w:pPr>
      <w:r>
        <w:rPr>
          <w:rFonts w:ascii="Helvetica" w:hAnsi="Helvetica"/>
        </w:rPr>
        <w:t xml:space="preserve">OBR (2012) </w:t>
      </w:r>
      <w:r>
        <w:rPr>
          <w:rFonts w:ascii="Helvetica" w:hAnsi="Helvetica"/>
          <w:i/>
        </w:rPr>
        <w:t>Forecast Evaluation Report</w:t>
      </w:r>
      <w:r>
        <w:rPr>
          <w:rFonts w:ascii="Helvetica" w:hAnsi="Helvetica"/>
        </w:rPr>
        <w:t>, October. London: Office for Budget Responsibility.</w:t>
      </w:r>
    </w:p>
    <w:p w:rsidR="00E04BB1">
      <w:pPr>
        <w:spacing w:after="180"/>
      </w:pPr>
      <w:r>
        <w:rPr>
          <w:rFonts w:ascii="Helvetica" w:hAnsi="Helvetica"/>
        </w:rPr>
        <w:t xml:space="preserve">OBR (2013) </w:t>
      </w:r>
      <w:r>
        <w:rPr>
          <w:rFonts w:ascii="Helvetica" w:hAnsi="Helvetica"/>
          <w:i/>
        </w:rPr>
        <w:t>Briefing Paper No. 5: The macroeconomic model</w:t>
      </w:r>
      <w:r>
        <w:rPr>
          <w:rFonts w:ascii="Helvetica" w:hAnsi="Helvetica"/>
        </w:rPr>
        <w:t>, October. London: Office for Budget Responsibility.</w:t>
      </w:r>
    </w:p>
    <w:p w:rsidR="00E04BB1">
      <w:pPr>
        <w:spacing w:after="180"/>
      </w:pPr>
      <w:r>
        <w:rPr>
          <w:rFonts w:ascii="Helvetica" w:hAnsi="Helvetica"/>
        </w:rPr>
        <w:t xml:space="preserve">OBR (2024) </w:t>
      </w:r>
      <w:r>
        <w:rPr>
          <w:rFonts w:ascii="Helvetica" w:hAnsi="Helvetica"/>
          <w:i/>
        </w:rPr>
        <w:t>FOI: Information on multipliers</w:t>
      </w:r>
      <w:r>
        <w:rPr>
          <w:rFonts w:ascii="Helvetica" w:hAnsi="Helvetica"/>
        </w:rPr>
        <w:t>, December. London: Office for Budget Responsibility. Available at: https://obr.uk/transparency/requests-for-information/.</w:t>
      </w:r>
    </w:p>
    <w:p w:rsidR="00E04BB1">
      <w:pPr>
        <w:spacing w:after="180"/>
      </w:pPr>
      <w:r>
        <w:rPr>
          <w:rFonts w:ascii="Helvetica" w:hAnsi="Helvetica"/>
        </w:rPr>
        <w:t xml:space="preserve">OBR (2025a) </w:t>
      </w:r>
      <w:r>
        <w:rPr>
          <w:rFonts w:ascii="Helvetica" w:hAnsi="Helvetica"/>
          <w:i/>
        </w:rPr>
        <w:t>Economic and Fiscal Outlook</w:t>
      </w:r>
      <w:r>
        <w:rPr>
          <w:rFonts w:ascii="Helvetica" w:hAnsi="Helvetica"/>
        </w:rPr>
        <w:t>, November. London: Office for Budget Responsibility.</w:t>
      </w:r>
    </w:p>
    <w:p w:rsidR="00E04BB1">
      <w:pPr>
        <w:spacing w:after="180"/>
      </w:pPr>
      <w:r>
        <w:rPr>
          <w:rFonts w:ascii="Helvetica" w:hAnsi="Helvetica"/>
        </w:rPr>
        <w:t xml:space="preserve">OBR (2025b) </w:t>
      </w:r>
      <w:r>
        <w:rPr>
          <w:rFonts w:ascii="Helvetica" w:hAnsi="Helvetica"/>
          <w:i/>
        </w:rPr>
        <w:t>Economic and Fiscal Outlook</w:t>
      </w:r>
      <w:r>
        <w:rPr>
          <w:rFonts w:ascii="Helvetica" w:hAnsi="Helvetica"/>
        </w:rPr>
        <w:t>, March. London: Office for Budget Responsibility.</w:t>
      </w:r>
    </w:p>
    <w:p w:rsidR="00E04BB1">
      <w:pPr>
        <w:spacing w:after="180"/>
      </w:pPr>
      <w:r>
        <w:rPr>
          <w:rFonts w:ascii="Helvetica" w:hAnsi="Helvetica"/>
        </w:rPr>
        <w:t xml:space="preserve">OECD (2020) </w:t>
      </w:r>
      <w:r>
        <w:rPr>
          <w:rFonts w:ascii="Helvetica" w:hAnsi="Helvetica"/>
          <w:i/>
        </w:rPr>
        <w:t>Independent Fiscal Institutions Review: Office for Budget Responsibility of the United Kingdom</w:t>
      </w:r>
      <w:r>
        <w:rPr>
          <w:rFonts w:ascii="Helvetica" w:hAnsi="Helvetica"/>
        </w:rPr>
        <w:t>, September. Paris: Organisation for Economic Co-operation and Development.</w:t>
      </w:r>
    </w:p>
    <w:p w:rsidR="00E04BB1">
      <w:pPr>
        <w:spacing w:after="180"/>
      </w:pPr>
      <w:r>
        <w:rPr>
          <w:rFonts w:ascii="Helvetica" w:hAnsi="Helvetica"/>
        </w:rPr>
        <w:t>Tetlow, G. (2025) ‘The benefits of having only one OBR forecast a year increasingly outweigh the costs’, May. London: Institute for Government. Available at: https://www.instituteforgovernment.org.uk/comment/imf-obr-single-forecast</w:t>
      </w:r>
    </w:p>
    <w:p w:rsidR="00E04BB1">
      <w:pPr>
        <w:spacing w:after="180"/>
      </w:pPr>
      <w:r>
        <w:rPr>
          <w:rFonts w:ascii="Helvetica" w:hAnsi="Helvetica"/>
        </w:rPr>
        <w:t xml:space="preserve">Van </w:t>
      </w:r>
      <w:r>
        <w:rPr>
          <w:rFonts w:ascii="Helvetica" w:hAnsi="Helvetica"/>
        </w:rPr>
        <w:t>Geest</w:t>
      </w:r>
      <w:r>
        <w:rPr>
          <w:rFonts w:ascii="Helvetica" w:hAnsi="Helvetica"/>
        </w:rPr>
        <w:t xml:space="preserve">, L. (2025) </w:t>
      </w:r>
      <w:r>
        <w:rPr>
          <w:rFonts w:ascii="Helvetica" w:hAnsi="Helvetica"/>
          <w:i/>
        </w:rPr>
        <w:t>External Review of the Office for Budget Responsibility 2025</w:t>
      </w:r>
      <w:r>
        <w:rPr>
          <w:rFonts w:ascii="Helvetica" w:hAnsi="Helvetica"/>
        </w:rPr>
        <w:t>, London: Office for Budget Responsibility. Available at: https://obr.uk/about-the-obr/external-reviews/</w:t>
      </w:r>
    </w:p>
    <w:p w:rsidR="00E04BB1">
      <w:pPr>
        <w:spacing w:after="180"/>
        <w:rPr>
          <w:rFonts w:ascii="Helvetica" w:hAnsi="Helvetica"/>
        </w:rPr>
      </w:pPr>
      <w:r>
        <w:rPr>
          <w:rFonts w:ascii="Helvetica" w:hAnsi="Helvetica"/>
        </w:rPr>
        <w:t xml:space="preserve">Varela, M. C., &amp; Ribeiro, A. P. F. (2025). ‘Empirical Literature on Fiscal Multipliers: A Bibliometric Approach, 2002–2023’, </w:t>
      </w:r>
      <w:r>
        <w:rPr>
          <w:rFonts w:ascii="Helvetica" w:hAnsi="Helvetica"/>
          <w:i/>
        </w:rPr>
        <w:t>Journal of Economic Surveys</w:t>
      </w:r>
      <w:r>
        <w:rPr>
          <w:rFonts w:ascii="Helvetica" w:hAnsi="Helvetica"/>
        </w:rPr>
        <w:t>, October (in press). Available at: https://onlinelibrary.wiley.com/doi/pdf/10.1111/joes.70020</w:t>
      </w:r>
    </w:p>
    <w:p w:rsidR="00477CDB">
      <w:pPr>
        <w:spacing w:after="180"/>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E637DB">
      <w:pPr>
        <w:spacing w:after="180"/>
        <w:rPr>
          <w:rFonts w:ascii="Arial" w:hAnsi="Arial" w:cs="Arial"/>
          <w:b/>
          <w:bCs/>
          <w:i/>
          <w:iCs/>
        </w:rPr>
      </w:pPr>
    </w:p>
    <w:p w:rsidR="00477CDB" w:rsidRPr="00477CDB">
      <w:pPr>
        <w:spacing w:after="180"/>
        <w:rPr>
          <w:rFonts w:ascii="Arial" w:hAnsi="Arial" w:cs="Arial"/>
          <w:b/>
          <w:bCs/>
          <w:i/>
          <w:iCs/>
        </w:rPr>
      </w:pPr>
      <w:r w:rsidRPr="00477CDB">
        <w:rPr>
          <w:rFonts w:ascii="Arial" w:hAnsi="Arial" w:cs="Arial"/>
          <w:b/>
          <w:bCs/>
          <w:i/>
          <w:iCs/>
        </w:rPr>
        <w:t>January 2026</w:t>
      </w:r>
    </w:p>
    <w:sectPr>
      <w:headerReference w:type="default" r:id="rId5"/>
      <w:type w:val="continuous"/>
      <w:pgSz w:w="12240" w:h="15840"/>
      <w:pgMar w:top="1440" w:right="1440" w:bottom="1440" w:left="1440" w:header="720" w:footer="720" w:gutter="0"/>
      <w:cols w:space="720"/>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Noto Sans Devanagari">
    <w:charset w:val="00"/>
    <w:family w:val="swiss"/>
    <w:pitch w:val="variable"/>
    <w:sig w:usb0="80008023" w:usb1="00002046" w:usb2="00000000" w:usb3="00000000" w:csb0="00000001" w:csb1="00000000"/>
  </w:font>
  <w:font w:name="Liberation Sans">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424D9">
      <w:pPr>
        <w:widowControl w:val="0"/>
        <w:rPr>
          <w:rFonts w:cs="Times New Roman"/>
          <w:kern w:val="0"/>
          <w:lang w:eastAsia="en-GB" w:bidi="ar-SA"/>
        </w:rPr>
      </w:pPr>
    </w:p>
  </w:footnote>
  <w:footnote w:type="continuationSeparator" w:id="1">
    <w:p w:rsidR="000424D9">
      <w:r>
        <w:continuationSeparator/>
      </w:r>
    </w:p>
  </w:footnote>
  <w:footnote w:id="2">
    <w:p w:rsidR="00E04BB1">
      <w:r w:rsidRPr="00477CDB">
        <w:rPr>
          <w:rStyle w:val="FootnoteReference"/>
          <w:rFonts w:cs="Noto Sans Devanagari"/>
        </w:rPr>
        <w:footnoteRef/>
      </w:r>
      <w:r>
        <w:rPr>
          <w:sz w:val="20"/>
          <w:szCs w:val="20"/>
        </w:rPr>
        <w:t> </w:t>
      </w:r>
      <w:r>
        <w:rPr>
          <w:rFonts w:ascii="Helvetica" w:hAnsi="Helvetica"/>
          <w:sz w:val="20"/>
          <w:szCs w:val="20"/>
        </w:rPr>
        <w:t>A detailed description of the problems with the OBR’s methods for multiplier analysis requires substantial technical detail and is thus inappropriate for this submission. We can provide more details on request.</w:t>
      </w:r>
    </w:p>
    <w:p w:rsidR="000424D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CDB" w:rsidRPr="00477CDB">
    <w:pPr>
      <w:pStyle w:val="Header"/>
      <w:rPr>
        <w:rFonts w:ascii="Arial" w:hAnsi="Arial" w:cs="Arial"/>
        <w:sz w:val="22"/>
        <w:szCs w:val="22"/>
      </w:rPr>
    </w:pPr>
    <w:r w:rsidRPr="00477CDB">
      <w:rPr>
        <w:rFonts w:ascii="Arial" w:hAnsi="Arial" w:cs="Arial"/>
        <w:sz w:val="22"/>
        <w:szCs w:val="22"/>
      </w:rPr>
      <w:t>OBR0016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NotTrackMoves/>
  <w:defaultTabStop w:val="720"/>
  <w:autoHyphenation/>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adjustRightInd w:val="0"/>
      <w:spacing w:after="0" w:line="240" w:lineRule="auto"/>
    </w:pPr>
    <w:rPr>
      <w:rFonts w:ascii="Liberation Serif" w:hAnsi="Liberation Serif" w:cs="Noto Sans Devanagari"/>
      <w:kern w:val="1"/>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uiPriority w:val="99"/>
  </w:style>
  <w:style w:type="character" w:styleId="FootnoteReference">
    <w:name w:val="footnote reference"/>
    <w:basedOn w:val="DefaultParagraphFont"/>
    <w:uiPriority w:val="99"/>
    <w:rPr>
      <w:rFonts w:cs="Times New Roman"/>
      <w:vertAlign w:val="superscript"/>
    </w:rPr>
  </w:style>
  <w:style w:type="character" w:styleId="EndnoteReference">
    <w:name w:val="endnote reference"/>
    <w:basedOn w:val="DefaultParagraphFont"/>
    <w:uiPriority w:val="99"/>
    <w:rPr>
      <w:rFonts w:cs="Times New Roman"/>
      <w:vertAlign w:val="superscript"/>
    </w:rPr>
  </w:style>
  <w:style w:type="character" w:customStyle="1" w:styleId="EndnoteCharacters">
    <w:name w:val="Endnote Characters"/>
    <w:uiPriority w:val="99"/>
  </w:style>
  <w:style w:type="paragraph" w:customStyle="1" w:styleId="Heading">
    <w:name w:val="Heading"/>
    <w:basedOn w:val="Normal"/>
    <w:next w:val="BodyText"/>
    <w:uiPriority w:val="99"/>
    <w:pPr>
      <w:keepNext/>
      <w:spacing w:before="240" w:after="120"/>
    </w:pPr>
    <w:rPr>
      <w:rFonts w:ascii="Liberation Sans" w:hAnsi="Liberation Sans"/>
      <w:kern w:val="0"/>
      <w:sz w:val="28"/>
      <w:szCs w:val="28"/>
      <w:lang w:eastAsia="en-GB" w:bidi="ar-SA"/>
    </w:rPr>
  </w:style>
  <w:style w:type="paragraph" w:styleId="BodyText">
    <w:name w:val="Body Text"/>
    <w:basedOn w:val="Normal"/>
    <w:link w:val="BodyTextChar"/>
    <w:uiPriority w:val="99"/>
    <w:pPr>
      <w:spacing w:after="140" w:line="276" w:lineRule="auto"/>
    </w:pPr>
    <w:rPr>
      <w:rFonts w:cs="Times New Roman"/>
      <w:kern w:val="0"/>
      <w:lang w:eastAsia="en-GB" w:bidi="ar-SA"/>
    </w:rPr>
  </w:style>
  <w:style w:type="character" w:customStyle="1" w:styleId="BodyTextChar">
    <w:name w:val="Body Text Char"/>
    <w:basedOn w:val="DefaultParagraphFont"/>
    <w:link w:val="BodyText"/>
    <w:uiPriority w:val="99"/>
    <w:semiHidden/>
    <w:rPr>
      <w:rFonts w:ascii="Liberation Serif" w:hAnsi="Liberation Serif" w:cs="Mangal"/>
      <w:kern w:val="1"/>
      <w:sz w:val="21"/>
      <w:szCs w:val="21"/>
      <w:lang w:eastAsia="zh-CN" w:bidi="hi-IN"/>
    </w:rPr>
  </w:style>
  <w:style w:type="paragraph" w:styleId="List">
    <w:name w:val="List"/>
    <w:basedOn w:val="BodyText"/>
    <w:uiPriority w:val="99"/>
    <w:rPr>
      <w:rFonts w:ascii="Noto Sans Devanagari" w:cs="Noto Sans Devanagari"/>
    </w:rPr>
  </w:style>
  <w:style w:type="paragraph" w:styleId="Caption">
    <w:name w:val="caption"/>
    <w:basedOn w:val="Normal"/>
    <w:uiPriority w:val="99"/>
    <w:qFormat/>
    <w:pPr>
      <w:suppressLineNumbers/>
      <w:spacing w:before="120" w:after="120"/>
    </w:pPr>
    <w:rPr>
      <w:rFonts w:ascii="Noto Sans Devanagari"/>
      <w:i/>
      <w:iCs/>
      <w:kern w:val="0"/>
      <w:lang w:eastAsia="en-GB" w:bidi="ar-SA"/>
    </w:rPr>
  </w:style>
  <w:style w:type="paragraph" w:customStyle="1" w:styleId="Index">
    <w:name w:val="Index"/>
    <w:basedOn w:val="Normal"/>
    <w:uiPriority w:val="99"/>
    <w:pPr>
      <w:suppressLineNumbers/>
    </w:pPr>
    <w:rPr>
      <w:rFonts w:ascii="Noto Sans Devanagari"/>
      <w:kern w:val="0"/>
      <w:lang w:eastAsia="en-GB" w:bidi="ar-SA"/>
    </w:rPr>
  </w:style>
  <w:style w:type="paragraph" w:styleId="FootnoteText">
    <w:name w:val="footnote text"/>
    <w:basedOn w:val="Normal"/>
    <w:link w:val="FootnoteTextChar"/>
    <w:uiPriority w:val="99"/>
    <w:rPr>
      <w:rFonts w:cs="Times New Roman"/>
      <w:kern w:val="0"/>
      <w:lang w:eastAsia="en-GB" w:bidi="ar-SA"/>
    </w:rPr>
  </w:style>
  <w:style w:type="character" w:customStyle="1" w:styleId="FootnoteTextChar">
    <w:name w:val="Footnote Text Char"/>
    <w:basedOn w:val="DefaultParagraphFont"/>
    <w:link w:val="FootnoteText"/>
    <w:uiPriority w:val="99"/>
    <w:semiHidden/>
    <w:rPr>
      <w:rFonts w:ascii="Liberation Serif" w:hAnsi="Liberation Serif" w:cs="Mangal"/>
      <w:kern w:val="1"/>
      <w:sz w:val="18"/>
      <w:szCs w:val="18"/>
      <w:lang w:eastAsia="zh-CN" w:bidi="hi-IN"/>
    </w:rPr>
  </w:style>
  <w:style w:type="paragraph" w:styleId="Header">
    <w:name w:val="header"/>
    <w:basedOn w:val="Normal"/>
    <w:link w:val="HeaderChar"/>
    <w:uiPriority w:val="99"/>
    <w:unhideWhenUsed/>
    <w:rsid w:val="00477CDB"/>
    <w:pPr>
      <w:tabs>
        <w:tab w:val="center" w:pos="4513"/>
        <w:tab w:val="right" w:pos="9026"/>
      </w:tabs>
    </w:pPr>
    <w:rPr>
      <w:rFonts w:cs="Mangal"/>
      <w:szCs w:val="21"/>
    </w:rPr>
  </w:style>
  <w:style w:type="character" w:customStyle="1" w:styleId="HeaderChar">
    <w:name w:val="Header Char"/>
    <w:basedOn w:val="DefaultParagraphFont"/>
    <w:link w:val="Header"/>
    <w:uiPriority w:val="99"/>
    <w:rsid w:val="00477CDB"/>
    <w:rPr>
      <w:rFonts w:ascii="Liberation Serif" w:hAnsi="Liberation Serif" w:cs="Mangal"/>
      <w:kern w:val="1"/>
      <w:sz w:val="21"/>
      <w:szCs w:val="21"/>
      <w:lang w:eastAsia="zh-CN" w:bidi="hi-IN"/>
    </w:rPr>
  </w:style>
  <w:style w:type="paragraph" w:styleId="Footer">
    <w:name w:val="footer"/>
    <w:basedOn w:val="Normal"/>
    <w:link w:val="FooterChar"/>
    <w:uiPriority w:val="99"/>
    <w:unhideWhenUsed/>
    <w:rsid w:val="00477CDB"/>
    <w:pPr>
      <w:tabs>
        <w:tab w:val="center" w:pos="4513"/>
        <w:tab w:val="right" w:pos="9026"/>
      </w:tabs>
    </w:pPr>
    <w:rPr>
      <w:rFonts w:cs="Mangal"/>
      <w:szCs w:val="21"/>
    </w:rPr>
  </w:style>
  <w:style w:type="character" w:customStyle="1" w:styleId="FooterChar">
    <w:name w:val="Footer Char"/>
    <w:basedOn w:val="DefaultParagraphFont"/>
    <w:link w:val="Footer"/>
    <w:uiPriority w:val="99"/>
    <w:rsid w:val="00477CDB"/>
    <w:rPr>
      <w:rFonts w:ascii="Liberation Serif" w:hAnsi="Liberation Serif" w:cs="Mangal"/>
      <w:kern w:val="1"/>
      <w:sz w:val="21"/>
      <w:szCs w:val="21"/>
      <w:lang w:eastAsia="zh-CN" w:bidi="hi-IN"/>
    </w:rPr>
  </w:style>
  <w:style w:type="character" w:styleId="Hyperlink">
    <w:name w:val="Hyperlink"/>
    <w:basedOn w:val="DefaultParagraphFont"/>
    <w:uiPriority w:val="99"/>
    <w:unhideWhenUsed/>
    <w:rsid w:val="00477CDB"/>
    <w:rPr>
      <w:rFonts w:cs="Times New Roman"/>
      <w:color w:val="467886" w:themeColor="hyperlink"/>
      <w:u w:val="single"/>
    </w:rPr>
  </w:style>
  <w:style w:type="character" w:customStyle="1" w:styleId="UnresolvedMention">
    <w:name w:val="Unresolved Mention"/>
    <w:basedOn w:val="DefaultParagraphFont"/>
    <w:uiPriority w:val="99"/>
    <w:semiHidden/>
    <w:unhideWhenUsed/>
    <w:rsid w:val="00477CDB"/>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OBR0016</dc:title>
  <cp:revision>0</cp:revision>
</cp:coreProperties>
</file>