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D80EEB" w:rsidRPr="00B94D94" w:rsidP="00B94D94">
      <w:pPr>
        <w:spacing w:before="0" w:after="0" w:line="360" w:lineRule="auto"/>
        <w:jc w:val="center"/>
        <w:rPr>
          <w:rFonts w:ascii="Calibri" w:eastAsia="Arial" w:hAnsi="Calibri" w:cs="Calibri"/>
          <w:b/>
          <w:bCs/>
          <w:sz w:val="24"/>
        </w:rPr>
      </w:pPr>
      <w:r w:rsidRPr="00B94D94">
        <w:rPr>
          <w:rFonts w:ascii="Calibri" w:hAnsi="Calibri" w:cs="Calibri"/>
          <w:b/>
          <w:bCs/>
          <w:sz w:val="24"/>
        </w:rPr>
        <w:t xml:space="preserve">WRITTEN EVIDENCE SUBMITTED BY </w:t>
      </w:r>
      <w:r w:rsidRPr="00B94D94">
        <w:rPr>
          <w:rFonts w:ascii="Calibri" w:eastAsia="Arial" w:hAnsi="Calibri" w:cs="Calibri"/>
          <w:b/>
          <w:bCs/>
          <w:sz w:val="24"/>
        </w:rPr>
        <w:t>DR JOE ATKINSON, UNIVERSITY OF SOUTHAMPTON</w:t>
      </w:r>
    </w:p>
    <w:p w:rsidR="00D80EEB" w:rsidRPr="00B94D94" w:rsidP="00B94D94">
      <w:pPr>
        <w:spacing w:before="0" w:after="0"/>
        <w:jc w:val="center"/>
        <w:rPr>
          <w:rFonts w:ascii="Calibri" w:hAnsi="Calibri" w:cs="Calibri"/>
          <w:b/>
          <w:bCs/>
          <w:sz w:val="24"/>
        </w:rPr>
      </w:pPr>
      <w:r w:rsidRPr="00B94D94">
        <w:rPr>
          <w:rFonts w:ascii="Calibri" w:hAnsi="Calibri" w:cs="Calibri"/>
          <w:b/>
          <w:bCs/>
          <w:sz w:val="24"/>
        </w:rPr>
        <w:t>(RAI0080)</w:t>
      </w:r>
    </w:p>
    <w:p w:rsidR="00EB401F" w:rsidP="00E7490A">
      <w:pPr>
        <w:pStyle w:val="Heading1"/>
      </w:pPr>
    </w:p>
    <w:p w:rsidR="00EB401F" w:rsidRPr="00E7490A" w:rsidP="00E7490A">
      <w:pPr>
        <w:pStyle w:val="Heading1"/>
      </w:pPr>
      <w:r>
        <w:t>Summary</w:t>
      </w:r>
    </w:p>
    <w:p w:rsidR="00EB401F" w:rsidRPr="00E7490A" w:rsidP="00E7490A">
      <w:pPr>
        <w:pStyle w:val="ListParagraph"/>
        <w:numPr>
          <w:ilvl w:val="0"/>
          <w:numId w:val="23"/>
        </w:numPr>
        <w:spacing w:before="240" w:after="240" w:line="360" w:lineRule="auto"/>
        <w:rPr>
          <w:rFonts w:ascii="Book Antiqua" w:eastAsia="Arial" w:hAnsi="Book Antiqua" w:cs="Arial"/>
          <w:szCs w:val="22"/>
        </w:rPr>
      </w:pPr>
      <w:r w:rsidRPr="00E7490A">
        <w:rPr>
          <w:rFonts w:ascii="Book Antiqua" w:eastAsia="Arial" w:hAnsi="Book Antiqua" w:cs="Arial"/>
          <w:szCs w:val="22"/>
        </w:rPr>
        <w:t xml:space="preserve">This evidence is submitted by Dr Joe Atkinson, Associate Professor of Employment Law at the University of Southampton, in response to the Joint Committee on Human Rights call for evidence on Human Rights and the Regulation of AI. The </w:t>
      </w:r>
      <w:r w:rsidRPr="000E2339">
        <w:rPr>
          <w:rFonts w:ascii="Book Antiqua" w:eastAsia="Arial" w:hAnsi="Book Antiqua" w:cs="Arial"/>
          <w:b/>
          <w:bCs/>
          <w:szCs w:val="22"/>
        </w:rPr>
        <w:t>submission addresses issues relating to the protection of human rights at work in the age of AI</w:t>
      </w:r>
      <w:r w:rsidRPr="00E7490A">
        <w:rPr>
          <w:rFonts w:ascii="Book Antiqua" w:eastAsia="Arial" w:hAnsi="Book Antiqua" w:cs="Arial"/>
          <w:szCs w:val="22"/>
        </w:rPr>
        <w:t xml:space="preserve">. </w:t>
      </w:r>
    </w:p>
    <w:p w:rsidR="00EB401F" w:rsidRPr="00E7490A" w:rsidP="00E7490A">
      <w:pPr>
        <w:pStyle w:val="ListParagraph"/>
        <w:spacing w:before="240" w:after="240" w:line="360" w:lineRule="auto"/>
        <w:rPr>
          <w:rFonts w:ascii="Book Antiqua" w:eastAsia="Arial" w:hAnsi="Book Antiqua" w:cs="Arial"/>
          <w:szCs w:val="22"/>
        </w:rPr>
      </w:pPr>
    </w:p>
    <w:p w:rsidR="00EB401F" w:rsidRPr="00E7490A" w:rsidP="00E7490A">
      <w:pPr>
        <w:pStyle w:val="ListParagraph"/>
        <w:numPr>
          <w:ilvl w:val="0"/>
          <w:numId w:val="23"/>
        </w:numPr>
        <w:spacing w:before="240" w:after="240" w:line="360" w:lineRule="auto"/>
        <w:rPr>
          <w:rFonts w:ascii="Book Antiqua" w:eastAsia="Arial" w:hAnsi="Book Antiqua" w:cs="Arial"/>
          <w:szCs w:val="22"/>
        </w:rPr>
      </w:pPr>
      <w:r w:rsidRPr="00E7490A">
        <w:rPr>
          <w:rFonts w:ascii="Book Antiqua" w:eastAsia="Arial" w:hAnsi="Book Antiqua" w:cs="Arial"/>
          <w:szCs w:val="22"/>
        </w:rPr>
        <w:t xml:space="preserve">The </w:t>
      </w:r>
      <w:r>
        <w:rPr>
          <w:rFonts w:ascii="Book Antiqua" w:eastAsia="Arial" w:hAnsi="Book Antiqua" w:cs="Arial"/>
          <w:szCs w:val="22"/>
        </w:rPr>
        <w:t xml:space="preserve">submission </w:t>
      </w:r>
      <w:r w:rsidRPr="00E7490A">
        <w:rPr>
          <w:rFonts w:ascii="Book Antiqua" w:eastAsia="Arial" w:hAnsi="Book Antiqua" w:cs="Arial"/>
          <w:szCs w:val="22"/>
        </w:rPr>
        <w:t xml:space="preserve">highlights: </w:t>
      </w:r>
    </w:p>
    <w:p w:rsidR="00EB401F" w:rsidRPr="00E7490A" w:rsidP="00E7490A">
      <w:pPr>
        <w:pStyle w:val="ListParagraph"/>
        <w:numPr>
          <w:ilvl w:val="0"/>
          <w:numId w:val="22"/>
        </w:numPr>
        <w:spacing w:before="240" w:after="240" w:line="360" w:lineRule="auto"/>
        <w:rPr>
          <w:rFonts w:ascii="Book Antiqua" w:eastAsia="Arial" w:hAnsi="Book Antiqua" w:cs="Arial"/>
          <w:szCs w:val="22"/>
        </w:rPr>
      </w:pPr>
      <w:r w:rsidRPr="00E7490A">
        <w:rPr>
          <w:rFonts w:ascii="Book Antiqua" w:eastAsia="Arial" w:hAnsi="Book Antiqua" w:cs="Arial"/>
          <w:szCs w:val="22"/>
        </w:rPr>
        <w:t xml:space="preserve">The use of </w:t>
      </w:r>
      <w:r w:rsidRPr="000E2339">
        <w:rPr>
          <w:rFonts w:ascii="Book Antiqua" w:eastAsia="Arial" w:hAnsi="Book Antiqua" w:cs="Arial"/>
          <w:b/>
          <w:bCs/>
          <w:szCs w:val="22"/>
        </w:rPr>
        <w:t>AI to recruit, monitor and manage workers (‘algorithmic management’ practices) pose significant risks to human rights at work</w:t>
      </w:r>
      <w:r w:rsidRPr="00E7490A">
        <w:rPr>
          <w:rFonts w:ascii="Book Antiqua" w:eastAsia="Arial" w:hAnsi="Book Antiqua" w:cs="Arial"/>
          <w:szCs w:val="22"/>
        </w:rPr>
        <w:t xml:space="preserve">. This includes rights to privacy and non-discrimination. But also extends to freedom of expression, association and belief. </w:t>
      </w:r>
    </w:p>
    <w:p w:rsidR="00EB401F" w:rsidRPr="0078417D" w:rsidP="00E7490A">
      <w:pPr>
        <w:pStyle w:val="ListParagraph"/>
        <w:numPr>
          <w:ilvl w:val="0"/>
          <w:numId w:val="22"/>
        </w:numPr>
        <w:spacing w:before="240" w:after="240" w:line="360" w:lineRule="auto"/>
        <w:rPr>
          <w:rFonts w:ascii="Book Antiqua" w:eastAsia="Arial" w:hAnsi="Book Antiqua" w:cs="Arial"/>
          <w:szCs w:val="22"/>
        </w:rPr>
      </w:pPr>
      <w:r w:rsidRPr="00B03DE4">
        <w:rPr>
          <w:rFonts w:ascii="Book Antiqua" w:eastAsia="Arial" w:hAnsi="Book Antiqua" w:cs="Arial"/>
          <w:b/>
          <w:bCs/>
          <w:szCs w:val="22"/>
        </w:rPr>
        <w:t>N</w:t>
      </w:r>
      <w:r w:rsidRPr="0078417D">
        <w:rPr>
          <w:rFonts w:ascii="Book Antiqua" w:eastAsia="Arial" w:hAnsi="Book Antiqua" w:cs="Arial"/>
          <w:b/>
          <w:bCs/>
          <w:szCs w:val="22"/>
        </w:rPr>
        <w:t xml:space="preserve">ew legislation </w:t>
      </w:r>
      <w:r>
        <w:rPr>
          <w:rFonts w:ascii="Book Antiqua" w:eastAsia="Arial" w:hAnsi="Book Antiqua" w:cs="Arial"/>
          <w:b/>
          <w:bCs/>
          <w:szCs w:val="22"/>
        </w:rPr>
        <w:t xml:space="preserve">is needed to </w:t>
      </w:r>
      <w:r w:rsidRPr="0078417D">
        <w:rPr>
          <w:rFonts w:ascii="Book Antiqua" w:eastAsia="Arial" w:hAnsi="Book Antiqua" w:cs="Arial"/>
          <w:b/>
          <w:bCs/>
          <w:szCs w:val="22"/>
        </w:rPr>
        <w:t>support consultation and negotiation over the use of AI at work</w:t>
      </w:r>
      <w:r>
        <w:rPr>
          <w:rFonts w:ascii="Book Antiqua" w:eastAsia="Arial" w:hAnsi="Book Antiqua" w:cs="Arial"/>
          <w:b/>
          <w:bCs/>
          <w:szCs w:val="22"/>
        </w:rPr>
        <w:t xml:space="preserve">, </w:t>
      </w:r>
      <w:r w:rsidRPr="00724242">
        <w:rPr>
          <w:rFonts w:ascii="Book Antiqua" w:eastAsia="Arial" w:hAnsi="Book Antiqua" w:cs="Arial"/>
          <w:szCs w:val="22"/>
        </w:rPr>
        <w:t xml:space="preserve">as these </w:t>
      </w:r>
      <w:r>
        <w:rPr>
          <w:rFonts w:ascii="Book Antiqua" w:eastAsia="Arial" w:hAnsi="Book Antiqua" w:cs="Arial"/>
          <w:szCs w:val="22"/>
        </w:rPr>
        <w:t xml:space="preserve">are an important and flexible way </w:t>
      </w:r>
      <w:r w:rsidRPr="0078417D">
        <w:rPr>
          <w:rFonts w:ascii="Book Antiqua" w:eastAsia="Arial" w:hAnsi="Book Antiqua" w:cs="Arial"/>
          <w:szCs w:val="22"/>
        </w:rPr>
        <w:t>of addressing AI threats to human rights at work. This includes</w:t>
      </w:r>
      <w:r>
        <w:rPr>
          <w:rFonts w:ascii="Book Antiqua" w:eastAsia="Arial" w:hAnsi="Book Antiqua" w:cs="Arial"/>
          <w:szCs w:val="22"/>
        </w:rPr>
        <w:t xml:space="preserve"> </w:t>
      </w:r>
      <w:r w:rsidRPr="0078417D">
        <w:rPr>
          <w:rFonts w:ascii="Book Antiqua" w:eastAsia="Arial" w:hAnsi="Book Antiqua" w:cs="Arial"/>
          <w:szCs w:val="22"/>
        </w:rPr>
        <w:t xml:space="preserve">the introduction of workplace technology representatives, </w:t>
      </w:r>
      <w:r>
        <w:rPr>
          <w:rFonts w:ascii="Book Antiqua" w:eastAsia="Arial" w:hAnsi="Book Antiqua" w:cs="Arial"/>
          <w:szCs w:val="22"/>
        </w:rPr>
        <w:t xml:space="preserve">new </w:t>
      </w:r>
      <w:r w:rsidRPr="0078417D">
        <w:rPr>
          <w:rFonts w:ascii="Book Antiqua" w:eastAsia="Arial" w:hAnsi="Book Antiqua" w:cs="Arial"/>
          <w:szCs w:val="22"/>
        </w:rPr>
        <w:t>transparency obligations</w:t>
      </w:r>
      <w:r>
        <w:rPr>
          <w:rFonts w:ascii="Book Antiqua" w:eastAsia="Arial" w:hAnsi="Book Antiqua" w:cs="Arial"/>
          <w:szCs w:val="22"/>
        </w:rPr>
        <w:t>,</w:t>
      </w:r>
      <w:r w:rsidRPr="0078417D">
        <w:rPr>
          <w:rFonts w:ascii="Book Antiqua" w:eastAsia="Arial" w:hAnsi="Book Antiqua" w:cs="Arial"/>
          <w:szCs w:val="22"/>
        </w:rPr>
        <w:t xml:space="preserve"> and </w:t>
      </w:r>
      <w:r>
        <w:rPr>
          <w:rFonts w:ascii="Book Antiqua" w:eastAsia="Arial" w:hAnsi="Book Antiqua" w:cs="Arial"/>
          <w:szCs w:val="22"/>
        </w:rPr>
        <w:t xml:space="preserve">thorough </w:t>
      </w:r>
      <w:r w:rsidRPr="0078417D">
        <w:rPr>
          <w:rFonts w:ascii="Book Antiqua" w:eastAsia="Arial" w:hAnsi="Book Antiqua" w:cs="Arial"/>
          <w:szCs w:val="22"/>
        </w:rPr>
        <w:t>impact assessments.</w:t>
      </w:r>
    </w:p>
    <w:p w:rsidR="00EB401F" w:rsidRPr="00E7490A" w:rsidP="00E7490A">
      <w:pPr>
        <w:pStyle w:val="ListParagraph"/>
        <w:numPr>
          <w:ilvl w:val="0"/>
          <w:numId w:val="22"/>
        </w:numPr>
        <w:spacing w:before="240" w:after="240" w:line="360" w:lineRule="auto"/>
        <w:rPr>
          <w:rFonts w:ascii="Book Antiqua" w:eastAsia="Arial" w:hAnsi="Book Antiqua" w:cs="Arial"/>
          <w:szCs w:val="22"/>
        </w:rPr>
      </w:pPr>
      <w:r w:rsidRPr="00724242">
        <w:rPr>
          <w:rFonts w:ascii="Book Antiqua" w:eastAsia="Arial" w:hAnsi="Book Antiqua" w:cs="Arial"/>
          <w:b/>
          <w:bCs/>
          <w:szCs w:val="22"/>
        </w:rPr>
        <w:t xml:space="preserve">A </w:t>
      </w:r>
      <w:r w:rsidRPr="0078417D">
        <w:rPr>
          <w:rFonts w:ascii="Book Antiqua" w:eastAsia="Arial" w:hAnsi="Book Antiqua" w:cs="Arial"/>
          <w:b/>
          <w:bCs/>
          <w:szCs w:val="22"/>
        </w:rPr>
        <w:t>new generation of rights at work are needed to address the threat posed by AI to workers’ human rights</w:t>
      </w:r>
      <w:r>
        <w:rPr>
          <w:rFonts w:ascii="Book Antiqua" w:eastAsia="Arial" w:hAnsi="Book Antiqua" w:cs="Arial"/>
          <w:szCs w:val="22"/>
        </w:rPr>
        <w:t>.</w:t>
      </w:r>
      <w:r w:rsidRPr="00E7490A">
        <w:rPr>
          <w:rFonts w:ascii="Book Antiqua" w:eastAsia="Arial" w:hAnsi="Book Antiqua" w:cs="Arial"/>
          <w:szCs w:val="22"/>
        </w:rPr>
        <w:t xml:space="preserve"> </w:t>
      </w:r>
      <w:r>
        <w:rPr>
          <w:rFonts w:ascii="Book Antiqua" w:eastAsia="Arial" w:hAnsi="Book Antiqua" w:cs="Arial"/>
          <w:szCs w:val="22"/>
        </w:rPr>
        <w:t xml:space="preserve">This includes </w:t>
      </w:r>
      <w:r w:rsidRPr="00E7490A">
        <w:rPr>
          <w:rFonts w:ascii="Book Antiqua" w:eastAsia="Arial" w:hAnsi="Book Antiqua" w:cs="Arial"/>
          <w:szCs w:val="22"/>
        </w:rPr>
        <w:t>rights for human review, to contest AI-supported decisions, and a system of joint liability for the developers of AI systems.</w:t>
      </w:r>
    </w:p>
    <w:p w:rsidR="00EB401F" w:rsidP="00E7490A">
      <w:pPr>
        <w:pStyle w:val="ListParagraph"/>
        <w:numPr>
          <w:ilvl w:val="0"/>
          <w:numId w:val="22"/>
        </w:numPr>
        <w:spacing w:before="240" w:after="240" w:line="360" w:lineRule="auto"/>
        <w:rPr>
          <w:rFonts w:ascii="Book Antiqua" w:eastAsia="Arial" w:hAnsi="Book Antiqua" w:cs="Arial"/>
          <w:szCs w:val="22"/>
        </w:rPr>
      </w:pPr>
      <w:r>
        <w:rPr>
          <w:rFonts w:ascii="Book Antiqua" w:eastAsia="Arial" w:hAnsi="Book Antiqua" w:cs="Arial"/>
          <w:szCs w:val="22"/>
        </w:rPr>
        <w:t>The need for targeted and context-specific regulation of the use of AI at work.</w:t>
      </w:r>
    </w:p>
    <w:p w:rsidR="00EB401F" w:rsidRPr="00E7490A" w:rsidP="00E7490A">
      <w:pPr>
        <w:pStyle w:val="ListParagraph"/>
        <w:numPr>
          <w:ilvl w:val="0"/>
          <w:numId w:val="22"/>
        </w:numPr>
        <w:spacing w:before="240" w:after="240" w:line="360" w:lineRule="auto"/>
        <w:rPr>
          <w:rFonts w:ascii="Book Antiqua" w:eastAsia="Arial" w:hAnsi="Book Antiqua" w:cs="Arial"/>
          <w:szCs w:val="22"/>
        </w:rPr>
      </w:pPr>
      <w:r>
        <w:rPr>
          <w:rFonts w:ascii="Book Antiqua" w:eastAsia="Arial" w:hAnsi="Book Antiqua" w:cs="Arial"/>
          <w:szCs w:val="22"/>
        </w:rPr>
        <w:t>That EU regulations of AI at work, including the Platform Work Directive, provide a valuable starting point for domestic action, but should not be replicated wholesale.</w:t>
      </w:r>
    </w:p>
    <w:p w:rsidR="00EB401F" w:rsidRPr="00E7490A" w:rsidP="00E7490A">
      <w:pPr>
        <w:spacing w:before="240" w:after="240" w:line="360" w:lineRule="auto"/>
        <w:rPr>
          <w:rFonts w:ascii="Book Antiqua" w:eastAsia="Arial" w:hAnsi="Book Antiqua" w:cs="Arial"/>
          <w:szCs w:val="22"/>
        </w:rPr>
      </w:pPr>
    </w:p>
    <w:p w:rsidR="00EB401F" w:rsidRPr="00E7490A" w:rsidP="00E7490A">
      <w:pPr>
        <w:pStyle w:val="Heading1"/>
      </w:pPr>
      <w:r w:rsidRPr="00E7490A">
        <w:t xml:space="preserve">Written Evidence </w:t>
      </w:r>
    </w:p>
    <w:p w:rsidR="00EB401F" w:rsidRPr="00E7490A" w:rsidP="00E7490A">
      <w:pPr>
        <w:pStyle w:val="Heading2"/>
        <w:spacing w:line="360" w:lineRule="auto"/>
        <w:rPr>
          <w:rFonts w:ascii="Book Antiqua" w:hAnsi="Book Antiqua"/>
        </w:rPr>
      </w:pPr>
      <w:r w:rsidRPr="00E7490A">
        <w:rPr>
          <w:rFonts w:ascii="Book Antiqua" w:hAnsi="Book Antiqua"/>
        </w:rPr>
        <w:t>Human Rights Issues</w:t>
      </w:r>
    </w:p>
    <w:p w:rsidR="00EB401F" w:rsidRPr="00E7490A" w:rsidP="00E7490A">
      <w:pPr>
        <w:spacing w:before="240" w:after="240" w:line="360" w:lineRule="auto"/>
        <w:rPr>
          <w:rFonts w:ascii="Book Antiqua" w:eastAsia="Arial" w:hAnsi="Book Antiqua" w:cs="Arial"/>
          <w:b/>
          <w:bCs/>
          <w:szCs w:val="22"/>
        </w:rPr>
      </w:pPr>
      <w:r w:rsidRPr="00E7490A">
        <w:rPr>
          <w:rFonts w:ascii="Book Antiqua" w:eastAsia="Arial" w:hAnsi="Book Antiqua" w:cs="Arial"/>
          <w:b/>
          <w:bCs/>
          <w:szCs w:val="22"/>
        </w:rPr>
        <w:t xml:space="preserve">Q1: </w:t>
      </w:r>
      <w:r w:rsidRPr="00E7490A">
        <w:rPr>
          <w:rFonts w:ascii="Book Antiqua" w:eastAsia="Arial" w:hAnsi="Book Antiqua" w:cs="Arial"/>
          <w:b/>
          <w:bCs/>
          <w:szCs w:val="22"/>
        </w:rPr>
        <w:t>How can Artificial Intelligence (AI) affect individual human rights for good or ill, in particular in the areas of: (i) privacy and data usage and (ii) discrimination and bias?</w:t>
      </w:r>
    </w:p>
    <w:p w:rsidR="00EB401F" w:rsidP="00E7490A">
      <w:pPr>
        <w:pStyle w:val="ListParagraph"/>
        <w:numPr>
          <w:ilvl w:val="0"/>
          <w:numId w:val="23"/>
        </w:numPr>
        <w:spacing w:before="240" w:after="240" w:line="360" w:lineRule="auto"/>
        <w:rPr>
          <w:rFonts w:ascii="Book Antiqua" w:eastAsia="Arial" w:hAnsi="Book Antiqua" w:cs="Arial"/>
          <w:szCs w:val="22"/>
        </w:rPr>
      </w:pPr>
      <w:r w:rsidRPr="00E7490A">
        <w:rPr>
          <w:rFonts w:ascii="Book Antiqua" w:eastAsia="Arial" w:hAnsi="Book Antiqua" w:cs="Arial"/>
          <w:szCs w:val="22"/>
        </w:rPr>
        <w:t xml:space="preserve">The algorithmic monitoring systems used to recruit, evaluate, oversee and discipline workers are trained on data that contains existing discrimination and biases in the labour market. As a result, the outputs and recommendations of these systems replicate, and even amplify, the historical inequalities found in those existing data sets. </w:t>
      </w:r>
    </w:p>
    <w:p w:rsidR="00EB401F" w:rsidP="00BB116E">
      <w:pPr>
        <w:pStyle w:val="ListParagraph"/>
        <w:spacing w:before="240" w:after="240" w:line="360" w:lineRule="auto"/>
        <w:rPr>
          <w:rFonts w:ascii="Book Antiqua" w:eastAsia="Arial" w:hAnsi="Book Antiqua" w:cs="Arial"/>
          <w:szCs w:val="22"/>
        </w:rPr>
      </w:pPr>
    </w:p>
    <w:p w:rsidR="00EB401F" w:rsidRPr="00E7490A" w:rsidP="00E7490A">
      <w:pPr>
        <w:pStyle w:val="ListParagraph"/>
        <w:numPr>
          <w:ilvl w:val="0"/>
          <w:numId w:val="23"/>
        </w:numPr>
        <w:spacing w:before="240" w:after="240" w:line="360" w:lineRule="auto"/>
        <w:rPr>
          <w:rFonts w:ascii="Book Antiqua" w:eastAsia="Arial" w:hAnsi="Book Antiqua" w:cs="Arial"/>
          <w:szCs w:val="22"/>
        </w:rPr>
      </w:pPr>
      <w:r w:rsidRPr="00E7490A">
        <w:rPr>
          <w:rFonts w:ascii="Book Antiqua" w:eastAsia="Arial" w:hAnsi="Book Antiqua" w:cs="Arial"/>
          <w:szCs w:val="22"/>
        </w:rPr>
        <w:t xml:space="preserve">It is also difficult for workplace algorithms to make reasonable adjustments or take adequate account of disability in the workplace. </w:t>
      </w:r>
    </w:p>
    <w:p w:rsidR="00EB401F" w:rsidRPr="00E7490A" w:rsidP="00E7490A">
      <w:pPr>
        <w:pStyle w:val="ListParagraph"/>
        <w:spacing w:before="240" w:after="240" w:line="360" w:lineRule="auto"/>
        <w:rPr>
          <w:rFonts w:ascii="Book Antiqua" w:eastAsia="Arial" w:hAnsi="Book Antiqua" w:cs="Arial"/>
          <w:szCs w:val="22"/>
        </w:rPr>
      </w:pPr>
    </w:p>
    <w:p w:rsidR="00EB401F" w:rsidP="00E7490A">
      <w:pPr>
        <w:pStyle w:val="ListParagraph"/>
        <w:numPr>
          <w:ilvl w:val="0"/>
          <w:numId w:val="23"/>
        </w:numPr>
        <w:spacing w:before="240" w:after="240" w:line="360" w:lineRule="auto"/>
        <w:rPr>
          <w:rFonts w:ascii="Book Antiqua" w:eastAsia="Arial" w:hAnsi="Book Antiqua" w:cs="Arial"/>
          <w:szCs w:val="22"/>
        </w:rPr>
      </w:pPr>
      <w:r>
        <w:rPr>
          <w:rFonts w:ascii="Book Antiqua" w:eastAsia="Arial" w:hAnsi="Book Antiqua" w:cs="Arial"/>
          <w:szCs w:val="22"/>
        </w:rPr>
        <w:t xml:space="preserve">The ability for </w:t>
      </w:r>
      <w:r w:rsidRPr="00E7490A">
        <w:rPr>
          <w:rFonts w:ascii="Book Antiqua" w:eastAsia="Arial" w:hAnsi="Book Antiqua" w:cs="Arial"/>
          <w:szCs w:val="22"/>
        </w:rPr>
        <w:t xml:space="preserve">AI </w:t>
      </w:r>
      <w:r>
        <w:rPr>
          <w:rFonts w:ascii="Book Antiqua" w:eastAsia="Arial" w:hAnsi="Book Antiqua" w:cs="Arial"/>
          <w:szCs w:val="22"/>
        </w:rPr>
        <w:t xml:space="preserve">to capture and analyse vast amounts of worker data </w:t>
      </w:r>
      <w:r w:rsidRPr="00E7490A">
        <w:rPr>
          <w:rFonts w:ascii="Book Antiqua" w:eastAsia="Arial" w:hAnsi="Book Antiqua" w:cs="Arial"/>
          <w:szCs w:val="22"/>
        </w:rPr>
        <w:t xml:space="preserve">has enabled </w:t>
      </w:r>
      <w:r>
        <w:rPr>
          <w:rFonts w:ascii="Book Antiqua" w:eastAsia="Arial" w:hAnsi="Book Antiqua" w:cs="Arial"/>
          <w:szCs w:val="22"/>
        </w:rPr>
        <w:t xml:space="preserve">and incentivised </w:t>
      </w:r>
      <w:r w:rsidRPr="00E7490A">
        <w:rPr>
          <w:rFonts w:ascii="Book Antiqua" w:eastAsia="Arial" w:hAnsi="Book Antiqua" w:cs="Arial"/>
          <w:szCs w:val="22"/>
        </w:rPr>
        <w:t xml:space="preserve">employers to move from discrete to continuous systems of monitoring </w:t>
      </w:r>
      <w:r>
        <w:rPr>
          <w:rFonts w:ascii="Book Antiqua" w:eastAsia="Arial" w:hAnsi="Book Antiqua" w:cs="Arial"/>
          <w:szCs w:val="22"/>
        </w:rPr>
        <w:t xml:space="preserve">that collect and analyse </w:t>
      </w:r>
      <w:r w:rsidRPr="00E7490A">
        <w:rPr>
          <w:rFonts w:ascii="Book Antiqua" w:eastAsia="Arial" w:hAnsi="Book Antiqua" w:cs="Arial"/>
          <w:szCs w:val="22"/>
        </w:rPr>
        <w:t xml:space="preserve">data in real time. </w:t>
      </w:r>
      <w:r>
        <w:rPr>
          <w:rFonts w:ascii="Book Antiqua" w:eastAsia="Arial" w:hAnsi="Book Antiqua" w:cs="Arial"/>
          <w:szCs w:val="22"/>
        </w:rPr>
        <w:t>Algorithmic management and platform work rely on intrusive workplace surveillance, and are by their very nature surveillance management.</w:t>
      </w:r>
      <w:r>
        <w:rPr>
          <w:rStyle w:val="FootnoteReference"/>
          <w:rFonts w:ascii="Book Antiqua" w:eastAsia="Arial" w:hAnsi="Book Antiqua" w:cs="Arial"/>
          <w:szCs w:val="22"/>
        </w:rPr>
        <w:footnoteReference w:id="2"/>
      </w:r>
      <w:r>
        <w:rPr>
          <w:rFonts w:ascii="Book Antiqua" w:eastAsia="Arial" w:hAnsi="Book Antiqua" w:cs="Arial"/>
          <w:szCs w:val="22"/>
        </w:rPr>
        <w:t xml:space="preserve"> </w:t>
      </w:r>
    </w:p>
    <w:p w:rsidR="00EB401F" w:rsidRPr="00BB116E" w:rsidP="00BB116E">
      <w:pPr>
        <w:pStyle w:val="ListParagraph"/>
        <w:rPr>
          <w:rFonts w:ascii="Book Antiqua" w:eastAsia="Arial" w:hAnsi="Book Antiqua" w:cs="Arial"/>
          <w:szCs w:val="22"/>
        </w:rPr>
      </w:pPr>
    </w:p>
    <w:p w:rsidR="00EB401F" w:rsidRPr="00E7490A" w:rsidP="00E7490A">
      <w:pPr>
        <w:pStyle w:val="ListParagraph"/>
        <w:numPr>
          <w:ilvl w:val="0"/>
          <w:numId w:val="23"/>
        </w:numPr>
        <w:spacing w:before="240" w:after="240" w:line="360" w:lineRule="auto"/>
        <w:rPr>
          <w:rFonts w:ascii="Book Antiqua" w:eastAsia="Arial" w:hAnsi="Book Antiqua" w:cs="Arial"/>
          <w:szCs w:val="22"/>
        </w:rPr>
      </w:pPr>
      <w:r w:rsidRPr="00E7490A">
        <w:rPr>
          <w:rFonts w:ascii="Book Antiqua" w:eastAsia="Arial" w:hAnsi="Book Antiqua" w:cs="Arial"/>
          <w:szCs w:val="22"/>
        </w:rPr>
        <w:t xml:space="preserve">This shift </w:t>
      </w:r>
      <w:r>
        <w:rPr>
          <w:rFonts w:ascii="Book Antiqua" w:eastAsia="Arial" w:hAnsi="Book Antiqua" w:cs="Arial"/>
          <w:szCs w:val="22"/>
        </w:rPr>
        <w:t xml:space="preserve">to AI-based surveillance management </w:t>
      </w:r>
      <w:r w:rsidRPr="00E7490A">
        <w:rPr>
          <w:rFonts w:ascii="Book Antiqua" w:eastAsia="Arial" w:hAnsi="Book Antiqua" w:cs="Arial"/>
          <w:szCs w:val="22"/>
        </w:rPr>
        <w:t>has both qualitative and quantitative effects on the levels of privacy infringement at work: more personal and intrusive forms of surveillance are possible via these systems, and can be applied to more workers than was previously possible.</w:t>
      </w:r>
    </w:p>
    <w:p w:rsidR="00EB401F" w:rsidRPr="00E7490A" w:rsidP="00E7490A">
      <w:pPr>
        <w:pStyle w:val="ListParagraph"/>
        <w:spacing w:line="360" w:lineRule="auto"/>
        <w:rPr>
          <w:rFonts w:ascii="Book Antiqua" w:eastAsia="Arial" w:hAnsi="Book Antiqua" w:cs="Arial"/>
          <w:szCs w:val="22"/>
        </w:rPr>
      </w:pPr>
    </w:p>
    <w:p w:rsidR="00EB401F" w:rsidRPr="00E7490A" w:rsidP="00E7490A">
      <w:pPr>
        <w:pStyle w:val="ListParagraph"/>
        <w:numPr>
          <w:ilvl w:val="0"/>
          <w:numId w:val="23"/>
        </w:numPr>
        <w:spacing w:before="240" w:after="240" w:line="360" w:lineRule="auto"/>
        <w:rPr>
          <w:rFonts w:ascii="Book Antiqua" w:eastAsia="Arial" w:hAnsi="Book Antiqua" w:cs="Arial"/>
          <w:szCs w:val="22"/>
        </w:rPr>
      </w:pPr>
      <w:r>
        <w:rPr>
          <w:rFonts w:ascii="Book Antiqua" w:eastAsia="Arial" w:hAnsi="Book Antiqua" w:cs="Arial"/>
          <w:szCs w:val="22"/>
        </w:rPr>
        <w:t xml:space="preserve">However, </w:t>
      </w:r>
      <w:r w:rsidRPr="00E7490A">
        <w:rPr>
          <w:rFonts w:ascii="Book Antiqua" w:eastAsia="Arial" w:hAnsi="Book Antiqua" w:cs="Arial"/>
          <w:szCs w:val="22"/>
        </w:rPr>
        <w:t>it is also important to recognise that the risks to human rights at work posed by AI extend beyond rights to privacy and non-discrimination.</w:t>
      </w:r>
      <w:r>
        <w:rPr>
          <w:rStyle w:val="FootnoteReference"/>
          <w:rFonts w:ascii="Book Antiqua" w:eastAsia="Arial" w:hAnsi="Book Antiqua" w:cs="Arial"/>
          <w:szCs w:val="22"/>
        </w:rPr>
        <w:footnoteReference w:id="3"/>
      </w:r>
      <w:r w:rsidRPr="00E7490A">
        <w:rPr>
          <w:rFonts w:ascii="Book Antiqua" w:eastAsia="Arial" w:hAnsi="Book Antiqua" w:cs="Arial"/>
          <w:szCs w:val="22"/>
        </w:rPr>
        <w:t xml:space="preserve"> </w:t>
      </w:r>
      <w:r>
        <w:rPr>
          <w:rFonts w:ascii="Book Antiqua" w:eastAsia="Arial" w:hAnsi="Book Antiqua" w:cs="Arial"/>
          <w:szCs w:val="22"/>
        </w:rPr>
        <w:t>I</w:t>
      </w:r>
      <w:r w:rsidRPr="00E7490A">
        <w:rPr>
          <w:rFonts w:ascii="Book Antiqua" w:eastAsia="Arial" w:hAnsi="Book Antiqua" w:cs="Arial"/>
          <w:szCs w:val="22"/>
        </w:rPr>
        <w:t xml:space="preserve">ntrusive AI-powered monitoring systems have a significant ‘chilling effect’ on the exercise of rights to association, expression and belief among others. </w:t>
      </w:r>
    </w:p>
    <w:p w:rsidR="00EB401F" w:rsidRPr="00E7490A" w:rsidP="00E7490A">
      <w:pPr>
        <w:spacing w:before="240" w:after="240" w:line="360" w:lineRule="auto"/>
        <w:rPr>
          <w:rFonts w:ascii="Book Antiqua" w:eastAsia="Arial" w:hAnsi="Book Antiqua" w:cs="Arial"/>
          <w:szCs w:val="22"/>
        </w:rPr>
      </w:pPr>
    </w:p>
    <w:p w:rsidR="00EB401F" w:rsidRPr="00E7490A" w:rsidP="00E7490A">
      <w:pPr>
        <w:pStyle w:val="Heading2"/>
        <w:spacing w:line="360" w:lineRule="auto"/>
        <w:rPr>
          <w:rFonts w:ascii="Book Antiqua" w:hAnsi="Book Antiqua"/>
        </w:rPr>
      </w:pPr>
      <w:r w:rsidRPr="00E7490A">
        <w:rPr>
          <w:rFonts w:ascii="Book Antiqua" w:hAnsi="Book Antiqua"/>
        </w:rPr>
        <w:t>Existing legal and regulatory framework</w:t>
      </w:r>
    </w:p>
    <w:p w:rsidR="00EB401F" w:rsidRPr="00E7490A" w:rsidP="00E7490A">
      <w:pPr>
        <w:spacing w:before="240" w:after="240" w:line="360" w:lineRule="auto"/>
        <w:rPr>
          <w:rFonts w:ascii="Book Antiqua" w:eastAsia="Arial" w:hAnsi="Book Antiqua" w:cs="Arial"/>
          <w:b/>
          <w:bCs/>
          <w:szCs w:val="22"/>
        </w:rPr>
      </w:pPr>
      <w:r w:rsidRPr="00E7490A">
        <w:rPr>
          <w:rFonts w:ascii="Book Antiqua" w:eastAsia="Arial" w:hAnsi="Book Antiqua" w:cs="Arial"/>
          <w:b/>
          <w:bCs/>
          <w:szCs w:val="22"/>
        </w:rPr>
        <w:t>Q2: To what extent does the UK’s existing legal framework provide sufficient protections for human rights in relation to AI?</w:t>
      </w:r>
    </w:p>
    <w:p w:rsidR="00EB401F" w:rsidRPr="00E7490A" w:rsidP="00E7490A">
      <w:pPr>
        <w:pStyle w:val="ListParagraph"/>
        <w:numPr>
          <w:ilvl w:val="0"/>
          <w:numId w:val="23"/>
        </w:numPr>
        <w:spacing w:before="240" w:after="240" w:line="360" w:lineRule="auto"/>
        <w:rPr>
          <w:rFonts w:ascii="Book Antiqua" w:eastAsia="Arial" w:hAnsi="Book Antiqua" w:cs="Arial"/>
          <w:szCs w:val="22"/>
        </w:rPr>
      </w:pPr>
      <w:r w:rsidRPr="00E7490A">
        <w:rPr>
          <w:rFonts w:ascii="Book Antiqua" w:eastAsia="Arial" w:hAnsi="Book Antiqua" w:cs="Arial"/>
          <w:szCs w:val="22"/>
        </w:rPr>
        <w:t>There are no specific protections for human rights at work against the threats posed by AI. While existing employment law regulations and data protection law apply where AI systems are used to exercise managerial functions, these frameworks are ill equipped to address the potential rights infringements resulting from algorithmic management.</w:t>
      </w:r>
    </w:p>
    <w:p w:rsidR="00EB401F" w:rsidRPr="00E7490A" w:rsidP="00E7490A">
      <w:pPr>
        <w:pStyle w:val="ListParagraph"/>
        <w:spacing w:before="240" w:after="240" w:line="360" w:lineRule="auto"/>
        <w:rPr>
          <w:rFonts w:ascii="Book Antiqua" w:eastAsia="Arial" w:hAnsi="Book Antiqua" w:cs="Arial"/>
          <w:szCs w:val="22"/>
        </w:rPr>
      </w:pPr>
    </w:p>
    <w:p w:rsidR="00EB401F" w:rsidRPr="00E7490A" w:rsidP="00E7490A">
      <w:pPr>
        <w:pStyle w:val="ListParagraph"/>
        <w:numPr>
          <w:ilvl w:val="0"/>
          <w:numId w:val="23"/>
        </w:numPr>
        <w:spacing w:before="240" w:after="240" w:line="360" w:lineRule="auto"/>
        <w:rPr>
          <w:rFonts w:ascii="Book Antiqua" w:eastAsia="Arial" w:hAnsi="Book Antiqua" w:cs="Arial"/>
          <w:szCs w:val="22"/>
        </w:rPr>
      </w:pPr>
      <w:r w:rsidRPr="00E7490A">
        <w:rPr>
          <w:rFonts w:ascii="Book Antiqua" w:eastAsia="Arial" w:hAnsi="Book Antiqua" w:cs="Arial"/>
          <w:szCs w:val="22"/>
        </w:rPr>
        <w:t xml:space="preserve">The approach reflected in the AI Opportunities Action Plan, and in particular the lack of regulation targeted at the use of AI in the workplace, is not sufficiently robust to safeguard human rights. New legislation is needed to ensure that the UK fulfils its positive obligations under human rights law to protect human rights at work, and to strike a fair and proportionate balance between the competing rights and interests at stake in this context. </w:t>
      </w:r>
    </w:p>
    <w:p w:rsidR="00EB401F" w:rsidRPr="00E7490A" w:rsidP="00E7490A">
      <w:pPr>
        <w:spacing w:before="240" w:after="240" w:line="360" w:lineRule="auto"/>
        <w:rPr>
          <w:rFonts w:ascii="Book Antiqua" w:eastAsia="Arial" w:hAnsi="Book Antiqua" w:cs="Arial"/>
          <w:szCs w:val="22"/>
        </w:rPr>
      </w:pPr>
    </w:p>
    <w:p w:rsidR="00EB401F" w:rsidRPr="00E7490A" w:rsidP="00E7490A">
      <w:pPr>
        <w:pStyle w:val="Heading2"/>
        <w:spacing w:line="360" w:lineRule="auto"/>
        <w:rPr>
          <w:rFonts w:ascii="Book Antiqua" w:hAnsi="Book Antiqua"/>
          <w:sz w:val="28"/>
          <w:szCs w:val="40"/>
        </w:rPr>
      </w:pPr>
      <w:r w:rsidRPr="00E7490A">
        <w:rPr>
          <w:rFonts w:ascii="Book Antiqua" w:hAnsi="Book Antiqua"/>
        </w:rPr>
        <w:t>Possible changes to legal and regulatory framework</w:t>
      </w:r>
    </w:p>
    <w:p w:rsidR="00EB401F" w:rsidRPr="00E7490A" w:rsidP="00E7490A">
      <w:pPr>
        <w:pStyle w:val="Heading3"/>
        <w:rPr>
          <w:rFonts w:ascii="Book Antiqua" w:hAnsi="Book Antiqua"/>
        </w:rPr>
      </w:pPr>
      <w:r w:rsidRPr="00E7490A">
        <w:rPr>
          <w:rFonts w:ascii="Book Antiqua" w:hAnsi="Book Antiqua"/>
        </w:rPr>
        <w:t>Q4: What would be needed in any future UK legislation to protect human rights??</w:t>
      </w:r>
    </w:p>
    <w:p w:rsidR="00EB401F" w:rsidRPr="00E7490A" w:rsidP="00E7490A">
      <w:pPr>
        <w:pStyle w:val="ListParagraph"/>
        <w:numPr>
          <w:ilvl w:val="0"/>
          <w:numId w:val="23"/>
        </w:numPr>
        <w:spacing w:before="240" w:after="240" w:line="360" w:lineRule="auto"/>
        <w:rPr>
          <w:rFonts w:ascii="Book Antiqua" w:eastAsia="Arial" w:hAnsi="Book Antiqua" w:cs="Arial"/>
          <w:szCs w:val="22"/>
        </w:rPr>
      </w:pPr>
      <w:r w:rsidRPr="00E7490A">
        <w:rPr>
          <w:rFonts w:ascii="Book Antiqua" w:eastAsia="Arial" w:hAnsi="Book Antiqua" w:cs="Arial"/>
          <w:szCs w:val="22"/>
        </w:rPr>
        <w:t xml:space="preserve">To protect human rights at work against AI-powered surveillance and management tools </w:t>
      </w:r>
      <w:r w:rsidRPr="00BB116E">
        <w:rPr>
          <w:rFonts w:ascii="Book Antiqua" w:eastAsia="Arial" w:hAnsi="Book Antiqua" w:cs="Arial"/>
          <w:b/>
          <w:bCs/>
          <w:szCs w:val="22"/>
        </w:rPr>
        <w:t>new legislative frameworks are needed which provide transparency and avenues for worker voice and participation over the use and adoption of these systems</w:t>
      </w:r>
      <w:r w:rsidRPr="00E7490A">
        <w:rPr>
          <w:rFonts w:ascii="Book Antiqua" w:eastAsia="Arial" w:hAnsi="Book Antiqua" w:cs="Arial"/>
          <w:szCs w:val="22"/>
        </w:rPr>
        <w:t>.</w:t>
      </w:r>
      <w:r>
        <w:rPr>
          <w:rStyle w:val="FootnoteReference"/>
          <w:rFonts w:ascii="Book Antiqua" w:eastAsia="Arial" w:hAnsi="Book Antiqua" w:cs="Arial"/>
          <w:szCs w:val="22"/>
        </w:rPr>
        <w:footnoteReference w:id="4"/>
      </w:r>
    </w:p>
    <w:p w:rsidR="00EB401F" w:rsidRPr="00E7490A" w:rsidP="00E7490A">
      <w:pPr>
        <w:pStyle w:val="ListParagraph"/>
        <w:spacing w:before="240" w:after="240" w:line="360" w:lineRule="auto"/>
        <w:rPr>
          <w:rFonts w:ascii="Book Antiqua" w:eastAsia="Arial" w:hAnsi="Book Antiqua" w:cs="Arial"/>
          <w:szCs w:val="22"/>
        </w:rPr>
      </w:pPr>
    </w:p>
    <w:p w:rsidR="00EB401F" w:rsidRPr="00E7490A" w:rsidP="00E7490A">
      <w:pPr>
        <w:pStyle w:val="ListParagraph"/>
        <w:numPr>
          <w:ilvl w:val="0"/>
          <w:numId w:val="23"/>
        </w:numPr>
        <w:spacing w:before="240" w:after="240" w:line="360" w:lineRule="auto"/>
        <w:rPr>
          <w:rFonts w:ascii="Book Antiqua" w:eastAsia="Arial" w:hAnsi="Book Antiqua" w:cs="Arial"/>
          <w:szCs w:val="22"/>
        </w:rPr>
      </w:pPr>
      <w:r w:rsidRPr="00E7490A">
        <w:rPr>
          <w:rFonts w:ascii="Book Antiqua" w:eastAsia="Arial" w:hAnsi="Book Antiqua" w:cs="Arial"/>
          <w:szCs w:val="22"/>
        </w:rPr>
        <w:t>This should include the introduction of mandatory ‘workplace technology representatives’ who must be consulted prior to the use of digital monitoring and management systems. More generally, the adoption of these systems should be subject to consultation in a similar way to collective redundancies and be included as a topic for collective bargaining under the statutory trade union recognition framework.</w:t>
      </w:r>
      <w:r>
        <w:rPr>
          <w:rStyle w:val="FootnoteReference"/>
          <w:rFonts w:ascii="Book Antiqua" w:eastAsia="Arial" w:hAnsi="Book Antiqua" w:cs="Arial"/>
          <w:szCs w:val="22"/>
        </w:rPr>
        <w:footnoteReference w:id="5"/>
      </w:r>
    </w:p>
    <w:p w:rsidR="00EB401F" w:rsidRPr="00E7490A" w:rsidP="00E7490A">
      <w:pPr>
        <w:pStyle w:val="ListParagraph"/>
        <w:spacing w:line="360" w:lineRule="auto"/>
        <w:rPr>
          <w:rFonts w:ascii="Book Antiqua" w:eastAsia="Arial" w:hAnsi="Book Antiqua" w:cs="Arial"/>
          <w:szCs w:val="22"/>
        </w:rPr>
      </w:pPr>
    </w:p>
    <w:p w:rsidR="00EB401F" w:rsidRPr="00E7490A" w:rsidP="00E7490A">
      <w:pPr>
        <w:pStyle w:val="ListParagraph"/>
        <w:numPr>
          <w:ilvl w:val="0"/>
          <w:numId w:val="23"/>
        </w:numPr>
        <w:spacing w:before="240" w:after="240" w:line="360" w:lineRule="auto"/>
        <w:rPr>
          <w:rFonts w:ascii="Book Antiqua" w:eastAsia="Arial" w:hAnsi="Book Antiqua" w:cs="Arial"/>
          <w:szCs w:val="22"/>
        </w:rPr>
      </w:pPr>
      <w:r w:rsidRPr="00E7490A">
        <w:rPr>
          <w:rFonts w:ascii="Book Antiqua" w:eastAsia="Arial" w:hAnsi="Book Antiqua" w:cs="Arial"/>
          <w:szCs w:val="22"/>
        </w:rPr>
        <w:t xml:space="preserve">If rights to consultation and negotiation over AI at work are to be effective they must be supported by employer duties of transparency, which could be included as part of a requitement to conduct algorithmic impact assessment. This should include information about how AI is being used in the workplace, the categories of data used in its internal operations, and how these influence the systems’ outputs and recommendations. </w:t>
      </w:r>
    </w:p>
    <w:p w:rsidR="00EB401F" w:rsidRPr="00E7490A" w:rsidP="00E7490A">
      <w:pPr>
        <w:pStyle w:val="ListParagraph"/>
        <w:spacing w:line="360" w:lineRule="auto"/>
        <w:rPr>
          <w:rFonts w:ascii="Book Antiqua" w:eastAsia="Arial" w:hAnsi="Book Antiqua" w:cs="Arial"/>
          <w:szCs w:val="22"/>
        </w:rPr>
      </w:pPr>
    </w:p>
    <w:p w:rsidR="00EB401F" w:rsidP="00E7490A">
      <w:pPr>
        <w:pStyle w:val="ListParagraph"/>
        <w:numPr>
          <w:ilvl w:val="0"/>
          <w:numId w:val="23"/>
        </w:numPr>
        <w:spacing w:before="240" w:after="240" w:line="360" w:lineRule="auto"/>
        <w:rPr>
          <w:rFonts w:ascii="Book Antiqua" w:eastAsia="Arial" w:hAnsi="Book Antiqua" w:cs="Arial"/>
          <w:szCs w:val="22"/>
        </w:rPr>
      </w:pPr>
      <w:r w:rsidRPr="00E7490A">
        <w:rPr>
          <w:rFonts w:ascii="Book Antiqua" w:eastAsia="Arial" w:hAnsi="Book Antiqua" w:cs="Arial"/>
          <w:szCs w:val="22"/>
        </w:rPr>
        <w:t xml:space="preserve">Individual rights are also needed allowing </w:t>
      </w:r>
      <w:r>
        <w:rPr>
          <w:rFonts w:ascii="Book Antiqua" w:eastAsia="Arial" w:hAnsi="Book Antiqua" w:cs="Arial"/>
          <w:szCs w:val="22"/>
        </w:rPr>
        <w:t xml:space="preserve">workers </w:t>
      </w:r>
      <w:r w:rsidRPr="00E7490A">
        <w:rPr>
          <w:rFonts w:ascii="Book Antiqua" w:eastAsia="Arial" w:hAnsi="Book Antiqua" w:cs="Arial"/>
          <w:szCs w:val="22"/>
        </w:rPr>
        <w:t xml:space="preserve">to contest and have a human review of any AI-supported decision that significantly impacts their human rights at work. </w:t>
      </w:r>
    </w:p>
    <w:p w:rsidR="00EB401F" w:rsidRPr="0004682F" w:rsidP="0004682F">
      <w:pPr>
        <w:pStyle w:val="ListParagraph"/>
        <w:rPr>
          <w:rFonts w:ascii="Book Antiqua" w:eastAsia="Arial" w:hAnsi="Book Antiqua" w:cs="Arial"/>
          <w:szCs w:val="22"/>
        </w:rPr>
      </w:pPr>
    </w:p>
    <w:p w:rsidR="00EB401F" w:rsidRPr="00E7490A" w:rsidP="00E7490A">
      <w:pPr>
        <w:pStyle w:val="ListParagraph"/>
        <w:numPr>
          <w:ilvl w:val="0"/>
          <w:numId w:val="23"/>
        </w:numPr>
        <w:spacing w:before="240" w:after="240" w:line="360" w:lineRule="auto"/>
        <w:rPr>
          <w:rFonts w:ascii="Book Antiqua" w:eastAsia="Arial" w:hAnsi="Book Antiqua" w:cs="Arial"/>
          <w:szCs w:val="22"/>
        </w:rPr>
      </w:pPr>
      <w:r>
        <w:rPr>
          <w:rFonts w:ascii="Book Antiqua" w:eastAsia="Arial" w:hAnsi="Book Antiqua" w:cs="Arial"/>
          <w:szCs w:val="22"/>
        </w:rPr>
        <w:t>Finally, s</w:t>
      </w:r>
      <w:r w:rsidRPr="00E7490A">
        <w:rPr>
          <w:rFonts w:ascii="Book Antiqua" w:eastAsia="Arial" w:hAnsi="Book Antiqua" w:cs="Arial"/>
          <w:szCs w:val="22"/>
        </w:rPr>
        <w:t xml:space="preserve">ome </w:t>
      </w:r>
      <w:r>
        <w:rPr>
          <w:rFonts w:ascii="Book Antiqua" w:eastAsia="Arial" w:hAnsi="Book Antiqua" w:cs="Arial"/>
          <w:szCs w:val="22"/>
        </w:rPr>
        <w:t xml:space="preserve">workplace </w:t>
      </w:r>
      <w:r w:rsidRPr="00E7490A">
        <w:rPr>
          <w:rFonts w:ascii="Book Antiqua" w:eastAsia="Arial" w:hAnsi="Book Antiqua" w:cs="Arial"/>
          <w:szCs w:val="22"/>
        </w:rPr>
        <w:t xml:space="preserve">AI </w:t>
      </w:r>
      <w:r>
        <w:rPr>
          <w:rFonts w:ascii="Book Antiqua" w:eastAsia="Arial" w:hAnsi="Book Antiqua" w:cs="Arial"/>
          <w:szCs w:val="22"/>
        </w:rPr>
        <w:t xml:space="preserve">technologies pose such a severe threat to human rights that their use cannot ever plausibly be justified. They should </w:t>
      </w:r>
      <w:r w:rsidRPr="00E7490A">
        <w:rPr>
          <w:rFonts w:ascii="Book Antiqua" w:eastAsia="Arial" w:hAnsi="Book Antiqua" w:cs="Arial"/>
          <w:szCs w:val="22"/>
        </w:rPr>
        <w:t>be prohibited as ‘automatically unfair’ uses of technology at work</w:t>
      </w:r>
      <w:r>
        <w:rPr>
          <w:rFonts w:ascii="Book Antiqua" w:eastAsia="Arial" w:hAnsi="Book Antiqua" w:cs="Arial"/>
          <w:szCs w:val="22"/>
        </w:rPr>
        <w:t xml:space="preserve">. This includes </w:t>
      </w:r>
      <w:r w:rsidRPr="00E7490A">
        <w:rPr>
          <w:rFonts w:ascii="Book Antiqua" w:eastAsia="Arial" w:hAnsi="Book Antiqua" w:cs="Arial"/>
          <w:szCs w:val="22"/>
        </w:rPr>
        <w:t>systems designed for emotional recognition or manipulation and those used to track or predict trade union membership or activity.</w:t>
      </w:r>
      <w:r>
        <w:rPr>
          <w:rStyle w:val="FootnoteReference"/>
          <w:rFonts w:ascii="Book Antiqua" w:eastAsia="Arial" w:hAnsi="Book Antiqua" w:cs="Arial"/>
          <w:szCs w:val="22"/>
        </w:rPr>
        <w:footnoteReference w:id="6"/>
      </w:r>
      <w:r>
        <w:rPr>
          <w:rFonts w:ascii="Book Antiqua" w:eastAsia="Arial" w:hAnsi="Book Antiqua" w:cs="Arial"/>
          <w:szCs w:val="22"/>
        </w:rPr>
        <w:t xml:space="preserve"> </w:t>
      </w:r>
    </w:p>
    <w:p w:rsidR="00EB401F" w:rsidRPr="00E7490A" w:rsidP="00E7490A">
      <w:pPr>
        <w:pStyle w:val="ListParagraph"/>
        <w:spacing w:line="360" w:lineRule="auto"/>
        <w:rPr>
          <w:rFonts w:ascii="Book Antiqua" w:eastAsia="Arial" w:hAnsi="Book Antiqua" w:cs="Arial"/>
          <w:szCs w:val="22"/>
        </w:rPr>
      </w:pPr>
    </w:p>
    <w:p w:rsidR="00EB401F" w:rsidRPr="00E7490A" w:rsidP="00E7490A">
      <w:pPr>
        <w:pStyle w:val="ListParagraph"/>
        <w:numPr>
          <w:ilvl w:val="0"/>
          <w:numId w:val="23"/>
        </w:numPr>
        <w:spacing w:before="240" w:after="240" w:line="360" w:lineRule="auto"/>
        <w:rPr>
          <w:rFonts w:ascii="Book Antiqua" w:eastAsia="Arial" w:hAnsi="Book Antiqua" w:cs="Arial"/>
          <w:szCs w:val="22"/>
        </w:rPr>
      </w:pPr>
      <w:r w:rsidRPr="00E7490A">
        <w:rPr>
          <w:rFonts w:ascii="Book Antiqua" w:eastAsia="Arial" w:hAnsi="Book Antiqua" w:cs="Arial"/>
          <w:szCs w:val="22"/>
        </w:rPr>
        <w:t xml:space="preserve">These new rights should apply beyond the </w:t>
      </w:r>
      <w:r>
        <w:rPr>
          <w:rFonts w:ascii="Book Antiqua" w:eastAsia="Arial" w:hAnsi="Book Antiqua" w:cs="Arial"/>
          <w:szCs w:val="22"/>
        </w:rPr>
        <w:t xml:space="preserve">existing </w:t>
      </w:r>
      <w:r w:rsidRPr="00E7490A">
        <w:rPr>
          <w:rFonts w:ascii="Book Antiqua" w:eastAsia="Arial" w:hAnsi="Book Antiqua" w:cs="Arial"/>
          <w:szCs w:val="22"/>
        </w:rPr>
        <w:t xml:space="preserve">categories of </w:t>
      </w:r>
      <w:r>
        <w:rPr>
          <w:rFonts w:ascii="Book Antiqua" w:eastAsia="Arial" w:hAnsi="Book Antiqua" w:cs="Arial"/>
          <w:szCs w:val="22"/>
        </w:rPr>
        <w:t>‘</w:t>
      </w:r>
      <w:r w:rsidRPr="00E7490A">
        <w:rPr>
          <w:rFonts w:ascii="Book Antiqua" w:eastAsia="Arial" w:hAnsi="Book Antiqua" w:cs="Arial"/>
          <w:szCs w:val="22"/>
        </w:rPr>
        <w:t>employee</w:t>
      </w:r>
      <w:r>
        <w:rPr>
          <w:rFonts w:ascii="Book Antiqua" w:eastAsia="Arial" w:hAnsi="Book Antiqua" w:cs="Arial"/>
          <w:szCs w:val="22"/>
        </w:rPr>
        <w:t>’</w:t>
      </w:r>
      <w:r w:rsidRPr="00E7490A">
        <w:rPr>
          <w:rFonts w:ascii="Book Antiqua" w:eastAsia="Arial" w:hAnsi="Book Antiqua" w:cs="Arial"/>
          <w:szCs w:val="22"/>
        </w:rPr>
        <w:t xml:space="preserve"> and </w:t>
      </w:r>
      <w:r>
        <w:rPr>
          <w:rFonts w:ascii="Book Antiqua" w:eastAsia="Arial" w:hAnsi="Book Antiqua" w:cs="Arial"/>
          <w:szCs w:val="22"/>
        </w:rPr>
        <w:t>‘</w:t>
      </w:r>
      <w:r w:rsidRPr="00E7490A">
        <w:rPr>
          <w:rFonts w:ascii="Book Antiqua" w:eastAsia="Arial" w:hAnsi="Book Antiqua" w:cs="Arial"/>
          <w:szCs w:val="22"/>
        </w:rPr>
        <w:t>worker</w:t>
      </w:r>
      <w:r>
        <w:rPr>
          <w:rFonts w:ascii="Book Antiqua" w:eastAsia="Arial" w:hAnsi="Book Antiqua" w:cs="Arial"/>
          <w:szCs w:val="22"/>
        </w:rPr>
        <w:t>’</w:t>
      </w:r>
      <w:r w:rsidRPr="00E7490A">
        <w:rPr>
          <w:rFonts w:ascii="Book Antiqua" w:eastAsia="Arial" w:hAnsi="Book Antiqua" w:cs="Arial"/>
          <w:szCs w:val="22"/>
        </w:rPr>
        <w:t xml:space="preserve">, and </w:t>
      </w:r>
      <w:r>
        <w:rPr>
          <w:rFonts w:ascii="Book Antiqua" w:eastAsia="Arial" w:hAnsi="Book Antiqua" w:cs="Arial"/>
          <w:szCs w:val="22"/>
        </w:rPr>
        <w:t xml:space="preserve">cover </w:t>
      </w:r>
      <w:r w:rsidRPr="00E7490A">
        <w:rPr>
          <w:rFonts w:ascii="Book Antiqua" w:eastAsia="Arial" w:hAnsi="Book Antiqua" w:cs="Arial"/>
          <w:szCs w:val="22"/>
        </w:rPr>
        <w:t>all those performing work on a person</w:t>
      </w:r>
      <w:r>
        <w:rPr>
          <w:rFonts w:ascii="Book Antiqua" w:eastAsia="Arial" w:hAnsi="Book Antiqua" w:cs="Arial"/>
          <w:szCs w:val="22"/>
        </w:rPr>
        <w:t>al</w:t>
      </w:r>
      <w:r w:rsidRPr="00E7490A">
        <w:rPr>
          <w:rFonts w:ascii="Book Antiqua" w:eastAsia="Arial" w:hAnsi="Book Antiqua" w:cs="Arial"/>
          <w:szCs w:val="22"/>
        </w:rPr>
        <w:t xml:space="preserve"> basis who are managed by AI.</w:t>
      </w:r>
    </w:p>
    <w:p w:rsidR="00EB401F" w:rsidRPr="00E7490A" w:rsidP="00E7490A">
      <w:pPr>
        <w:pStyle w:val="ListParagraph"/>
        <w:spacing w:line="360" w:lineRule="auto"/>
        <w:rPr>
          <w:rFonts w:ascii="Book Antiqua" w:eastAsia="Arial" w:hAnsi="Book Antiqua" w:cs="Arial"/>
          <w:szCs w:val="22"/>
        </w:rPr>
      </w:pPr>
    </w:p>
    <w:p w:rsidR="00EB401F" w:rsidRPr="00E7490A" w:rsidP="00E7490A">
      <w:pPr>
        <w:pStyle w:val="ListParagraph"/>
        <w:numPr>
          <w:ilvl w:val="0"/>
          <w:numId w:val="23"/>
        </w:numPr>
        <w:spacing w:before="240" w:after="240" w:line="360" w:lineRule="auto"/>
        <w:rPr>
          <w:rFonts w:ascii="Book Antiqua" w:eastAsia="Arial" w:hAnsi="Book Antiqua" w:cs="Arial"/>
          <w:szCs w:val="22"/>
        </w:rPr>
      </w:pPr>
      <w:r>
        <w:rPr>
          <w:rFonts w:ascii="Book Antiqua" w:eastAsia="Arial" w:hAnsi="Book Antiqua" w:cs="Arial"/>
          <w:szCs w:val="22"/>
        </w:rPr>
        <w:t>More broadly</w:t>
      </w:r>
      <w:r w:rsidRPr="00E7490A">
        <w:rPr>
          <w:rFonts w:ascii="Book Antiqua" w:eastAsia="Arial" w:hAnsi="Book Antiqua" w:cs="Arial"/>
          <w:szCs w:val="22"/>
        </w:rPr>
        <w:t>, there is a</w:t>
      </w:r>
      <w:r>
        <w:rPr>
          <w:rFonts w:ascii="Book Antiqua" w:eastAsia="Arial" w:hAnsi="Book Antiqua" w:cs="Arial"/>
          <w:szCs w:val="22"/>
        </w:rPr>
        <w:t>n ongoing</w:t>
      </w:r>
      <w:r w:rsidRPr="00E7490A">
        <w:rPr>
          <w:rFonts w:ascii="Book Antiqua" w:eastAsia="Arial" w:hAnsi="Book Antiqua" w:cs="Arial"/>
          <w:szCs w:val="22"/>
        </w:rPr>
        <w:t xml:space="preserve"> need to provide comprehensive protection of human rights at work. The UK’s current patchwork of legal protections contains numerous gaps.</w:t>
      </w:r>
      <w:r>
        <w:rPr>
          <w:rStyle w:val="FootnoteReference"/>
          <w:rFonts w:ascii="Book Antiqua" w:eastAsia="Arial" w:hAnsi="Book Antiqua" w:cs="Arial"/>
          <w:szCs w:val="22"/>
        </w:rPr>
        <w:footnoteReference w:id="7"/>
      </w:r>
      <w:r w:rsidRPr="00E7490A">
        <w:rPr>
          <w:rFonts w:ascii="Book Antiqua" w:eastAsia="Arial" w:hAnsi="Book Antiqua" w:cs="Arial"/>
          <w:szCs w:val="22"/>
        </w:rPr>
        <w:t xml:space="preserve"> This could be done through the introduction of a statutory implied term requiring that employers not act ways which disproportionately interfere with workers’ fundamental rights. </w:t>
      </w:r>
    </w:p>
    <w:p w:rsidR="00EB401F" w:rsidRPr="00E7490A" w:rsidP="00E7490A">
      <w:pPr>
        <w:spacing w:line="360" w:lineRule="auto"/>
        <w:rPr>
          <w:rFonts w:ascii="Book Antiqua" w:hAnsi="Book Antiqua"/>
        </w:rPr>
      </w:pPr>
    </w:p>
    <w:p w:rsidR="00EB401F" w:rsidRPr="00E7490A" w:rsidP="00E7490A">
      <w:pPr>
        <w:pStyle w:val="Heading3"/>
        <w:rPr>
          <w:rFonts w:ascii="Book Antiqua" w:hAnsi="Book Antiqua"/>
        </w:rPr>
      </w:pPr>
      <w:r w:rsidRPr="00E7490A">
        <w:rPr>
          <w:rFonts w:ascii="Book Antiqua" w:hAnsi="Book Antiqua"/>
        </w:rPr>
        <w:t>Where in the process of developing, deploying and using AI technologies should liability arise?</w:t>
      </w:r>
    </w:p>
    <w:p w:rsidR="00EB401F" w:rsidRPr="00E7490A" w:rsidP="00E7490A">
      <w:pPr>
        <w:pStyle w:val="ListParagraph"/>
        <w:numPr>
          <w:ilvl w:val="0"/>
          <w:numId w:val="23"/>
        </w:numPr>
        <w:spacing w:before="240" w:after="240" w:line="360" w:lineRule="auto"/>
        <w:rPr>
          <w:rFonts w:ascii="Book Antiqua" w:eastAsia="Arial" w:hAnsi="Book Antiqua" w:cs="Arial"/>
          <w:szCs w:val="22"/>
        </w:rPr>
      </w:pPr>
      <w:r w:rsidRPr="00E7490A">
        <w:rPr>
          <w:rFonts w:ascii="Book Antiqua" w:eastAsia="Arial" w:hAnsi="Book Antiqua" w:cs="Arial"/>
          <w:szCs w:val="22"/>
        </w:rPr>
        <w:t xml:space="preserve">Liability for workplace human rights infringements resulting from AI technologies is needed across the entire AI lifecycle, from design and development through to deployment and any subsequent updates. A new system of joint liability would help ensure respect for human rights at each of these stages. </w:t>
      </w:r>
    </w:p>
    <w:p w:rsidR="00EB401F" w:rsidRPr="00E7490A" w:rsidP="00E7490A">
      <w:pPr>
        <w:spacing w:before="240" w:after="240" w:line="360" w:lineRule="auto"/>
        <w:ind w:left="360"/>
        <w:rPr>
          <w:rFonts w:ascii="Book Antiqua" w:eastAsia="Arial" w:hAnsi="Book Antiqua" w:cs="Arial"/>
          <w:szCs w:val="22"/>
        </w:rPr>
      </w:pPr>
    </w:p>
    <w:p w:rsidR="00EB401F" w:rsidRPr="00E7490A" w:rsidP="00E7490A">
      <w:pPr>
        <w:spacing w:before="240" w:after="240" w:line="360" w:lineRule="auto"/>
        <w:rPr>
          <w:rFonts w:ascii="Book Antiqua" w:eastAsia="Arial" w:hAnsi="Book Antiqua" w:cs="Arial"/>
          <w:b/>
          <w:bCs/>
          <w:szCs w:val="22"/>
        </w:rPr>
      </w:pPr>
      <w:r w:rsidRPr="00E7490A">
        <w:rPr>
          <w:rFonts w:ascii="Book Antiqua" w:eastAsia="Arial" w:hAnsi="Book Antiqua" w:cs="Arial"/>
          <w:b/>
          <w:bCs/>
          <w:szCs w:val="22"/>
        </w:rPr>
        <w:t xml:space="preserve">Q2. </w:t>
      </w:r>
      <w:r w:rsidRPr="00E7490A">
        <w:rPr>
          <w:rFonts w:ascii="Book Antiqua" w:eastAsia="Arial" w:hAnsi="Book Antiqua" w:cs="Arial"/>
          <w:b/>
          <w:bCs/>
          <w:szCs w:val="22"/>
        </w:rPr>
        <w:t>What additional measures, if any, are needed to ensure that individuals have sufficient redress where they have suffered harm because of the use of AI?</w:t>
      </w:r>
    </w:p>
    <w:p w:rsidR="00EB401F" w:rsidRPr="00E7490A" w:rsidP="00E7490A">
      <w:pPr>
        <w:pStyle w:val="ListParagraph"/>
        <w:numPr>
          <w:ilvl w:val="0"/>
          <w:numId w:val="23"/>
        </w:numPr>
        <w:spacing w:line="360" w:lineRule="auto"/>
        <w:rPr>
          <w:rFonts w:ascii="Book Antiqua" w:eastAsia="Arial" w:hAnsi="Book Antiqua" w:cs="Arial"/>
          <w:szCs w:val="22"/>
        </w:rPr>
      </w:pPr>
      <w:r w:rsidRPr="00E7490A">
        <w:rPr>
          <w:rFonts w:ascii="Book Antiqua" w:eastAsia="Arial" w:hAnsi="Book Antiqua" w:cs="Arial"/>
          <w:szCs w:val="22"/>
        </w:rPr>
        <w:t xml:space="preserve">Specific frameworks are required for the regulation of AI at work given the distinctive power imbalance that exists in this context. </w:t>
      </w:r>
    </w:p>
    <w:p w:rsidR="00EB401F" w:rsidRPr="00E7490A" w:rsidP="00E7490A">
      <w:pPr>
        <w:pStyle w:val="ListParagraph"/>
        <w:spacing w:before="240" w:after="240" w:line="360" w:lineRule="auto"/>
        <w:rPr>
          <w:rFonts w:ascii="Book Antiqua" w:eastAsia="Arial" w:hAnsi="Book Antiqua" w:cs="Arial"/>
          <w:szCs w:val="22"/>
        </w:rPr>
      </w:pPr>
    </w:p>
    <w:p w:rsidR="00EB401F" w:rsidRPr="00E7490A" w:rsidP="00E7490A">
      <w:pPr>
        <w:pStyle w:val="ListParagraph"/>
        <w:numPr>
          <w:ilvl w:val="0"/>
          <w:numId w:val="23"/>
        </w:numPr>
        <w:spacing w:before="240" w:after="240" w:line="360" w:lineRule="auto"/>
        <w:rPr>
          <w:rFonts w:ascii="Book Antiqua" w:eastAsia="Arial" w:hAnsi="Book Antiqua" w:cs="Arial"/>
          <w:szCs w:val="22"/>
        </w:rPr>
      </w:pPr>
      <w:r w:rsidRPr="00E7490A">
        <w:rPr>
          <w:rFonts w:ascii="Book Antiqua" w:eastAsia="Arial" w:hAnsi="Book Antiqua" w:cs="Arial"/>
          <w:szCs w:val="22"/>
        </w:rPr>
        <w:t>These mechanisms must support both backward-looking accountability (i.e. imposing liability for human rights infringements caused by AI at work) and forward-looking responsibility (e.g. systems of worker voice and participation which enable human rights risks to be anticipated and avoided).</w:t>
      </w:r>
    </w:p>
    <w:p w:rsidR="00EB401F" w:rsidRPr="00E7490A" w:rsidP="00E7490A">
      <w:pPr>
        <w:spacing w:before="240" w:after="240" w:line="360" w:lineRule="auto"/>
        <w:rPr>
          <w:rFonts w:ascii="Book Antiqua" w:eastAsia="Arial" w:hAnsi="Book Antiqua" w:cs="Arial"/>
          <w:szCs w:val="22"/>
        </w:rPr>
      </w:pPr>
    </w:p>
    <w:p w:rsidR="00EB401F" w:rsidRPr="00E7490A" w:rsidP="00E7490A">
      <w:pPr>
        <w:spacing w:before="240" w:after="240" w:line="360" w:lineRule="auto"/>
        <w:rPr>
          <w:rFonts w:ascii="Book Antiqua" w:eastAsia="Arial" w:hAnsi="Book Antiqua" w:cs="Arial"/>
          <w:b/>
          <w:bCs/>
          <w:szCs w:val="22"/>
        </w:rPr>
      </w:pPr>
      <w:r w:rsidRPr="00E7490A">
        <w:rPr>
          <w:rFonts w:ascii="Book Antiqua" w:eastAsia="Arial" w:hAnsi="Book Antiqua" w:cs="Arial"/>
          <w:b/>
          <w:bCs/>
          <w:szCs w:val="22"/>
        </w:rPr>
        <w:t>How might regulation match the pace of AI technology development, such as the emergence of agentic AI, to ensure that human rights are preserved as technology continues to develop?</w:t>
      </w:r>
    </w:p>
    <w:p w:rsidR="00EB401F" w:rsidRPr="00E7490A" w:rsidP="00E7490A">
      <w:pPr>
        <w:pStyle w:val="ListParagraph"/>
        <w:numPr>
          <w:ilvl w:val="0"/>
          <w:numId w:val="23"/>
        </w:numPr>
        <w:spacing w:before="240" w:after="240" w:line="360" w:lineRule="auto"/>
        <w:rPr>
          <w:rFonts w:ascii="Book Antiqua" w:eastAsia="Arial" w:hAnsi="Book Antiqua" w:cs="Arial"/>
          <w:szCs w:val="22"/>
        </w:rPr>
      </w:pPr>
      <w:r w:rsidRPr="00E7490A">
        <w:rPr>
          <w:rFonts w:ascii="Book Antiqua" w:eastAsia="Arial" w:hAnsi="Book Antiqua" w:cs="Arial"/>
          <w:szCs w:val="22"/>
        </w:rPr>
        <w:t xml:space="preserve">It is very difficult, </w:t>
      </w:r>
      <w:r>
        <w:rPr>
          <w:rFonts w:ascii="Book Antiqua" w:eastAsia="Arial" w:hAnsi="Book Antiqua" w:cs="Arial"/>
          <w:szCs w:val="22"/>
        </w:rPr>
        <w:t xml:space="preserve">perhaps </w:t>
      </w:r>
      <w:r w:rsidRPr="00E7490A">
        <w:rPr>
          <w:rFonts w:ascii="Book Antiqua" w:eastAsia="Arial" w:hAnsi="Book Antiqua" w:cs="Arial"/>
          <w:szCs w:val="22"/>
        </w:rPr>
        <w:t xml:space="preserve">impossible, for legislation to </w:t>
      </w:r>
      <w:r>
        <w:rPr>
          <w:rFonts w:ascii="Book Antiqua" w:eastAsia="Arial" w:hAnsi="Book Antiqua" w:cs="Arial"/>
          <w:szCs w:val="22"/>
        </w:rPr>
        <w:t xml:space="preserve">fully </w:t>
      </w:r>
      <w:r w:rsidRPr="00E7490A">
        <w:rPr>
          <w:rFonts w:ascii="Book Antiqua" w:eastAsia="Arial" w:hAnsi="Book Antiqua" w:cs="Arial"/>
          <w:szCs w:val="22"/>
        </w:rPr>
        <w:t xml:space="preserve">keep up with the </w:t>
      </w:r>
      <w:r>
        <w:rPr>
          <w:rFonts w:ascii="Book Antiqua" w:eastAsia="Arial" w:hAnsi="Book Antiqua" w:cs="Arial"/>
          <w:szCs w:val="22"/>
        </w:rPr>
        <w:t xml:space="preserve">current </w:t>
      </w:r>
      <w:r w:rsidRPr="00E7490A">
        <w:rPr>
          <w:rFonts w:ascii="Book Antiqua" w:eastAsia="Arial" w:hAnsi="Book Antiqua" w:cs="Arial"/>
          <w:szCs w:val="22"/>
        </w:rPr>
        <w:t>pace of technological change.</w:t>
      </w:r>
    </w:p>
    <w:p w:rsidR="00EB401F" w:rsidRPr="00E7490A" w:rsidP="00E7490A">
      <w:pPr>
        <w:pStyle w:val="ListParagraph"/>
        <w:spacing w:before="240" w:after="240" w:line="360" w:lineRule="auto"/>
        <w:rPr>
          <w:rFonts w:ascii="Book Antiqua" w:eastAsia="Arial" w:hAnsi="Book Antiqua" w:cs="Arial"/>
          <w:szCs w:val="22"/>
        </w:rPr>
      </w:pPr>
    </w:p>
    <w:p w:rsidR="00EB401F" w:rsidRPr="00E7490A" w:rsidP="00E7490A">
      <w:pPr>
        <w:pStyle w:val="ListParagraph"/>
        <w:numPr>
          <w:ilvl w:val="0"/>
          <w:numId w:val="23"/>
        </w:numPr>
        <w:spacing w:before="240" w:after="240" w:line="360" w:lineRule="auto"/>
        <w:rPr>
          <w:rFonts w:ascii="Book Antiqua" w:eastAsia="Arial" w:hAnsi="Book Antiqua" w:cs="Arial"/>
          <w:szCs w:val="22"/>
        </w:rPr>
      </w:pPr>
      <w:r w:rsidRPr="00E7490A">
        <w:rPr>
          <w:rFonts w:ascii="Book Antiqua" w:eastAsia="Arial" w:hAnsi="Book Antiqua" w:cs="Arial"/>
          <w:szCs w:val="22"/>
        </w:rPr>
        <w:t>This is why worker consultation and negotiation can provide such valuable tools for identifying and address human rights infringements at work – these mechanisms are flexible and fast responding, allowing solutions to be found at the level of individual workplaces and sectors as they emerge.</w:t>
      </w:r>
    </w:p>
    <w:p w:rsidR="00EB401F" w:rsidRPr="00E7490A" w:rsidP="00E7490A">
      <w:pPr>
        <w:pStyle w:val="ListParagraph"/>
        <w:spacing w:line="360" w:lineRule="auto"/>
        <w:rPr>
          <w:rFonts w:ascii="Book Antiqua" w:eastAsia="Arial" w:hAnsi="Book Antiqua" w:cs="Arial"/>
          <w:szCs w:val="22"/>
        </w:rPr>
      </w:pPr>
    </w:p>
    <w:p w:rsidR="00EB401F" w:rsidRPr="00E7490A" w:rsidP="00E7490A">
      <w:pPr>
        <w:pStyle w:val="ListParagraph"/>
        <w:numPr>
          <w:ilvl w:val="0"/>
          <w:numId w:val="23"/>
        </w:numPr>
        <w:spacing w:before="240" w:after="240" w:line="360" w:lineRule="auto"/>
        <w:rPr>
          <w:rFonts w:ascii="Book Antiqua" w:eastAsia="Arial" w:hAnsi="Book Antiqua" w:cs="Arial"/>
          <w:szCs w:val="22"/>
        </w:rPr>
      </w:pPr>
      <w:r w:rsidRPr="00E7490A">
        <w:rPr>
          <w:rFonts w:ascii="Book Antiqua" w:eastAsia="Arial" w:hAnsi="Book Antiqua" w:cs="Arial"/>
          <w:szCs w:val="22"/>
        </w:rPr>
        <w:t xml:space="preserve">Requiring algorithmic impact assessments that include audits of human rights impacts, or introducing a licencing regime for algorithmic management systems prior to these </w:t>
      </w:r>
      <w:r w:rsidRPr="00E7490A">
        <w:rPr>
          <w:rFonts w:ascii="Book Antiqua" w:eastAsia="Arial" w:hAnsi="Book Antiqua" w:cs="Arial"/>
          <w:szCs w:val="22"/>
        </w:rPr>
        <w:t xml:space="preserve">being able to marketed in the UK would also be valuable forward-looking tools capable of being applied to new forms of technology as they arise. </w:t>
      </w:r>
    </w:p>
    <w:p w:rsidR="00EB401F" w:rsidRPr="00E7490A" w:rsidP="00E7490A">
      <w:pPr>
        <w:spacing w:line="360" w:lineRule="auto"/>
        <w:rPr>
          <w:rFonts w:ascii="Book Antiqua" w:eastAsia="Arial" w:hAnsi="Book Antiqua"/>
          <w:b/>
          <w:bCs/>
        </w:rPr>
      </w:pPr>
    </w:p>
    <w:p w:rsidR="00EB401F" w:rsidRPr="00E7490A" w:rsidP="00E7490A">
      <w:pPr>
        <w:spacing w:line="360" w:lineRule="auto"/>
        <w:rPr>
          <w:rFonts w:ascii="Book Antiqua" w:eastAsia="Arial" w:hAnsi="Book Antiqua"/>
          <w:b/>
          <w:bCs/>
        </w:rPr>
      </w:pPr>
      <w:r w:rsidRPr="00E7490A">
        <w:rPr>
          <w:rFonts w:ascii="Book Antiqua" w:eastAsia="Arial" w:hAnsi="Book Antiqua"/>
          <w:b/>
          <w:bCs/>
        </w:rPr>
        <w:t>Q9: What lessons can be drawn from regulation of the impact of AI on human rights in other jurisdictions, such as theEuropean Union</w:t>
      </w:r>
    </w:p>
    <w:p w:rsidR="00EB401F" w:rsidRPr="00E7490A" w:rsidP="00E7490A">
      <w:pPr>
        <w:pStyle w:val="ListParagraph"/>
        <w:numPr>
          <w:ilvl w:val="0"/>
          <w:numId w:val="23"/>
        </w:numPr>
        <w:spacing w:line="360" w:lineRule="auto"/>
        <w:rPr>
          <w:rFonts w:ascii="Book Antiqua" w:eastAsia="Arial" w:hAnsi="Book Antiqua"/>
        </w:rPr>
      </w:pPr>
      <w:r w:rsidRPr="00E7490A">
        <w:rPr>
          <w:rFonts w:ascii="Book Antiqua" w:eastAsia="Arial" w:hAnsi="Book Antiqua"/>
        </w:rPr>
        <w:t xml:space="preserve">The EU Platform Work Directive and AI Act contains some valuable provisions for regulating algorithmic management and AI at work, including outright prohibitions of some categories of technology, and information rights. </w:t>
      </w:r>
    </w:p>
    <w:p w:rsidR="00EB401F" w:rsidRPr="00E7490A" w:rsidP="00E7490A">
      <w:pPr>
        <w:pStyle w:val="ListParagraph"/>
        <w:spacing w:line="360" w:lineRule="auto"/>
        <w:rPr>
          <w:rFonts w:ascii="Book Antiqua" w:eastAsia="Arial" w:hAnsi="Book Antiqua"/>
        </w:rPr>
      </w:pPr>
    </w:p>
    <w:p w:rsidR="00EB401F" w:rsidRPr="00E7490A" w:rsidP="00E7490A">
      <w:pPr>
        <w:pStyle w:val="ListParagraph"/>
        <w:numPr>
          <w:ilvl w:val="0"/>
          <w:numId w:val="23"/>
        </w:numPr>
        <w:spacing w:line="360" w:lineRule="auto"/>
        <w:rPr>
          <w:rFonts w:ascii="Book Antiqua" w:eastAsia="Arial" w:hAnsi="Book Antiqua"/>
        </w:rPr>
      </w:pPr>
      <w:r w:rsidRPr="00E7490A">
        <w:rPr>
          <w:rFonts w:ascii="Book Antiqua" w:eastAsia="Arial" w:hAnsi="Book Antiqua"/>
        </w:rPr>
        <w:t>They are far from perfect, however, and should not simply be replicated wholesale in the UK.</w:t>
      </w:r>
      <w:r>
        <w:rPr>
          <w:rStyle w:val="FootnoteReference"/>
          <w:rFonts w:ascii="Book Antiqua" w:eastAsia="Arial" w:hAnsi="Book Antiqua"/>
        </w:rPr>
        <w:footnoteReference w:id="8"/>
      </w:r>
      <w:r w:rsidRPr="00E7490A">
        <w:rPr>
          <w:rFonts w:ascii="Book Antiqua" w:eastAsia="Arial" w:hAnsi="Book Antiqua"/>
        </w:rPr>
        <w:t xml:space="preserve"> For instance, the AI threat to human rights at work applies far beyond the context of platform work, and it therefore makes no sense for the new protections from algorithmic management contained in the PWD to be limited to these workers. </w:t>
      </w:r>
    </w:p>
    <w:p w:rsidR="00EB401F" w:rsidRPr="00E7490A" w:rsidP="00E7490A">
      <w:pPr>
        <w:spacing w:line="360" w:lineRule="auto"/>
        <w:rPr>
          <w:rFonts w:ascii="Book Antiqua" w:eastAsia="Arial" w:hAnsi="Book Antiqua"/>
        </w:rPr>
      </w:pPr>
    </w:p>
    <w:p w:rsidR="00EB401F" w:rsidRPr="00E7490A" w:rsidP="00E7490A">
      <w:pPr>
        <w:spacing w:line="360" w:lineRule="auto"/>
        <w:rPr>
          <w:rFonts w:ascii="Book Antiqua" w:eastAsia="Arial" w:hAnsi="Book Antiqua"/>
        </w:rPr>
      </w:pPr>
    </w:p>
    <w:p w:rsidR="00EB401F" w:rsidRPr="00E7490A" w:rsidP="00E7490A">
      <w:pPr>
        <w:pStyle w:val="Heading1"/>
        <w:rPr>
          <w:sz w:val="22"/>
        </w:rPr>
      </w:pPr>
      <w:r w:rsidRPr="00E7490A">
        <w:t>Author Info</w:t>
      </w:r>
    </w:p>
    <w:p w:rsidR="00EB401F" w:rsidRPr="00E7490A" w:rsidP="00E7490A">
      <w:pPr>
        <w:spacing w:after="240" w:line="360" w:lineRule="auto"/>
        <w:rPr>
          <w:rFonts w:ascii="Book Antiqua" w:eastAsia="Arial" w:hAnsi="Book Antiqua"/>
        </w:rPr>
      </w:pPr>
      <w:r w:rsidRPr="00E7490A">
        <w:rPr>
          <w:rFonts w:ascii="Book Antiqua" w:eastAsia="Arial" w:hAnsi="Book Antiqua"/>
        </w:rPr>
        <w:t xml:space="preserve">Dr Joe Atkinson is an Associate Professor of Employment Law at the University of Southampton. His research addresses questions relating to employment law and human rights, with a particular focus on the use and regulation of new technologies in the workplace. </w:t>
      </w:r>
    </w:p>
    <w:p w:rsidR="00EB401F" w:rsidP="00E7490A">
      <w:pPr>
        <w:spacing w:after="240" w:line="360" w:lineRule="auto"/>
        <w:rPr>
          <w:rFonts w:ascii="Book Antiqua" w:eastAsia="Arial" w:hAnsi="Book Antiqua"/>
        </w:rPr>
      </w:pPr>
    </w:p>
    <w:p w:rsidR="00D80EEB" w:rsidRPr="00DF1892" w:rsidP="00220319">
      <w:pPr>
        <w:pStyle w:val="whitespace-normal"/>
        <w:spacing w:line="360" w:lineRule="auto"/>
        <w:rPr>
          <w:rFonts w:ascii="Calibri" w:hAnsi="Calibri" w:cs="Calibri"/>
        </w:rPr>
      </w:pPr>
      <w:r w:rsidRPr="00DF1892">
        <w:rPr>
          <w:rFonts w:ascii="Calibri" w:hAnsi="Calibri" w:cs="Calibri"/>
          <w:b/>
          <w:bCs/>
          <w:i/>
          <w:iCs/>
        </w:rPr>
        <w:t>(Sept 2025)</w:t>
      </w:r>
    </w:p>
    <w:p w:rsidR="00D80EEB" w:rsidRPr="00E7490A" w:rsidP="00E7490A">
      <w:pPr>
        <w:spacing w:after="240" w:line="360" w:lineRule="auto"/>
        <w:rPr>
          <w:rFonts w:ascii="Book Antiqua" w:eastAsia="Arial" w:hAnsi="Book Antiqua" w:cs="Arial"/>
          <w:szCs w:val="22"/>
        </w:rPr>
      </w:pPr>
    </w:p>
    <w:sectPr>
      <w:headerReference w:type="default" r:id="rId10"/>
      <w:footerReference w:type="default" r:id="rId11"/>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Book Antiqua">
    <w:panose1 w:val="02040602050305030304"/>
    <w:charset w:val="00"/>
    <w:family w:val="roman"/>
    <w:pitch w:val="variable"/>
    <w:sig w:usb0="00000287" w:usb1="00000000" w:usb2="00000000" w:usb3="00000000" w:csb0="0000009F" w:csb1="00000000"/>
  </w:font>
  <w:font w:name="Trebuchet MS">
    <w:panose1 w:val="020B0603020202020204"/>
    <w:charset w:val="00"/>
    <w:family w:val="swiss"/>
    <w:pitch w:val="variable"/>
    <w:sig w:usb0="00000687" w:usb1="00000000" w:usb2="00000000" w:usb3="00000000" w:csb0="0000009F" w:csb1="00000000"/>
  </w:font>
  <w:font w:name="Helvetica">
    <w:panose1 w:val="020B0604020202020204"/>
    <w:charset w:val="00"/>
    <w:family w:val="auto"/>
    <w:pitch w:val="variable"/>
    <w:sig w:usb0="E00002FF" w:usb1="5000785B"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Nova">
    <w:charset w:val="00"/>
    <w:family w:val="swiss"/>
    <w:pitch w:val="variable"/>
    <w:sig w:usb0="0000028F" w:usb1="00000002"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tbl>
    <w:tblPr>
      <w:tblW w:w="0" w:type="auto"/>
      <w:tblLayout w:type="fixed"/>
      <w:tblLook w:val="06A0"/>
    </w:tblPr>
    <w:tblGrid>
      <w:gridCol w:w="3005"/>
      <w:gridCol w:w="3005"/>
      <w:gridCol w:w="3005"/>
    </w:tblGrid>
    <w:tr w:rsidTr="2EEEF361">
      <w:tblPrEx>
        <w:tblW w:w="0" w:type="auto"/>
        <w:tblLayout w:type="fixed"/>
        <w:tblLook w:val="06A0"/>
      </w:tblPrEx>
      <w:trPr>
        <w:trHeight w:val="300"/>
      </w:trPr>
      <w:tc>
        <w:tcPr>
          <w:tcW w:w="3005" w:type="dxa"/>
        </w:tcPr>
        <w:p w:rsidR="00EB401F" w:rsidP="2EEEF361">
          <w:pPr>
            <w:pStyle w:val="Header"/>
            <w:ind w:left="-115"/>
          </w:pPr>
        </w:p>
      </w:tc>
      <w:tc>
        <w:tcPr>
          <w:tcW w:w="3005" w:type="dxa"/>
        </w:tcPr>
        <w:p w:rsidR="00EB401F" w:rsidP="2EEEF361">
          <w:pPr>
            <w:pStyle w:val="Header"/>
            <w:jc w:val="center"/>
          </w:pPr>
        </w:p>
      </w:tc>
      <w:tc>
        <w:tcPr>
          <w:tcW w:w="3005" w:type="dxa"/>
        </w:tcPr>
        <w:p w:rsidR="00EB401F" w:rsidRPr="006B0B58" w:rsidP="2EEEF361">
          <w:pPr>
            <w:pStyle w:val="Header"/>
            <w:ind w:right="-115"/>
            <w:jc w:val="right"/>
            <w:rPr>
              <w:rFonts w:eastAsia="Arial Nova" w:cs="Arial"/>
              <w:sz w:val="20"/>
              <w:szCs w:val="20"/>
            </w:rPr>
          </w:pPr>
          <w:r w:rsidRPr="006B0B58">
            <w:rPr>
              <w:rFonts w:eastAsia="Arial Nova" w:cs="Arial"/>
              <w:sz w:val="20"/>
              <w:szCs w:val="20"/>
            </w:rPr>
            <w:fldChar w:fldCharType="begin"/>
          </w:r>
          <w:r w:rsidRPr="006B0B58">
            <w:rPr>
              <w:rFonts w:cs="Arial"/>
              <w:sz w:val="20"/>
              <w:szCs w:val="20"/>
            </w:rPr>
            <w:instrText>PAGE</w:instrText>
          </w:r>
          <w:r w:rsidRPr="006B0B58">
            <w:rPr>
              <w:rFonts w:cs="Arial"/>
              <w:sz w:val="20"/>
              <w:szCs w:val="20"/>
            </w:rPr>
            <w:fldChar w:fldCharType="separate"/>
          </w:r>
          <w:r w:rsidRPr="006B0B58">
            <w:rPr>
              <w:rFonts w:cs="Arial"/>
              <w:noProof/>
              <w:sz w:val="20"/>
              <w:szCs w:val="20"/>
            </w:rPr>
            <w:t>4</w:t>
          </w:r>
          <w:r w:rsidRPr="006B0B58">
            <w:rPr>
              <w:rFonts w:eastAsia="Arial Nova" w:cs="Arial"/>
              <w:sz w:val="20"/>
              <w:szCs w:val="20"/>
            </w:rPr>
            <w:fldChar w:fldCharType="end"/>
          </w:r>
        </w:p>
      </w:tc>
    </w:tr>
  </w:tbl>
  <w:p w:rsidR="00EB401F" w:rsidP="2EEEF36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D80EEB">
      <w:pPr>
        <w:spacing w:after="0"/>
      </w:pPr>
      <w:r>
        <w:separator/>
      </w:r>
    </w:p>
  </w:footnote>
  <w:footnote w:type="continuationSeparator" w:id="1">
    <w:p w:rsidR="00D80EEB">
      <w:pPr>
        <w:spacing w:after="0"/>
      </w:pPr>
      <w:r>
        <w:continuationSeparator/>
      </w:r>
    </w:p>
  </w:footnote>
  <w:footnote w:id="2">
    <w:p w:rsidR="00EB401F">
      <w:pPr>
        <w:pStyle w:val="FootnoteText"/>
      </w:pPr>
      <w:r>
        <w:rPr>
          <w:rStyle w:val="FootnoteReference"/>
        </w:rPr>
        <w:footnoteRef/>
      </w:r>
      <w:r>
        <w:t xml:space="preserve"> Atkinson J and Evans J, ‘</w:t>
      </w:r>
      <w:r w:rsidRPr="00BB116E">
        <w:t>Negotiating the Future of Work: Legislating to Protect Workers from Surveillance</w:t>
      </w:r>
      <w:r>
        <w:t>’ (IPPR, 2025).</w:t>
      </w:r>
    </w:p>
  </w:footnote>
  <w:footnote w:id="3">
    <w:p w:rsidR="00EB401F" w:rsidRPr="006D19C5">
      <w:pPr>
        <w:pStyle w:val="FootnoteText"/>
      </w:pPr>
      <w:r>
        <w:rPr>
          <w:rStyle w:val="FootnoteReference"/>
        </w:rPr>
        <w:footnoteRef/>
      </w:r>
      <w:r>
        <w:t xml:space="preserve"> Atkinson J and Collins P, ‘AI and human rights at work’ in </w:t>
      </w:r>
      <w:r>
        <w:rPr>
          <w:i/>
          <w:iCs/>
        </w:rPr>
        <w:t xml:space="preserve">AI and Human Rights </w:t>
      </w:r>
      <w:r>
        <w:t>(OUP 2023).</w:t>
      </w:r>
    </w:p>
  </w:footnote>
  <w:footnote w:id="4">
    <w:p w:rsidR="00EB401F">
      <w:pPr>
        <w:pStyle w:val="FootnoteText"/>
      </w:pPr>
      <w:r>
        <w:rPr>
          <w:rStyle w:val="FootnoteReference"/>
        </w:rPr>
        <w:footnoteRef/>
      </w:r>
      <w:r>
        <w:t xml:space="preserve"> For detailed proposals see Atkinson J and Evans J, ‘</w:t>
      </w:r>
      <w:r w:rsidRPr="00BB116E">
        <w:t>Negotiating the Future of Work: Legislating to Protect Workers from Surveillance</w:t>
      </w:r>
      <w:r>
        <w:t xml:space="preserve">’ (IPPR, 2025); Atkinson J and Collins P, ‘Algorithmic management and a new generation of rights at work’, (IER, 2024). </w:t>
      </w:r>
    </w:p>
  </w:footnote>
  <w:footnote w:id="5">
    <w:p w:rsidR="00EB401F" w:rsidP="00CF534A">
      <w:pPr>
        <w:pStyle w:val="FootnoteText"/>
      </w:pPr>
      <w:r>
        <w:rPr>
          <w:rStyle w:val="FootnoteReference"/>
        </w:rPr>
        <w:footnoteRef/>
      </w:r>
      <w:r>
        <w:t xml:space="preserve"> For details of these proposals see, Atkinson J and Evans J </w:t>
      </w:r>
      <w:r w:rsidRPr="00696423">
        <w:rPr>
          <w:i/>
          <w:iCs/>
        </w:rPr>
        <w:t>Negotiating the future of work: Legislating to protect workers from surveillance</w:t>
      </w:r>
      <w:r>
        <w:t xml:space="preserve">, (IPPR, 2025). </w:t>
      </w:r>
      <w:r>
        <w:fldChar w:fldCharType="begin"/>
      </w:r>
      <w:r>
        <w:instrText xml:space="preserve"> HYPERLINK "http://www.ippr.org/publications/negotiating-the-future-of-work-surveillance" </w:instrText>
      </w:r>
      <w:r>
        <w:fldChar w:fldCharType="separate"/>
      </w:r>
      <w:r w:rsidRPr="00094B67">
        <w:rPr>
          <w:rStyle w:val="Hyperlink"/>
        </w:rPr>
        <w:t>http://www.ippr.org/publications/negotiating-the-future-of-work-surveillance</w:t>
      </w:r>
      <w:r>
        <w:fldChar w:fldCharType="end"/>
      </w:r>
      <w:r>
        <w:t xml:space="preserve"> </w:t>
      </w:r>
      <w:r>
        <w:cr/>
      </w:r>
    </w:p>
  </w:footnote>
  <w:footnote w:id="6">
    <w:p w:rsidR="00EB401F">
      <w:pPr>
        <w:pStyle w:val="FootnoteText"/>
      </w:pPr>
      <w:r>
        <w:rPr>
          <w:rStyle w:val="FootnoteReference"/>
        </w:rPr>
        <w:footnoteRef/>
      </w:r>
      <w:r>
        <w:t xml:space="preserve"> For details see, Atkinson J and Collins P, </w:t>
      </w:r>
      <w:r>
        <w:rPr>
          <w:i/>
          <w:iCs/>
        </w:rPr>
        <w:t>Algorithmic Management and a New Generation of Rights at Work</w:t>
      </w:r>
      <w:r>
        <w:t xml:space="preserve"> (IER 2024). </w:t>
      </w:r>
      <w:r>
        <w:fldChar w:fldCharType="begin"/>
      </w:r>
      <w:r>
        <w:instrText xml:space="preserve"> HYPERLINK "https://eprints.soton.ac.uk/490722/1/Atkinson_Collins_Algorithmic_Management.pdf" </w:instrText>
      </w:r>
      <w:r>
        <w:fldChar w:fldCharType="separate"/>
      </w:r>
      <w:r w:rsidRPr="00094B67">
        <w:rPr>
          <w:rStyle w:val="Hyperlink"/>
        </w:rPr>
        <w:t>https://eprints.soton.ac.uk/490722/1/Atkinson_Collins_Algorithmic_Management.pdf</w:t>
      </w:r>
      <w:r>
        <w:fldChar w:fldCharType="end"/>
      </w:r>
      <w:r>
        <w:t xml:space="preserve">  </w:t>
      </w:r>
    </w:p>
  </w:footnote>
  <w:footnote w:id="7">
    <w:p w:rsidR="00EB401F" w:rsidRPr="00696423">
      <w:pPr>
        <w:pStyle w:val="FootnoteText"/>
      </w:pPr>
      <w:r>
        <w:rPr>
          <w:rStyle w:val="FootnoteReference"/>
        </w:rPr>
        <w:footnoteRef/>
      </w:r>
      <w:r>
        <w:t xml:space="preserve"> See generally, Bogg A. and others, </w:t>
      </w:r>
      <w:r>
        <w:rPr>
          <w:i/>
          <w:iCs/>
        </w:rPr>
        <w:t xml:space="preserve">Human Rights at Work – Reimagining Employment Law </w:t>
      </w:r>
      <w:r>
        <w:t>(Hart, 2024).</w:t>
      </w:r>
    </w:p>
  </w:footnote>
  <w:footnote w:id="8">
    <w:p w:rsidR="00EB401F" w:rsidRPr="00E7490A">
      <w:pPr>
        <w:pStyle w:val="FootnoteText"/>
      </w:pPr>
      <w:r>
        <w:rPr>
          <w:rStyle w:val="FootnoteReference"/>
        </w:rPr>
        <w:footnoteRef/>
      </w:r>
      <w:r>
        <w:t xml:space="preserve"> For discussion see Atkinson J and Sedacca N, ‘</w:t>
      </w:r>
      <w:r w:rsidRPr="00E7490A">
        <w:t>Realising decent work for platform workers: a human rights approach</w:t>
      </w:r>
      <w:r>
        <w:t xml:space="preserve">’, (2025) </w:t>
      </w:r>
      <w:r>
        <w:rPr>
          <w:i/>
          <w:iCs/>
        </w:rPr>
        <w:t>Transnational Legal Theory</w:t>
      </w:r>
      <w:r>
        <w:t xml:space="preserve">. </w:t>
      </w:r>
      <w:r>
        <w:fldChar w:fldCharType="begin"/>
      </w:r>
      <w:r>
        <w:instrText xml:space="preserve"> HYPERLINK "https://www.tandfonline.com/doi/full/10.1080/20414005.2025.2518897" </w:instrText>
      </w:r>
      <w:r>
        <w:fldChar w:fldCharType="separate"/>
      </w:r>
      <w:r w:rsidRPr="00094B67">
        <w:rPr>
          <w:rStyle w:val="Hyperlink"/>
        </w:rPr>
        <w:t>https://www.tandfonline.com/doi/full/10.1080/20414005.2025.2518897</w:t>
      </w:r>
      <w:r>
        <w:fldChar w:fldCharType="end"/>
      </w:r>
      <w:r>
        <w:t xml:space="preserve">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tbl>
    <w:tblPr>
      <w:tblW w:w="0" w:type="auto"/>
      <w:tblLayout w:type="fixed"/>
      <w:tblLook w:val="06A0"/>
    </w:tblPr>
    <w:tblGrid>
      <w:gridCol w:w="3005"/>
      <w:gridCol w:w="3005"/>
      <w:gridCol w:w="3005"/>
    </w:tblGrid>
    <w:tr w:rsidTr="2EEEF361">
      <w:tblPrEx>
        <w:tblW w:w="0" w:type="auto"/>
        <w:tblLayout w:type="fixed"/>
        <w:tblLook w:val="06A0"/>
      </w:tblPrEx>
      <w:trPr>
        <w:trHeight w:val="300"/>
      </w:trPr>
      <w:tc>
        <w:tcPr>
          <w:tcW w:w="3005" w:type="dxa"/>
        </w:tcPr>
        <w:p w:rsidR="00EB401F" w:rsidP="2EEEF361">
          <w:pPr>
            <w:pStyle w:val="Header"/>
            <w:ind w:left="-115"/>
          </w:pPr>
        </w:p>
      </w:tc>
      <w:tc>
        <w:tcPr>
          <w:tcW w:w="3005" w:type="dxa"/>
        </w:tcPr>
        <w:p w:rsidR="00EB401F" w:rsidP="2EEEF361">
          <w:pPr>
            <w:pStyle w:val="Header"/>
            <w:jc w:val="center"/>
          </w:pPr>
        </w:p>
      </w:tc>
      <w:tc>
        <w:tcPr>
          <w:tcW w:w="3005" w:type="dxa"/>
        </w:tcPr>
        <w:p w:rsidR="00EB401F" w:rsidP="2EEEF361">
          <w:pPr>
            <w:pStyle w:val="Header"/>
            <w:ind w:right="-115"/>
            <w:jc w:val="right"/>
          </w:pPr>
        </w:p>
      </w:tc>
    </w:tr>
  </w:tbl>
  <w:p w:rsidR="00EB401F" w:rsidP="2EEEF36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74D4004"/>
    <w:multiLevelType w:val="hybridMultilevel"/>
    <w:tmpl w:val="790AF3AA"/>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
    <w:nsid w:val="077816EA"/>
    <w:multiLevelType w:val="hybridMultilevel"/>
    <w:tmpl w:val="3FD65E96"/>
    <w:lvl w:ilvl="0">
      <w:start w:val="1"/>
      <w:numFmt w:val="bullet"/>
      <w:lvlText w:val="-"/>
      <w:lvlJc w:val="left"/>
      <w:pPr>
        <w:ind w:left="720" w:hanging="360"/>
      </w:pPr>
      <w:rPr>
        <w:rFonts w:ascii="Aptos" w:hAnsi="Aptos"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
    <w:nsid w:val="0C815912"/>
    <w:multiLevelType w:val="hybridMultilevel"/>
    <w:tmpl w:val="C0342FB4"/>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
    <w:nsid w:val="0DCBE196"/>
    <w:multiLevelType w:val="hybridMultilevel"/>
    <w:tmpl w:val="333AC89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4">
    <w:nsid w:val="0EC2BBF5"/>
    <w:multiLevelType w:val="hybridMultilevel"/>
    <w:tmpl w:val="2E60910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5">
    <w:nsid w:val="17E84E9A"/>
    <w:multiLevelType w:val="hybridMultilevel"/>
    <w:tmpl w:val="E498218E"/>
    <w:lvl w:ilvl="0">
      <w:start w:val="1"/>
      <w:numFmt w:val="decimal"/>
      <w:lvlText w:val="%1."/>
      <w:lvlJc w:val="left"/>
      <w:pPr>
        <w:ind w:left="720" w:hanging="36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6">
    <w:nsid w:val="188FC4CF"/>
    <w:multiLevelType w:val="hybridMultilevel"/>
    <w:tmpl w:val="DAE8AC14"/>
    <w:lvl w:ilvl="0">
      <w:start w:val="1"/>
      <w:numFmt w:val="bullet"/>
      <w:lvlText w:val="-"/>
      <w:lvlJc w:val="left"/>
      <w:pPr>
        <w:ind w:left="720" w:hanging="360"/>
      </w:pPr>
      <w:rPr>
        <w:rFonts w:ascii="Aptos" w:hAnsi="Aptos"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7">
    <w:nsid w:val="1A502F03"/>
    <w:multiLevelType w:val="hybridMultilevel"/>
    <w:tmpl w:val="1A0EDA7C"/>
    <w:lvl w:ilvl="0">
      <w:start w:val="1"/>
      <w:numFmt w:val="decimal"/>
      <w:lvlText w:val="%1."/>
      <w:lvlJc w:val="left"/>
      <w:pPr>
        <w:ind w:left="720" w:hanging="360"/>
      </w:pPr>
      <w:rPr>
        <w:rFonts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8">
    <w:nsid w:val="309C146D"/>
    <w:multiLevelType w:val="hybridMultilevel"/>
    <w:tmpl w:val="FE6ACD22"/>
    <w:lvl w:ilvl="0">
      <w:start w:val="1"/>
      <w:numFmt w:val="bullet"/>
      <w:lvlText w:val="-"/>
      <w:lvlJc w:val="left"/>
      <w:pPr>
        <w:ind w:left="720" w:hanging="360"/>
      </w:pPr>
      <w:rPr>
        <w:rFonts w:ascii="Aptos" w:hAnsi="Aptos"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9">
    <w:nsid w:val="35A82978"/>
    <w:multiLevelType w:val="hybridMultilevel"/>
    <w:tmpl w:val="943075F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0">
    <w:nsid w:val="36D9DB07"/>
    <w:multiLevelType w:val="hybridMultilevel"/>
    <w:tmpl w:val="0B4CBB3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1">
    <w:nsid w:val="39983F6C"/>
    <w:multiLevelType w:val="hybridMultilevel"/>
    <w:tmpl w:val="6AE40C20"/>
    <w:lvl w:ilvl="0">
      <w:start w:val="1"/>
      <w:numFmt w:val="decimal"/>
      <w:lvlText w:val="%1."/>
      <w:lvlJc w:val="left"/>
      <w:pPr>
        <w:ind w:left="720" w:hanging="360"/>
      </w:pPr>
      <w:rPr>
        <w:rFonts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2">
    <w:nsid w:val="3B0F00C2"/>
    <w:multiLevelType w:val="hybridMultilevel"/>
    <w:tmpl w:val="6408211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3">
    <w:nsid w:val="3D6519E9"/>
    <w:multiLevelType w:val="hybridMultilevel"/>
    <w:tmpl w:val="7A78B0F8"/>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4">
    <w:nsid w:val="439748CF"/>
    <w:multiLevelType w:val="hybridMultilevel"/>
    <w:tmpl w:val="5D10A466"/>
    <w:lvl w:ilvl="0">
      <w:start w:val="1"/>
      <w:numFmt w:val="decimal"/>
      <w:lvlText w:val="%1."/>
      <w:lvlJc w:val="left"/>
      <w:pPr>
        <w:ind w:left="720" w:hanging="36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5">
    <w:nsid w:val="54157CC9"/>
    <w:multiLevelType w:val="hybridMultilevel"/>
    <w:tmpl w:val="B2D2CBCA"/>
    <w:lvl w:ilvl="0">
      <w:start w:val="5"/>
      <w:numFmt w:val="bullet"/>
      <w:lvlText w:val=""/>
      <w:lvlJc w:val="left"/>
      <w:pPr>
        <w:ind w:left="720" w:hanging="360"/>
      </w:pPr>
      <w:rPr>
        <w:rFonts w:ascii="Symbol" w:eastAsia="Arial" w:hAnsi="Symbol" w:cs="Aria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nsid w:val="5FE92969"/>
    <w:multiLevelType w:val="hybridMultilevel"/>
    <w:tmpl w:val="A1DACF0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nsid w:val="6BEB60B2"/>
    <w:multiLevelType w:val="hybridMultilevel"/>
    <w:tmpl w:val="790AF3AA"/>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8">
    <w:nsid w:val="6DB74D28"/>
    <w:multiLevelType w:val="hybridMultilevel"/>
    <w:tmpl w:val="AB34861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9">
    <w:nsid w:val="6E67E39A"/>
    <w:multiLevelType w:val="hybridMultilevel"/>
    <w:tmpl w:val="DF86B93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0">
    <w:nsid w:val="6F718EED"/>
    <w:multiLevelType w:val="hybridMultilevel"/>
    <w:tmpl w:val="BA3887C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1">
    <w:nsid w:val="70CA3EAE"/>
    <w:multiLevelType w:val="hybridMultilevel"/>
    <w:tmpl w:val="790AF3AA"/>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2">
    <w:nsid w:val="74A83325"/>
    <w:multiLevelType w:val="hybridMultilevel"/>
    <w:tmpl w:val="B1081D12"/>
    <w:lvl w:ilvl="0">
      <w:start w:val="1"/>
      <w:numFmt w:val="bullet"/>
      <w:lvlText w:val=""/>
      <w:lvlJc w:val="left"/>
      <w:pPr>
        <w:ind w:left="1080" w:hanging="360"/>
      </w:pPr>
      <w:rPr>
        <w:rFonts w:ascii="Symbol" w:eastAsia="Arial" w:hAnsi="Symbol" w:cs="Arial"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23">
    <w:nsid w:val="7A22AB3B"/>
    <w:multiLevelType w:val="hybridMultilevel"/>
    <w:tmpl w:val="B1DCFAF8"/>
    <w:lvl w:ilvl="0">
      <w:start w:val="1"/>
      <w:numFmt w:val="bullet"/>
      <w:lvlText w:val="-"/>
      <w:lvlJc w:val="left"/>
      <w:pPr>
        <w:ind w:left="720" w:hanging="360"/>
      </w:pPr>
      <w:rPr>
        <w:rFonts w:ascii="Aptos" w:hAnsi="Aptos"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4">
    <w:nsid w:val="7D310CC2"/>
    <w:multiLevelType w:val="hybridMultilevel"/>
    <w:tmpl w:val="3C201CA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num w:numId="1">
    <w:abstractNumId w:val="8"/>
  </w:num>
  <w:num w:numId="2">
    <w:abstractNumId w:val="23"/>
  </w:num>
  <w:num w:numId="3">
    <w:abstractNumId w:val="1"/>
  </w:num>
  <w:num w:numId="4">
    <w:abstractNumId w:val="4"/>
  </w:num>
  <w:num w:numId="5">
    <w:abstractNumId w:val="19"/>
  </w:num>
  <w:num w:numId="6">
    <w:abstractNumId w:val="12"/>
  </w:num>
  <w:num w:numId="7">
    <w:abstractNumId w:val="20"/>
  </w:num>
  <w:num w:numId="8">
    <w:abstractNumId w:val="10"/>
  </w:num>
  <w:num w:numId="9">
    <w:abstractNumId w:val="6"/>
  </w:num>
  <w:num w:numId="10">
    <w:abstractNumId w:val="18"/>
  </w:num>
  <w:num w:numId="11">
    <w:abstractNumId w:val="9"/>
  </w:num>
  <w:num w:numId="12">
    <w:abstractNumId w:val="24"/>
  </w:num>
  <w:num w:numId="13">
    <w:abstractNumId w:val="3"/>
  </w:num>
  <w:num w:numId="14">
    <w:abstractNumId w:val="16"/>
  </w:num>
  <w:num w:numId="15">
    <w:abstractNumId w:val="11"/>
  </w:num>
  <w:num w:numId="16">
    <w:abstractNumId w:val="5"/>
  </w:num>
  <w:num w:numId="17">
    <w:abstractNumId w:val="14"/>
  </w:num>
  <w:num w:numId="18">
    <w:abstractNumId w:val="2"/>
  </w:num>
  <w:num w:numId="19">
    <w:abstractNumId w:val="7"/>
  </w:num>
  <w:num w:numId="20">
    <w:abstractNumId w:val="15"/>
  </w:num>
  <w:num w:numId="21">
    <w:abstractNumId w:val="13"/>
  </w:num>
  <w:num w:numId="22">
    <w:abstractNumId w:val="22"/>
  </w:num>
  <w:num w:numId="23">
    <w:abstractNumId w:val="17"/>
  </w:num>
  <w:num w:numId="24">
    <w:abstractNumId w:val="0"/>
  </w:num>
  <w:num w:numId="25">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1F08" w:allStyles="0" w:alternateStyleNames="0" w:clearFormatting="1" w:customStyles="0" w:directFormattingOnNumbering="1" w:directFormattingOnParagraphs="1" w:directFormattingOnRuns="1" w:directFormattingOnTables="1" w:headingStyles="0" w:latentStyles="0" w:numberingStyles="0" w:stylesInUse="1" w:tableStyles="0" w:top3HeadingStyles="0" w:visibleStyles="0"/>
  <w:doNotTrackMoves/>
  <w:defaultTabStop w:val="720"/>
  <w:characterSpacingControl w:val="doNotCompress"/>
  <w:footnotePr>
    <w:footnote w:id="0"/>
    <w:footnote w:id="1"/>
  </w:foot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GB"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416245"/>
    <w:pPr>
      <w:spacing w:before="120" w:after="120" w:line="240" w:lineRule="auto"/>
      <w:jc w:val="both"/>
    </w:pPr>
    <w:rPr>
      <w:rFonts w:ascii="Arial" w:hAnsi="Arial"/>
      <w:sz w:val="22"/>
    </w:rPr>
  </w:style>
  <w:style w:type="paragraph" w:styleId="Heading1">
    <w:name w:val="heading 1"/>
    <w:basedOn w:val="Normal"/>
    <w:next w:val="Normal"/>
    <w:link w:val="Heading1Char"/>
    <w:autoRedefine/>
    <w:uiPriority w:val="9"/>
    <w:qFormat/>
    <w:rsid w:val="00E7490A"/>
    <w:pPr>
      <w:keepNext/>
      <w:keepLines/>
      <w:spacing w:after="0" w:line="360" w:lineRule="auto"/>
      <w:outlineLvl w:val="0"/>
    </w:pPr>
    <w:rPr>
      <w:rFonts w:ascii="Book Antiqua" w:eastAsia="Arial" w:hAnsi="Book Antiqua" w:cstheme="majorBidi"/>
      <w:b/>
      <w:color w:val="000000" w:themeColor="text1"/>
      <w:sz w:val="28"/>
      <w:szCs w:val="40"/>
    </w:rPr>
  </w:style>
  <w:style w:type="paragraph" w:styleId="Heading2">
    <w:name w:val="heading 2"/>
    <w:basedOn w:val="Normal"/>
    <w:next w:val="Normal"/>
    <w:link w:val="Heading2Char"/>
    <w:autoRedefine/>
    <w:uiPriority w:val="9"/>
    <w:unhideWhenUsed/>
    <w:qFormat/>
    <w:rsid w:val="00007109"/>
    <w:pPr>
      <w:keepNext/>
      <w:keepLines/>
      <w:spacing w:after="360"/>
      <w:outlineLvl w:val="1"/>
    </w:pPr>
    <w:rPr>
      <w:rFonts w:eastAsia="Arial" w:cstheme="majorBidi"/>
      <w:b/>
      <w:color w:val="0D0D0D" w:themeColor="text1" w:themeTint="F2"/>
      <w:sz w:val="24"/>
      <w:szCs w:val="32"/>
      <w:u w:val="single"/>
    </w:rPr>
  </w:style>
  <w:style w:type="paragraph" w:styleId="Heading3">
    <w:name w:val="heading 3"/>
    <w:basedOn w:val="Normal"/>
    <w:next w:val="Normal"/>
    <w:link w:val="Heading3Char"/>
    <w:autoRedefine/>
    <w:uiPriority w:val="9"/>
    <w:unhideWhenUsed/>
    <w:qFormat/>
    <w:rsid w:val="008C4DB7"/>
    <w:pPr>
      <w:keepNext/>
      <w:keepLines/>
      <w:spacing w:before="240" w:after="240" w:line="360" w:lineRule="auto"/>
      <w:outlineLvl w:val="2"/>
    </w:pPr>
    <w:rPr>
      <w:rFonts w:eastAsia="Arial" w:cs="Arial"/>
      <w:b/>
      <w:color w:val="0D0D0D" w:themeColor="text1" w:themeTint="F2"/>
      <w:szCs w:val="28"/>
    </w:rPr>
  </w:style>
  <w:style w:type="paragraph" w:styleId="Heading4">
    <w:name w:val="heading 4"/>
    <w:basedOn w:val="Normal"/>
    <w:next w:val="Normal"/>
    <w:link w:val="Heading4Char"/>
    <w:uiPriority w:val="9"/>
    <w:unhideWhenUsed/>
    <w:qFormat/>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unhideWhenUsed/>
    <w:qFormat/>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unhideWhenUsed/>
    <w:qFormat/>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unhideWhenUsed/>
    <w:qFormat/>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unhideWhenUsed/>
    <w:qFormat/>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7490A"/>
    <w:rPr>
      <w:rFonts w:ascii="Book Antiqua" w:eastAsia="Arial" w:hAnsi="Book Antiqua" w:cstheme="majorBidi"/>
      <w:b/>
      <w:color w:val="000000" w:themeColor="text1"/>
      <w:sz w:val="28"/>
      <w:szCs w:val="40"/>
    </w:rPr>
  </w:style>
  <w:style w:type="character" w:customStyle="1" w:styleId="Heading2Char">
    <w:name w:val="Heading 2 Char"/>
    <w:basedOn w:val="DefaultParagraphFont"/>
    <w:link w:val="Heading2"/>
    <w:uiPriority w:val="9"/>
    <w:rsid w:val="00007109"/>
    <w:rPr>
      <w:rFonts w:ascii="Arial" w:eastAsia="Arial" w:hAnsi="Arial" w:cstheme="majorBidi"/>
      <w:b/>
      <w:color w:val="0D0D0D" w:themeColor="text1" w:themeTint="F2"/>
      <w:szCs w:val="32"/>
      <w:u w:val="single"/>
    </w:rPr>
  </w:style>
  <w:style w:type="character" w:customStyle="1" w:styleId="Heading3Char">
    <w:name w:val="Heading 3 Char"/>
    <w:basedOn w:val="DefaultParagraphFont"/>
    <w:link w:val="Heading3"/>
    <w:uiPriority w:val="9"/>
    <w:rsid w:val="008C4DB7"/>
    <w:rPr>
      <w:rFonts w:ascii="Arial" w:eastAsia="Arial" w:hAnsi="Arial" w:cs="Arial"/>
      <w:b/>
      <w:color w:val="0D0D0D" w:themeColor="text1" w:themeTint="F2"/>
      <w:sz w:val="22"/>
      <w:szCs w:val="28"/>
    </w:rPr>
  </w:style>
  <w:style w:type="character" w:customStyle="1" w:styleId="Heading4Char">
    <w:name w:val="Heading 4 Char"/>
    <w:basedOn w:val="DefaultParagraphFont"/>
    <w:link w:val="Heading4"/>
    <w:uiPriority w:val="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Pr>
      <w:rFonts w:eastAsiaTheme="majorEastAsia" w:cstheme="majorBidi"/>
      <w:color w:val="0F4761" w:themeColor="accent1" w:themeShade="BF"/>
    </w:rPr>
  </w:style>
  <w:style w:type="character" w:customStyle="1" w:styleId="Heading6Char">
    <w:name w:val="Heading 6 Char"/>
    <w:basedOn w:val="DefaultParagraphFont"/>
    <w:link w:val="Heading6"/>
    <w:uiPriority w:val="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rPr>
      <w:rFonts w:eastAsiaTheme="majorEastAsia" w:cstheme="majorBidi"/>
      <w:color w:val="595959" w:themeColor="text1" w:themeTint="A6"/>
    </w:rPr>
  </w:style>
  <w:style w:type="character" w:customStyle="1" w:styleId="Heading8Char">
    <w:name w:val="Heading 8 Char"/>
    <w:basedOn w:val="DefaultParagraphFont"/>
    <w:link w:val="Heading8"/>
    <w:uiPriority w:val="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rPr>
      <w:rFonts w:eastAsiaTheme="majorEastAsia" w:cstheme="majorBidi"/>
      <w:color w:val="272727" w:themeColor="text1" w:themeTint="D8"/>
    </w:rPr>
  </w:style>
  <w:style w:type="character" w:customStyle="1" w:styleId="TitleChar">
    <w:name w:val="Title Char"/>
    <w:basedOn w:val="DefaultParagraphFont"/>
    <w:link w:val="Title"/>
    <w:uiPriority w:val="10"/>
    <w:rsid w:val="00A727BE"/>
    <w:rPr>
      <w:rFonts w:ascii="Arial" w:hAnsi="Arial" w:eastAsiaTheme="majorEastAsia" w:cstheme="majorBidi"/>
      <w:b/>
      <w:color w:val="3A3A3A" w:themeColor="background2" w:themeShade="40"/>
      <w:spacing w:val="-10"/>
      <w:kern w:val="28"/>
      <w:sz w:val="36"/>
      <w:szCs w:val="56"/>
    </w:rPr>
  </w:style>
  <w:style w:type="paragraph" w:styleId="Title">
    <w:name w:val="Title"/>
    <w:basedOn w:val="Normal"/>
    <w:next w:val="Normal"/>
    <w:link w:val="TitleChar"/>
    <w:autoRedefine/>
    <w:uiPriority w:val="10"/>
    <w:qFormat/>
    <w:rsid w:val="00A727BE"/>
    <w:pPr>
      <w:spacing w:after="80"/>
      <w:contextualSpacing/>
      <w:jc w:val="center"/>
    </w:pPr>
    <w:rPr>
      <w:rFonts w:eastAsiaTheme="majorEastAsia" w:cstheme="majorBidi"/>
      <w:b/>
      <w:color w:val="3A3A3A" w:themeColor="background2" w:themeShade="40"/>
      <w:spacing w:val="-10"/>
      <w:kern w:val="28"/>
      <w:sz w:val="36"/>
      <w:szCs w:val="56"/>
    </w:rPr>
  </w:style>
  <w:style w:type="character" w:customStyle="1" w:styleId="SubtitleChar">
    <w:name w:val="Subtitle Char"/>
    <w:basedOn w:val="DefaultParagraphFont"/>
    <w:link w:val="Subtitle"/>
    <w:uiPriority w:val="11"/>
    <w:rPr>
      <w:rFonts w:eastAsiaTheme="majorEastAsia" w:cstheme="majorBidi"/>
      <w:color w:val="595959" w:themeColor="text1" w:themeTint="A6"/>
      <w:spacing w:val="15"/>
      <w:sz w:val="28"/>
      <w:szCs w:val="28"/>
    </w:rPr>
  </w:style>
  <w:style w:type="paragraph" w:styleId="Subtitle">
    <w:name w:val="Subtitle"/>
    <w:basedOn w:val="Normal"/>
    <w:next w:val="Normal"/>
    <w:link w:val="SubtitleChar"/>
    <w:uiPriority w:val="11"/>
    <w:qFormat/>
    <w:pPr>
      <w:numPr>
        <w:ilvl w:val="1"/>
      </w:numPr>
    </w:pPr>
    <w:rPr>
      <w:rFonts w:eastAsiaTheme="majorEastAsia" w:cstheme="majorBidi"/>
      <w:color w:val="595959" w:themeColor="text1" w:themeTint="A6"/>
      <w:spacing w:val="15"/>
      <w:sz w:val="28"/>
      <w:szCs w:val="28"/>
    </w:rPr>
  </w:style>
  <w:style w:type="character" w:styleId="IntenseEmphasis">
    <w:name w:val="Intense Emphasis"/>
    <w:basedOn w:val="DefaultParagraphFont"/>
    <w:uiPriority w:val="21"/>
    <w:qFormat/>
    <w:rPr>
      <w:i/>
      <w:iCs/>
      <w:color w:val="0F4761" w:themeColor="accent1" w:themeShade="BF"/>
    </w:rPr>
  </w:style>
  <w:style w:type="character" w:customStyle="1" w:styleId="QuoteChar">
    <w:name w:val="Quote Char"/>
    <w:basedOn w:val="DefaultParagraphFont"/>
    <w:link w:val="Quote"/>
    <w:uiPriority w:val="29"/>
    <w:rPr>
      <w:i/>
      <w:iCs/>
      <w:color w:val="404040" w:themeColor="text1" w:themeTint="BF"/>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customStyle="1" w:styleId="IntenseQuoteChar">
    <w:name w:val="Intense Quote Char"/>
    <w:basedOn w:val="DefaultParagraphFont"/>
    <w:link w:val="IntenseQuote"/>
    <w:uiPriority w:val="30"/>
    <w:rPr>
      <w:i/>
      <w:iCs/>
      <w:color w:val="0F4761" w:themeColor="accent1" w:themeShade="BF"/>
    </w:rPr>
  </w:style>
  <w:style w:type="paragraph" w:styleId="IntenseQuote">
    <w:name w:val="Intense Quote"/>
    <w:basedOn w:val="Normal"/>
    <w:next w:val="Normal"/>
    <w:link w:val="IntenseQuoteChar"/>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styleId="IntenseReference">
    <w:name w:val="Intense Reference"/>
    <w:basedOn w:val="DefaultParagraphFont"/>
    <w:uiPriority w:val="32"/>
    <w:qFormat/>
    <w:rPr>
      <w:b/>
      <w:bCs/>
      <w:smallCaps/>
      <w:color w:val="0F4761" w:themeColor="accent1" w:themeShade="BF"/>
      <w:spacing w:val="5"/>
    </w:rPr>
  </w:style>
  <w:style w:type="paragraph" w:styleId="ListParagraph">
    <w:name w:val="List Paragraph"/>
    <w:basedOn w:val="Normal"/>
    <w:uiPriority w:val="34"/>
    <w:qFormat/>
    <w:rsid w:val="2EEEF361"/>
    <w:pPr>
      <w:ind w:left="720"/>
      <w:contextualSpacing/>
    </w:pPr>
  </w:style>
  <w:style w:type="paragraph" w:styleId="Header">
    <w:name w:val="header"/>
    <w:basedOn w:val="Normal"/>
    <w:uiPriority w:val="99"/>
    <w:unhideWhenUsed/>
    <w:rsid w:val="2EEEF361"/>
    <w:pPr>
      <w:tabs>
        <w:tab w:val="center" w:pos="4680"/>
        <w:tab w:val="right" w:pos="9360"/>
      </w:tabs>
      <w:spacing w:after="0"/>
    </w:pPr>
  </w:style>
  <w:style w:type="paragraph" w:styleId="Footer">
    <w:name w:val="footer"/>
    <w:basedOn w:val="Normal"/>
    <w:uiPriority w:val="99"/>
    <w:unhideWhenUsed/>
    <w:rsid w:val="00521D1F"/>
    <w:pPr>
      <w:tabs>
        <w:tab w:val="center" w:pos="4680"/>
        <w:tab w:val="right" w:pos="9360"/>
      </w:tabs>
      <w:spacing w:after="0"/>
    </w:pPr>
    <w:rPr>
      <w:sz w:val="16"/>
    </w:rPr>
  </w:style>
  <w:style w:type="character" w:styleId="Hyperlink">
    <w:name w:val="Hyperlink"/>
    <w:basedOn w:val="DefaultParagraphFont"/>
    <w:uiPriority w:val="99"/>
    <w:unhideWhenUsed/>
    <w:rsid w:val="2EEEF361"/>
    <w:rPr>
      <w:color w:val="467886"/>
      <w:u w:val="single"/>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Trebuchet MS" w:hAnsi="Trebuchet MS"/>
      <w:sz w:val="20"/>
      <w:szCs w:val="20"/>
    </w:rPr>
  </w:style>
  <w:style w:type="character" w:styleId="CommentReference">
    <w:name w:val="annotation reference"/>
    <w:basedOn w:val="DefaultParagraphFont"/>
    <w:uiPriority w:val="99"/>
    <w:semiHidden/>
    <w:unhideWhenUsed/>
    <w:rPr>
      <w:sz w:val="16"/>
      <w:szCs w:val="16"/>
    </w:rPr>
  </w:style>
  <w:style w:type="paragraph" w:styleId="FootnoteText">
    <w:name w:val="footnote text"/>
    <w:basedOn w:val="Normal"/>
    <w:link w:val="FootnoteTextChar"/>
    <w:autoRedefine/>
    <w:uiPriority w:val="99"/>
    <w:unhideWhenUsed/>
    <w:qFormat/>
    <w:rsid w:val="007015F7"/>
    <w:pPr>
      <w:jc w:val="left"/>
    </w:pPr>
    <w:rPr>
      <w:sz w:val="16"/>
      <w:szCs w:val="20"/>
    </w:rPr>
  </w:style>
  <w:style w:type="character" w:customStyle="1" w:styleId="FootnoteTextChar">
    <w:name w:val="Footnote Text Char"/>
    <w:basedOn w:val="DefaultParagraphFont"/>
    <w:link w:val="FootnoteText"/>
    <w:uiPriority w:val="99"/>
    <w:rsid w:val="007015F7"/>
    <w:rPr>
      <w:rFonts w:ascii="Arial" w:hAnsi="Arial"/>
      <w:sz w:val="16"/>
      <w:szCs w:val="20"/>
    </w:rPr>
  </w:style>
  <w:style w:type="character" w:styleId="FootnoteReference">
    <w:name w:val="footnote reference"/>
    <w:basedOn w:val="DefaultParagraphFont"/>
    <w:uiPriority w:val="99"/>
    <w:semiHidden/>
    <w:unhideWhenUsed/>
    <w:rsid w:val="00E238CD"/>
    <w:rPr>
      <w:vertAlign w:val="superscript"/>
    </w:rPr>
  </w:style>
  <w:style w:type="character" w:customStyle="1" w:styleId="UnresolvedMention1">
    <w:name w:val="Unresolved Mention1"/>
    <w:basedOn w:val="DefaultParagraphFont"/>
    <w:uiPriority w:val="99"/>
    <w:semiHidden/>
    <w:unhideWhenUsed/>
    <w:rsid w:val="00E238CD"/>
    <w:rPr>
      <w:color w:val="605E5C"/>
      <w:shd w:val="clear" w:color="auto" w:fill="E1DFDD"/>
    </w:rPr>
  </w:style>
  <w:style w:type="paragraph" w:styleId="CommentSubject">
    <w:name w:val="annotation subject"/>
    <w:basedOn w:val="CommentText"/>
    <w:next w:val="CommentText"/>
    <w:link w:val="CommentSubjectChar"/>
    <w:uiPriority w:val="99"/>
    <w:semiHidden/>
    <w:unhideWhenUsed/>
    <w:rsid w:val="000A77EB"/>
    <w:rPr>
      <w:b/>
      <w:bCs/>
    </w:rPr>
  </w:style>
  <w:style w:type="character" w:customStyle="1" w:styleId="CommentSubjectChar">
    <w:name w:val="Comment Subject Char"/>
    <w:basedOn w:val="CommentTextChar"/>
    <w:link w:val="CommentSubject"/>
    <w:uiPriority w:val="99"/>
    <w:semiHidden/>
    <w:rsid w:val="000A77EB"/>
    <w:rPr>
      <w:rFonts w:ascii="Trebuchet MS" w:hAnsi="Trebuchet MS"/>
      <w:b/>
      <w:bCs/>
      <w:sz w:val="20"/>
      <w:szCs w:val="20"/>
    </w:rPr>
  </w:style>
  <w:style w:type="paragraph" w:styleId="EndnoteText">
    <w:name w:val="endnote text"/>
    <w:basedOn w:val="Normal"/>
    <w:uiPriority w:val="99"/>
    <w:semiHidden/>
    <w:unhideWhenUsed/>
    <w:rsid w:val="13FA70F9"/>
    <w:pPr>
      <w:spacing w:after="0"/>
    </w:pPr>
    <w:rPr>
      <w:sz w:val="20"/>
      <w:szCs w:val="20"/>
    </w:rPr>
  </w:style>
  <w:style w:type="character" w:styleId="EndnoteReference">
    <w:name w:val="endnote reference"/>
    <w:basedOn w:val="DefaultParagraphFont"/>
    <w:uiPriority w:val="99"/>
    <w:semiHidden/>
    <w:unhideWhenUsed/>
    <w:rPr>
      <w:vertAlign w:val="superscript"/>
    </w:rPr>
  </w:style>
  <w:style w:type="paragraph" w:customStyle="1" w:styleId="p1">
    <w:name w:val="p1"/>
    <w:basedOn w:val="Normal"/>
    <w:rsid w:val="003C77C6"/>
    <w:pPr>
      <w:spacing w:before="0" w:after="0"/>
    </w:pPr>
    <w:rPr>
      <w:rFonts w:ascii="Helvetica" w:eastAsia="Times New Roman" w:hAnsi="Helvetica" w:cs="Times New Roman"/>
      <w:color w:val="000000"/>
      <w:sz w:val="14"/>
      <w:szCs w:val="14"/>
      <w:lang w:eastAsia="en-GB"/>
    </w:rPr>
  </w:style>
  <w:style w:type="paragraph" w:customStyle="1" w:styleId="p2">
    <w:name w:val="p2"/>
    <w:basedOn w:val="Normal"/>
    <w:rsid w:val="003C77C6"/>
    <w:pPr>
      <w:spacing w:before="0" w:after="0"/>
    </w:pPr>
    <w:rPr>
      <w:rFonts w:ascii="Helvetica" w:eastAsia="Times New Roman" w:hAnsi="Helvetica" w:cs="Times New Roman"/>
      <w:color w:val="000000"/>
      <w:sz w:val="13"/>
      <w:szCs w:val="13"/>
      <w:lang w:eastAsia="en-GB"/>
    </w:rPr>
  </w:style>
  <w:style w:type="paragraph" w:customStyle="1" w:styleId="p3">
    <w:name w:val="p3"/>
    <w:basedOn w:val="Normal"/>
    <w:rsid w:val="003C77C6"/>
    <w:pPr>
      <w:spacing w:before="0" w:after="0"/>
    </w:pPr>
    <w:rPr>
      <w:rFonts w:ascii="Helvetica" w:eastAsia="Times New Roman" w:hAnsi="Helvetica" w:cs="Times New Roman"/>
      <w:color w:val="000000"/>
      <w:sz w:val="14"/>
      <w:szCs w:val="14"/>
      <w:lang w:eastAsia="en-GB"/>
    </w:rPr>
  </w:style>
  <w:style w:type="character" w:customStyle="1" w:styleId="apple-converted-space">
    <w:name w:val="apple-converted-space"/>
    <w:basedOn w:val="DefaultParagraphFont"/>
    <w:rsid w:val="003C77C6"/>
  </w:style>
  <w:style w:type="character" w:customStyle="1" w:styleId="s1">
    <w:name w:val="s1"/>
    <w:basedOn w:val="DefaultParagraphFont"/>
    <w:rsid w:val="005F16B1"/>
    <w:rPr>
      <w:rFonts w:ascii="Helvetica" w:hAnsi="Helvetica" w:hint="default"/>
      <w:sz w:val="14"/>
      <w:szCs w:val="14"/>
    </w:rPr>
  </w:style>
  <w:style w:type="character" w:customStyle="1" w:styleId="s2">
    <w:name w:val="s2"/>
    <w:basedOn w:val="DefaultParagraphFont"/>
    <w:rsid w:val="005F16B1"/>
    <w:rPr>
      <w:rFonts w:ascii="Helvetica" w:hAnsi="Helvetica" w:hint="default"/>
      <w:color w:val="551257"/>
      <w:sz w:val="14"/>
      <w:szCs w:val="14"/>
    </w:rPr>
  </w:style>
  <w:style w:type="character" w:styleId="FollowedHyperlink">
    <w:name w:val="FollowedHyperlink"/>
    <w:basedOn w:val="DefaultParagraphFont"/>
    <w:uiPriority w:val="99"/>
    <w:semiHidden/>
    <w:unhideWhenUsed/>
    <w:rsid w:val="00811AD5"/>
    <w:rPr>
      <w:color w:val="96607D" w:themeColor="followedHyperlink"/>
      <w:u w:val="single"/>
    </w:rPr>
  </w:style>
  <w:style w:type="paragraph" w:customStyle="1" w:styleId="whitespace-normal">
    <w:name w:val="whitespace-normal"/>
    <w:basedOn w:val="Normal"/>
    <w:rsid w:val="00220319"/>
    <w:pPr>
      <w:spacing w:before="100" w:beforeAutospacing="1" w:after="100" w:afterAutospacing="1"/>
      <w:jc w:val="left"/>
    </w:pPr>
    <w:rPr>
      <w:rFonts w:ascii="Times New Roman" w:eastAsia="Times New Roman" w:hAnsi="Times New Roman" w:cs="Times New Roman"/>
      <w:sz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eader" Target="header1.xml" /><Relationship Id="rId11" Type="http://schemas.openxmlformats.org/officeDocument/2006/relationships/footer" Target="footer1.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customXml" Target="../customXml/item3.xml" /><Relationship Id="rId8" Type="http://schemas.openxmlformats.org/officeDocument/2006/relationships/customXml" Target="../customXml/item4.xml" /><Relationship Id="rId9" Type="http://schemas.openxmlformats.org/officeDocument/2006/relationships/customXml" Target="../customXml/item5.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mso-contentType ?>
<spe:Receivers xmlns:spe="http://schemas.microsoft.com/sharepoint/event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78ca1497cf6442fb3babdda785c85ae xmlns="a562b9cc-13aa-492e-99b7-4fe388c0613c">
      <Terms xmlns="http://schemas.microsoft.com/office/infopath/2007/PartnerControls"/>
    </n78ca1497cf6442fb3babdda785c85ae>
    <TransfertoArchives xmlns="4600776d-0a3c-44b4-bff2-0ceaafb13046">false</TransfertoArchives>
    <TaxKeywordTaxHTField xmlns="0606af38-29d8-407d-826d-7a0cb9d9f4ed">
      <Terms xmlns="http://schemas.microsoft.com/office/infopath/2007/PartnerControls"/>
    </TaxKeywordTaxHTField>
    <j6c5b17cd04246da82e5604daf08bc68 xmlns="4600776d-0a3c-44b4-bff2-0ceaafb13046">
      <Terms xmlns="http://schemas.microsoft.com/office/infopath/2007/PartnerControls"/>
    </j6c5b17cd04246da82e5604daf08bc68>
    <k5b153ee974a4a57a7568e533217f2cb xmlns="4600776d-0a3c-44b4-bff2-0ceaafb13046">
      <Terms xmlns="http://schemas.microsoft.com/office/infopath/2007/PartnerControls"/>
    </k5b153ee974a4a57a7568e533217f2cb>
    <e6f926d7f5b14a74bee86c3452d91372 xmlns="4600776d-0a3c-44b4-bff2-0ceaafb13046">
      <Terms xmlns="http://schemas.microsoft.com/office/infopath/2007/PartnerControls">
        <TermInfo xmlns="http://schemas.microsoft.com/office/infopath/2007/PartnerControls">
          <TermName xmlns="http://schemas.microsoft.com/office/infopath/2007/PartnerControls">2024-25</TermName>
          <TermId xmlns="http://schemas.microsoft.com/office/infopath/2007/PartnerControls">173c2407-8e96-435d-bd52-860179bbc150</TermId>
        </TermInfo>
      </Terms>
    </e6f926d7f5b14a74bee86c3452d91372>
    <c4838c65c76546ae93d5703426802f7f xmlns="4600776d-0a3c-44b4-bff2-0ceaafb13046">
      <Terms xmlns="http://schemas.microsoft.com/office/infopath/2007/PartnerControls">
        <TermInfo xmlns="http://schemas.microsoft.com/office/infopath/2007/PartnerControls">
          <TermName xmlns="http://schemas.microsoft.com/office/infopath/2007/PartnerControls">Scrutiny</TermName>
          <TermId xmlns="http://schemas.microsoft.com/office/infopath/2007/PartnerControls">c40e1206-65f3-4fdf-a232-d54039a38d0a</TermId>
        </TermInfo>
      </Terms>
    </c4838c65c76546ae93d5703426802f7f>
    <ja5e4d000da44b5490ce6b4249309924 xmlns="c86d72e2-090a-4e7d-987e-218d8a0db591">
      <Terms xmlns="http://schemas.microsoft.com/office/infopath/2007/PartnerControls"/>
    </ja5e4d000da44b5490ce6b4249309924>
    <g3ef09377e3444258679b6035a1ff93a xmlns="4600776d-0a3c-44b4-bff2-0ceaafb13046">
      <Terms xmlns="http://schemas.microsoft.com/office/infopath/2007/PartnerControls"/>
    </g3ef09377e3444258679b6035a1ff93a>
    <j3dc9349b3384741bd6025ba1321f3a9 xmlns="a562b9cc-13aa-492e-99b7-4fe388c0613c">
      <Terms xmlns="http://schemas.microsoft.com/office/infopath/2007/PartnerControls"/>
    </j3dc9349b3384741bd6025ba1321f3a9>
    <lcf76f155ced4ddcb4097134ff3c332f xmlns="a562b9cc-13aa-492e-99b7-4fe388c0613c">
      <Terms xmlns="http://schemas.microsoft.com/office/infopath/2007/PartnerControls"/>
    </lcf76f155ced4ddcb4097134ff3c332f>
    <TaxCatchAll xmlns="4600776d-0a3c-44b4-bff2-0ceaafb13046">
      <Value>164</Value>
      <Value>1</Value>
    </TaxCatchAll>
    <DateSent xmlns="4600776d-0a3c-44b4-bff2-0ceaafb13046" xsi:nil="true"/>
    <RecordNumber xmlns="4600776d-0a3c-44b4-bff2-0ceaafb13046" xsi:nil="true"/>
    <Notes0 xmlns="a562b9cc-13aa-492e-99b7-4fe388c0613c" xsi:nil="true"/>
    <Additional_x0020_category xmlns="a562b9cc-13aa-492e-99b7-4fe388c0613c" xsi:nil="true"/>
    <Deadline xmlns="a562b9cc-13aa-492e-99b7-4fe388c0613c" xsi:nil="true"/>
    <Circulation_x0020_Date xmlns="a562b9cc-13aa-492e-99b7-4fe388c0613c" xsi:nil="true"/>
    <Brief_x0020_status xmlns="a562b9cc-13aa-492e-99b7-4fe388c0613c" xsi:nil="true"/>
    <Document_x0020_Status xmlns="a562b9cc-13aa-492e-99b7-4fe388c0613c" xsi:nil="true"/>
    <Date xmlns="a562b9cc-13aa-492e-99b7-4fe388c0613c" xsi:nil="true"/>
    <Useful_x0020_Docs xmlns="a562b9cc-13aa-492e-99b7-4fe388c0613c" xsi:nil="true"/>
    <Meeting_x0020_Date xmlns="a562b9cc-13aa-492e-99b7-4fe388c0613c" xsi:nil="true"/>
    <EndofSessionDate xmlns="4600776d-0a3c-44b4-bff2-0ceaafb13046" xsi:nil="true"/>
    <DateReceived xmlns="4600776d-0a3c-44b4-bff2-0ceaafb13046" xsi:nil="true"/>
    <Department xmlns="a562b9cc-13aa-492e-99b7-4fe388c0613c" xsi:nil="true"/>
    <Visit xmlns="0606af38-29d8-407d-826d-7a0cb9d9f4ed" xsi:nil="true"/>
    <Status_x0020_of_x0020_correspondence xmlns="a562b9cc-13aa-492e-99b7-4fe388c0613c" xsi:nil="true"/>
    <Allocated_x0020_to xmlns="a562b9cc-13aa-492e-99b7-4fe388c0613c">
      <UserInfo>
        <DisplayName/>
        <AccountId xsi:nil="true"/>
        <AccountType/>
      </UserInfo>
    </Allocated_x0020_to>
    <Related_x0020_Document xmlns="a562b9cc-13aa-492e-99b7-4fe388c0613c">
      <Url xsi:nil="true"/>
      <Description xsi:nil="true"/>
    </Related_x0020_Document>
    <Publication_x0020_Date xmlns="a562b9cc-13aa-492e-99b7-4fe388c0613c" xsi:nil="true"/>
    <Witness xmlns="0606af38-29d8-407d-826d-7a0cb9d9f4ed" xsi:nil="true"/>
    <Bill_x0020_Title xmlns="0606af38-29d8-407d-826d-7a0cb9d9f4ed" xsi:nil="true"/>
    <Specialist_x0020_Adviser xmlns="0606af38-29d8-407d-826d-7a0cb9d9f4ed"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ct:contentTypeSchema xmlns:ct="http://schemas.microsoft.com/office/2006/metadata/contentType" xmlns:ma="http://schemas.microsoft.com/office/2006/metadata/properties/metaAttributes" ct:_="" ma:_="" ma:contentTypeName="Document" ma:contentTypeID="0x01010057563D169A3E4B4BAE3D3C48EA66D3A3" ma:contentTypeVersion="55" ma:contentTypeDescription="Create a new document." ma:contentTypeScope="" ma:versionID="1471e353f1edc6ebe23ae80e76fe9303">
  <xsd:schema xmlns:xsd="http://www.w3.org/2001/XMLSchema" xmlns:xs="http://www.w3.org/2001/XMLSchema" xmlns:p="http://schemas.microsoft.com/office/2006/metadata/properties" xmlns:ns2="a562b9cc-13aa-492e-99b7-4fe388c0613c" xmlns:ns3="0606af38-29d8-407d-826d-7a0cb9d9f4ed" xmlns:ns4="4600776d-0a3c-44b4-bff2-0ceaafb13046" xmlns:ns5="c86d72e2-090a-4e7d-987e-218d8a0db591" xmlns:ns6="6ab18433-7710-49bd-9bb4-0bb85747556a" targetNamespace="http://schemas.microsoft.com/office/2006/metadata/properties" ma:root="true" ma:fieldsID="5ae1d80d62d7db4c9892b1ef5d2e2cd7" ns2:_="" ns3:_="" ns4:_="" ns5:_="" ns6:_="">
    <xsd:import namespace="a562b9cc-13aa-492e-99b7-4fe388c0613c"/>
    <xsd:import namespace="0606af38-29d8-407d-826d-7a0cb9d9f4ed"/>
    <xsd:import namespace="4600776d-0a3c-44b4-bff2-0ceaafb13046"/>
    <xsd:import namespace="c86d72e2-090a-4e7d-987e-218d8a0db591"/>
    <xsd:import namespace="6ab18433-7710-49bd-9bb4-0bb85747556a"/>
    <xsd:element name="properties">
      <xsd:complexType>
        <xsd:sequence>
          <xsd:element name="documentManagement">
            <xsd:complexType>
              <xsd:all>
                <xsd:element ref="ns2:Additional_x0020_category" minOccurs="0"/>
                <xsd:element ref="ns2:Circulation_x0020_Date" minOccurs="0"/>
                <xsd:element ref="ns2:Meeting_x0020_Date" minOccurs="0"/>
                <xsd:element ref="ns2:Status_x0020_of_x0020_correspondence" minOccurs="0"/>
                <xsd:element ref="ns4:DateReceived" minOccurs="0"/>
                <xsd:element ref="ns4:DateSent" minOccurs="0"/>
                <xsd:element ref="ns3:Visit" minOccurs="0"/>
                <xsd:element ref="ns2:Document_x0020_Status" minOccurs="0"/>
                <xsd:element ref="ns2:Brief_x0020_status" minOccurs="0"/>
                <xsd:element ref="ns2:Publication_x0020_Date" minOccurs="0"/>
                <xsd:element ref="ns2:Allocated_x0020_to" minOccurs="0"/>
                <xsd:element ref="ns3:Specialist_x0020_Adviser" minOccurs="0"/>
                <xsd:element ref="ns3:Witness" minOccurs="0"/>
                <xsd:element ref="ns2:Notes0" minOccurs="0"/>
                <xsd:element ref="ns2:Useful_x0020_Docs" minOccurs="0"/>
                <xsd:element ref="ns2:Deadline" minOccurs="0"/>
                <xsd:element ref="ns2:Date" minOccurs="0"/>
                <xsd:element ref="ns2:Related_x0020_Document" minOccurs="0"/>
                <xsd:element ref="ns2:Department" minOccurs="0"/>
                <xsd:element ref="ns4:EndofSessionDate" minOccurs="0"/>
                <xsd:element ref="ns4:TransfertoArchives" minOccurs="0"/>
                <xsd:element ref="ns4:RecordNumber" minOccurs="0"/>
                <xsd:element ref="ns2:j3dc9349b3384741bd6025ba1321f3a9" minOccurs="0"/>
                <xsd:element ref="ns5:ja5e4d000da44b5490ce6b4249309924" minOccurs="0"/>
                <xsd:element ref="ns3:Visit_x003a_Start_x0020_Time" minOccurs="0"/>
                <xsd:element ref="ns3:Visit_x003a_End_x0020_Time" minOccurs="0"/>
                <xsd:element ref="ns3:Witness_x003a_First_x0020_Name" minOccurs="0"/>
                <xsd:element ref="ns3:Witness_x003a_Full_x0020_Name" minOccurs="0"/>
                <xsd:element ref="ns3:Witness_x003a_Job_x0020_Title" minOccurs="0"/>
                <xsd:element ref="ns6:_dlc_DocIdUrl" minOccurs="0"/>
                <xsd:element ref="ns6:_dlc_DocIdPersistId" minOccurs="0"/>
                <xsd:element ref="ns4:c4838c65c76546ae93d5703426802f7f" minOccurs="0"/>
                <xsd:element ref="ns4:TaxCatchAll" minOccurs="0"/>
                <xsd:element ref="ns4:TaxCatchAllLabel" minOccurs="0"/>
                <xsd:element ref="ns3:Specialist_x0020_Adviser_x003a_Full_x0020_Name" minOccurs="0"/>
                <xsd:element ref="ns4:j6c5b17cd04246da82e5604daf08bc68" minOccurs="0"/>
                <xsd:element ref="ns4:g3ef09377e3444258679b6035a1ff93a" minOccurs="0"/>
                <xsd:element ref="ns6:_dlc_DocId" minOccurs="0"/>
                <xsd:element ref="ns4:e6f926d7f5b14a74bee86c3452d91372" minOccurs="0"/>
                <xsd:element ref="ns4:k5b153ee974a4a57a7568e533217f2cb" minOccurs="0"/>
                <xsd:element ref="ns2:n78ca1497cf6442fb3babdda785c85ae" minOccurs="0"/>
                <xsd:element ref="ns3:Specialist_x0020_Adviser_x003a_First_x0020_Name" minOccurs="0"/>
                <xsd:element ref="ns3:Bill_x0020_Title" minOccurs="0"/>
                <xsd:element ref="ns2:MediaServiceMetadata" minOccurs="0"/>
                <xsd:element ref="ns2:MediaServiceFastMetadata" minOccurs="0"/>
                <xsd:element ref="ns6:SharedWithUsers" minOccurs="0"/>
                <xsd:element ref="ns6:SharedWithDetails" minOccurs="0"/>
                <xsd:element ref="ns2:MediaServiceEventHashCode" minOccurs="0"/>
                <xsd:element ref="ns2:MediaServiceGenerationTime" minOccurs="0"/>
                <xsd:element ref="ns3:TaxKeywordTaxHTField" minOccurs="0"/>
                <xsd:element ref="ns2:MediaServiceDateTaken" minOccurs="0"/>
                <xsd:element ref="ns2:MediaServiceAutoTags" minOccurs="0"/>
                <xsd:element ref="ns2:MediaServiceOCR" minOccurs="0"/>
                <xsd:element ref="ns2:MediaServiceAutoKeyPoints" minOccurs="0"/>
                <xsd:element ref="ns2:MediaServiceKeyPoints" minOccurs="0"/>
                <xsd:element ref="ns2:MediaServiceObjectDetectorVersions" minOccurs="0"/>
                <xsd:element ref="ns2:MediaServiceSearchProperties" minOccurs="0"/>
                <xsd:element ref="ns2:lcf76f155ced4ddcb4097134ff3c332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562b9cc-13aa-492e-99b7-4fe388c0613c" elementFormDefault="qualified">
    <xsd:import namespace="http://schemas.microsoft.com/office/2006/documentManagement/types"/>
    <xsd:import namespace="http://schemas.microsoft.com/office/infopath/2007/PartnerControls"/>
    <xsd:element name="Additional_x0020_category" ma:index="3" nillable="true" ma:displayName="Additional category" ma:indexed="true" ma:internalName="Additional_x0020_category">
      <xsd:simpleType>
        <xsd:restriction base="dms:Text">
          <xsd:maxLength value="255"/>
        </xsd:restriction>
      </xsd:simpleType>
    </xsd:element>
    <xsd:element name="Circulation_x0020_Date" ma:index="6" nillable="true" ma:displayName="Circulation Date" ma:format="DateOnly" ma:internalName="Circulation_x0020_Date">
      <xsd:simpleType>
        <xsd:restriction base="dms:DateTime"/>
      </xsd:simpleType>
    </xsd:element>
    <xsd:element name="Meeting_x0020_Date" ma:index="7" nillable="true" ma:displayName="Meeting Date" ma:format="DateOnly" ma:indexed="true" ma:internalName="Meeting_x0020_Date">
      <xsd:simpleType>
        <xsd:restriction base="dms:DateTime"/>
      </xsd:simpleType>
    </xsd:element>
    <xsd:element name="Status_x0020_of_x0020_correspondence" ma:index="8" nillable="true" ma:displayName="Correspondence Status" ma:format="Dropdown" ma:internalName="Status_x0020_of_x0020_correspondence">
      <xsd:simpleType>
        <xsd:union memberTypes="dms:Text">
          <xsd:simpleType>
            <xsd:restriction base="dms:Choice">
              <xsd:enumeration value="Received - no action needed"/>
              <xsd:enumeration value="Received - allocated for action"/>
              <xsd:enumeration value="Drafting response"/>
              <xsd:enumeration value="Draft response with Chair"/>
              <xsd:enumeration value="NAO drafting response"/>
              <xsd:enumeration value="NAO draft response with Chair"/>
              <xsd:enumeration value="Holding response sent"/>
              <xsd:enumeration value="Answered by Committee Staff"/>
              <xsd:enumeration value="Chair's response sent"/>
            </xsd:restriction>
          </xsd:simpleType>
        </xsd:union>
      </xsd:simpleType>
    </xsd:element>
    <xsd:element name="Document_x0020_Status" ma:index="12" nillable="true" ma:displayName="Document Status" ma:format="Dropdown" ma:internalName="Document_x0020_Status">
      <xsd:simpleType>
        <xsd:restriction base="dms:Choice">
          <xsd:enumeration value="In Draft"/>
          <xsd:enumeration value="With Principal Clerk"/>
          <xsd:enumeration value="With Chair"/>
          <xsd:enumeration value="With Committee"/>
          <xsd:enumeration value="Agreed and to be Published"/>
          <xsd:enumeration value="Published"/>
        </xsd:restriction>
      </xsd:simpleType>
    </xsd:element>
    <xsd:element name="Brief_x0020_status" ma:index="13" nillable="true" ma:displayName="Brief status" ma:format="Dropdown" ma:internalName="Brief_x0020_status">
      <xsd:simpleType>
        <xsd:restriction base="dms:Choice">
          <xsd:enumeration value="in draft"/>
          <xsd:enumeration value="with Committee Clerk"/>
          <xsd:enumeration value="ready to be circulated"/>
          <xsd:enumeration value="circulated"/>
        </xsd:restriction>
      </xsd:simpleType>
    </xsd:element>
    <xsd:element name="Publication_x0020_Date" ma:index="14" nillable="true" ma:displayName="Publication Date" ma:format="DateOnly" ma:internalName="Publication_x0020_Date">
      <xsd:simpleType>
        <xsd:restriction base="dms:DateTime"/>
      </xsd:simpleType>
    </xsd:element>
    <xsd:element name="Allocated_x0020_to" ma:index="15" nillable="true" ma:displayName="Allocated to" ma:indexed="true" ma:SharePointGroup="0" ma:internalName="Allocated_x0020_to"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Notes0" ma:index="19" nillable="true" ma:displayName="Notes" ma:internalName="Notes0">
      <xsd:simpleType>
        <xsd:restriction base="dms:Note">
          <xsd:maxLength value="255"/>
        </xsd:restriction>
      </xsd:simpleType>
    </xsd:element>
    <xsd:element name="Useful_x0020_Docs" ma:index="20" nillable="true" ma:displayName="Useful Docs" ma:internalName="Useful_x0020_Docs">
      <xsd:complexType>
        <xsd:complexContent>
          <xsd:extension base="dms:MultiChoice">
            <xsd:sequence>
              <xsd:element name="Value" maxOccurs="unbounded" minOccurs="0" nillable="true">
                <xsd:simpleType>
                  <xsd:restriction base="dms:Choice">
                    <xsd:enumeration value="Circulation page"/>
                  </xsd:restriction>
                </xsd:simpleType>
              </xsd:element>
            </xsd:sequence>
          </xsd:extension>
        </xsd:complexContent>
      </xsd:complexType>
    </xsd:element>
    <xsd:element name="Deadline" ma:index="21" nillable="true" ma:displayName="Deadline" ma:format="DateOnly" ma:internalName="Deadline">
      <xsd:simpleType>
        <xsd:restriction base="dms:DateTime"/>
      </xsd:simpleType>
    </xsd:element>
    <xsd:element name="Date" ma:index="22" nillable="true" ma:displayName="Date" ma:format="DateOnly" ma:internalName="Date">
      <xsd:simpleType>
        <xsd:restriction base="dms:DateTime"/>
      </xsd:simpleType>
    </xsd:element>
    <xsd:element name="Related_x0020_Document" ma:index="23" nillable="true" ma:displayName="Related Document" ma:format="Hyperlink" ma:internalName="Related_x0020_Document">
      <xsd:complexType>
        <xsd:complexContent>
          <xsd:extension base="dms:URL">
            <xsd:sequence>
              <xsd:element name="Url" type="dms:ValidUrl" minOccurs="0" nillable="true"/>
              <xsd:element name="Description" type="xsd:string" nillable="true"/>
            </xsd:sequence>
          </xsd:extension>
        </xsd:complexContent>
      </xsd:complexType>
    </xsd:element>
    <xsd:element name="Department" ma:index="24" nillable="true" ma:displayName="Department" ma:format="Dropdown" ma:internalName="Department">
      <xsd:simpleType>
        <xsd:restriction base="dms:Choice">
          <xsd:enumeration value="Business, Energy and Industrial Strategy"/>
          <xsd:enumeration value="Cabinet Office"/>
          <xsd:enumeration value="Communities and Local Government"/>
          <xsd:enumeration value="Culture, Media and Sport"/>
          <xsd:enumeration value="Defence"/>
          <xsd:enumeration value="Education"/>
          <xsd:enumeration value="Environment, Food and Rural Affairs"/>
          <xsd:enumeration value="Exiting the European Union"/>
          <xsd:enumeration value="Foreign and Commonwealth Office"/>
          <xsd:enumeration value="HM Treasury"/>
          <xsd:enumeration value="International Development"/>
          <xsd:enumeration value="International Trade"/>
          <xsd:enumeration value="Health"/>
          <xsd:enumeration value="HMRC"/>
          <xsd:enumeration value="Home Office"/>
          <xsd:enumeration value="Justice"/>
          <xsd:enumeration value="NHS England"/>
          <xsd:enumeration value="Transport"/>
          <xsd:enumeration value="Work and Pensions"/>
        </xsd:restriction>
      </xsd:simpleType>
    </xsd:element>
    <xsd:element name="j3dc9349b3384741bd6025ba1321f3a9" ma:index="34" nillable="true" ma:taxonomy="true" ma:internalName="j3dc9349b3384741bd6025ba1321f3a9" ma:taxonomyFieldName="Circulation" ma:displayName="Circulation" ma:indexed="true" ma:default="" ma:fieldId="{33dc9349-b338-4741-bd60-25ba1321f3a9}" ma:sspId="eb37f91c-4bb8-4ab3-bc5a-cd8753815459" ma:termSetId="f0f3d9b7-bf02-42f5-b887-16455fa55310" ma:anchorId="6075679c-1e86-4f5c-8343-cf1f0bb0c4a9" ma:open="false" ma:isKeyword="false">
      <xsd:complexType>
        <xsd:sequence>
          <xsd:element ref="pc:Terms" minOccurs="0" maxOccurs="1"/>
        </xsd:sequence>
      </xsd:complexType>
    </xsd:element>
    <xsd:element name="n78ca1497cf6442fb3babdda785c85ae" ma:index="56" nillable="true" ma:taxonomy="true" ma:internalName="n78ca1497cf6442fb3babdda785c85ae" ma:taxonomyFieldName="Category" ma:displayName="Category" ma:indexed="true" ma:default="" ma:fieldId="{778ca149-7cf6-442f-b3ba-bdda785c85ae}" ma:sspId="eb37f91c-4bb8-4ab3-bc5a-cd8753815459" ma:termSetId="fdda81a6-47fd-48fa-9a20-6ed040d3b7b9" ma:anchorId="00000000-0000-0000-0000-000000000000" ma:open="false" ma:isKeyword="false">
      <xsd:complexType>
        <xsd:sequence>
          <xsd:element ref="pc:Terms" minOccurs="0" maxOccurs="1"/>
        </xsd:sequence>
      </xsd:complexType>
    </xsd:element>
    <xsd:element name="MediaServiceMetadata" ma:index="59" nillable="true" ma:displayName="MediaServiceMetadata" ma:hidden="true" ma:internalName="MediaServiceMetadata" ma:readOnly="true">
      <xsd:simpleType>
        <xsd:restriction base="dms:Note"/>
      </xsd:simpleType>
    </xsd:element>
    <xsd:element name="MediaServiceFastMetadata" ma:index="60" nillable="true" ma:displayName="MediaServiceFastMetadata" ma:hidden="true" ma:internalName="MediaServiceFastMetadata" ma:readOnly="true">
      <xsd:simpleType>
        <xsd:restriction base="dms:Note"/>
      </xsd:simpleType>
    </xsd:element>
    <xsd:element name="MediaServiceEventHashCode" ma:index="63" nillable="true" ma:displayName="MediaServiceEventHashCode" ma:hidden="true" ma:internalName="MediaServiceEventHashCode" ma:readOnly="true">
      <xsd:simpleType>
        <xsd:restriction base="dms:Text"/>
      </xsd:simpleType>
    </xsd:element>
    <xsd:element name="MediaServiceGenerationTime" ma:index="64" nillable="true" ma:displayName="MediaServiceGenerationTime" ma:hidden="true" ma:internalName="MediaServiceGenerationTime" ma:readOnly="true">
      <xsd:simpleType>
        <xsd:restriction base="dms:Text"/>
      </xsd:simpleType>
    </xsd:element>
    <xsd:element name="MediaServiceDateTaken" ma:index="67" nillable="true" ma:displayName="MediaServiceDateTaken" ma:hidden="true" ma:internalName="MediaServiceDateTaken" ma:readOnly="true">
      <xsd:simpleType>
        <xsd:restriction base="dms:Text"/>
      </xsd:simpleType>
    </xsd:element>
    <xsd:element name="MediaServiceAutoTags" ma:index="68" nillable="true" ma:displayName="Tags" ma:internalName="MediaServiceAutoTags" ma:readOnly="true">
      <xsd:simpleType>
        <xsd:restriction base="dms:Text"/>
      </xsd:simpleType>
    </xsd:element>
    <xsd:element name="MediaServiceOCR" ma:index="69" nillable="true" ma:displayName="Extracted Text" ma:internalName="MediaServiceOCR" ma:readOnly="true">
      <xsd:simpleType>
        <xsd:restriction base="dms:Note">
          <xsd:maxLength value="255"/>
        </xsd:restriction>
      </xsd:simpleType>
    </xsd:element>
    <xsd:element name="MediaServiceAutoKeyPoints" ma:index="70" nillable="true" ma:displayName="MediaServiceAutoKeyPoints" ma:hidden="true" ma:internalName="MediaServiceAutoKeyPoints" ma:readOnly="true">
      <xsd:simpleType>
        <xsd:restriction base="dms:Note"/>
      </xsd:simpleType>
    </xsd:element>
    <xsd:element name="MediaServiceKeyPoints" ma:index="71" nillable="true" ma:displayName="KeyPoints" ma:internalName="MediaServiceKeyPoints" ma:readOnly="true">
      <xsd:simpleType>
        <xsd:restriction base="dms:Note">
          <xsd:maxLength value="255"/>
        </xsd:restriction>
      </xsd:simpleType>
    </xsd:element>
    <xsd:element name="MediaServiceObjectDetectorVersions" ma:index="72" nillable="true" ma:displayName="MediaServiceObjectDetectorVersions" ma:hidden="true" ma:indexed="true" ma:internalName="MediaServiceObjectDetectorVersions" ma:readOnly="true">
      <xsd:simpleType>
        <xsd:restriction base="dms:Text"/>
      </xsd:simpleType>
    </xsd:element>
    <xsd:element name="MediaServiceSearchProperties" ma:index="73" nillable="true" ma:displayName="MediaServiceSearchProperties" ma:hidden="true" ma:internalName="MediaServiceSearchProperties" ma:readOnly="true">
      <xsd:simpleType>
        <xsd:restriction base="dms:Note"/>
      </xsd:simpleType>
    </xsd:element>
    <xsd:element name="lcf76f155ced4ddcb4097134ff3c332f" ma:index="75" nillable="true" ma:taxonomy="true" ma:internalName="lcf76f155ced4ddcb4097134ff3c332f" ma:taxonomyFieldName="MediaServiceImageTags" ma:displayName="Image Tags" ma:readOnly="false" ma:fieldId="{5cf76f15-5ced-4ddc-b409-7134ff3c332f}" ma:taxonomyMulti="true" ma:sspId="eb37f91c-4bb8-4ab3-bc5a-cd8753815459"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0606af38-29d8-407d-826d-7a0cb9d9f4ed" elementFormDefault="qualified">
    <xsd:import namespace="http://schemas.microsoft.com/office/2006/documentManagement/types"/>
    <xsd:import namespace="http://schemas.microsoft.com/office/infopath/2007/PartnerControls"/>
    <xsd:element name="Visit" ma:index="11" nillable="true" ma:displayName="Visit" ma:list="{28dfc76f-2656-4557-802a-dafa561eafe3}" ma:internalName="Visit" ma:showField="Title" ma:web="0606af38-29d8-407d-826d-7a0cb9d9f4ed">
      <xsd:simpleType>
        <xsd:restriction base="dms:Lookup"/>
      </xsd:simpleType>
    </xsd:element>
    <xsd:element name="Specialist_x0020_Adviser" ma:index="17" nillable="true" ma:displayName="Specialist Adviser" ma:list="{bc8ded53-17d9-4654-bb70-614bd9df53d4}" ma:internalName="Specialist_x0020_Adviser" ma:showField="Title" ma:web="0606af38-29d8-407d-826d-7a0cb9d9f4ed">
      <xsd:simpleType>
        <xsd:restriction base="dms:Lookup"/>
      </xsd:simpleType>
    </xsd:element>
    <xsd:element name="Witness" ma:index="18" nillable="true" ma:displayName="Witness" ma:list="{2807a49d-ef3f-4113-a058-1b5db391231b}" ma:internalName="Witness" ma:showField="Title" ma:web="0606af38-29d8-407d-826d-7a0cb9d9f4ed">
      <xsd:simpleType>
        <xsd:restriction base="dms:Lookup"/>
      </xsd:simpleType>
    </xsd:element>
    <xsd:element name="Visit_x003a_Start_x0020_Time" ma:index="37" nillable="true" ma:displayName="Visit:Start Time" ma:list="{28dfc76f-2656-4557-802a-dafa561eafe3}" ma:internalName="Visit_x003a_Start_x0020_Time" ma:readOnly="true" ma:showField="EventDate" ma:web="0606af38-29d8-407d-826d-7a0cb9d9f4ed">
      <xsd:simpleType>
        <xsd:restriction base="dms:Lookup"/>
      </xsd:simpleType>
    </xsd:element>
    <xsd:element name="Visit_x003a_End_x0020_Time" ma:index="38" nillable="true" ma:displayName="Visit:End Time" ma:list="{28dfc76f-2656-4557-802a-dafa561eafe3}" ma:internalName="Visit_x003a_End_x0020_Time" ma:readOnly="true" ma:showField="EndDate" ma:web="0606af38-29d8-407d-826d-7a0cb9d9f4ed">
      <xsd:simpleType>
        <xsd:restriction base="dms:Lookup"/>
      </xsd:simpleType>
    </xsd:element>
    <xsd:element name="Witness_x003a_First_x0020_Name" ma:index="40" nillable="true" ma:displayName="Witness:First Name" ma:list="{2807a49d-ef3f-4113-a058-1b5db391231b}" ma:internalName="Witness_x003a_First_x0020_Name" ma:readOnly="true" ma:showField="First_x0020_Name" ma:web="0606af38-29d8-407d-826d-7a0cb9d9f4ed">
      <xsd:simpleType>
        <xsd:restriction base="dms:Lookup"/>
      </xsd:simpleType>
    </xsd:element>
    <xsd:element name="Witness_x003a_Full_x0020_Name" ma:index="41" nillable="true" ma:displayName="Witness:Full Name" ma:list="{2807a49d-ef3f-4113-a058-1b5db391231b}" ma:internalName="Witness_x003a_Full_x0020_Name" ma:readOnly="true" ma:showField="Full_x0020_Name" ma:web="0606af38-29d8-407d-826d-7a0cb9d9f4ed">
      <xsd:simpleType>
        <xsd:restriction base="dms:Lookup"/>
      </xsd:simpleType>
    </xsd:element>
    <xsd:element name="Witness_x003a_Job_x0020_Title" ma:index="42" nillable="true" ma:displayName="Witness:Job Title" ma:list="{2807a49d-ef3f-4113-a058-1b5db391231b}" ma:internalName="Witness_x003a_Job_x0020_Title" ma:readOnly="true" ma:showField="Job_x0020_Title" ma:web="0606af38-29d8-407d-826d-7a0cb9d9f4ed">
      <xsd:simpleType>
        <xsd:restriction base="dms:Lookup"/>
      </xsd:simpleType>
    </xsd:element>
    <xsd:element name="Specialist_x0020_Adviser_x003a_Full_x0020_Name" ma:index="48" nillable="true" ma:displayName="Specialist Adviser:Full Name" ma:list="{bc8ded53-17d9-4654-bb70-614bd9df53d4}" ma:internalName="Specialist_x0020_Adviser_x003a_Full_x0020_Name" ma:readOnly="true" ma:showField="FullName" ma:web="0606af38-29d8-407d-826d-7a0cb9d9f4ed">
      <xsd:simpleType>
        <xsd:restriction base="dms:Lookup"/>
      </xsd:simpleType>
    </xsd:element>
    <xsd:element name="Specialist_x0020_Adviser_x003a_First_x0020_Name" ma:index="57" nillable="true" ma:displayName="Specialist Adviser:First Name" ma:list="{bc8ded53-17d9-4654-bb70-614bd9df53d4}" ma:internalName="Specialist_x0020_Adviser_x003a_First_x0020_Name" ma:readOnly="true" ma:showField="FirstName" ma:web="0606af38-29d8-407d-826d-7a0cb9d9f4ed">
      <xsd:simpleType>
        <xsd:restriction base="dms:Lookup"/>
      </xsd:simpleType>
    </xsd:element>
    <xsd:element name="Bill_x0020_Title" ma:index="58" nillable="true" ma:displayName="Bill Title" ma:format="Dropdown" ma:internalName="Bill_x0020_Title">
      <xsd:simpleType>
        <xsd:restriction base="dms:Choice">
          <xsd:enumeration value="Cultural Property (Armed Conflicts) Bill"/>
          <xsd:enumeration value="Data Protection Bill"/>
          <xsd:enumeration value="Draft Investigatory Powers Bill"/>
          <xsd:enumeration value="Energy Bill"/>
          <xsd:enumeration value="Enterprise Bill"/>
          <xsd:enumeration value="EU (Withdrawal) Bill"/>
          <xsd:enumeration value="Housing and Planning Bill"/>
          <xsd:enumeration value="Immigration Bill"/>
          <xsd:enumeration value="Intellectual Property (Unjustified Threats) Bill"/>
          <xsd:enumeration value="Investigatory Powers Bill"/>
          <xsd:enumeration value="Ministerial Code"/>
          <xsd:enumeration value="Northern Ireland Bill"/>
          <xsd:enumeration value="Policing and Crime Bill"/>
          <xsd:enumeration value="Prison and Courts Bill"/>
          <xsd:enumeration value="Trade Union Bill"/>
          <xsd:enumeration value="Welfare Reform and Work Bill"/>
        </xsd:restriction>
      </xsd:simpleType>
    </xsd:element>
    <xsd:element name="TaxKeywordTaxHTField" ma:index="66" nillable="true" ma:taxonomy="true" ma:internalName="TaxKeywordTaxHTField" ma:taxonomyFieldName="TaxKeyword" ma:displayName="Enterprise Keywords" ma:fieldId="{23f27201-bee3-471e-b2e7-b64fd8b7ca38}" ma:taxonomyMulti="true" ma:sspId="eb37f91c-4bb8-4ab3-bc5a-cd8753815459" ma:termSetId="00000000-0000-0000-0000-000000000000" ma:anchorId="00000000-0000-0000-0000-000000000000" ma:open="true" ma:isKeyword="tru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DateReceived" ma:index="9" nillable="true" ma:displayName="Date Received" ma:format="DateTime" ma:internalName="DateReceived">
      <xsd:simpleType>
        <xsd:restriction base="dms:DateTime"/>
      </xsd:simpleType>
    </xsd:element>
    <xsd:element name="DateSent" ma:index="10" nillable="true" ma:displayName="Date Sent" ma:format="DateTime" ma:indexed="true" ma:internalName="DateSent">
      <xsd:simpleType>
        <xsd:restriction base="dms:DateTime"/>
      </xsd:simpleType>
    </xsd:element>
    <xsd:element name="EndofSessionDate" ma:index="25" nillable="true" ma:displayName="End of Session Date" ma:format="DateOnly" ma:internalName="EndofSessionDate">
      <xsd:simpleType>
        <xsd:restriction base="dms:DateTime"/>
      </xsd:simpleType>
    </xsd:element>
    <xsd:element name="TransfertoArchives" ma:index="26" nillable="true" ma:displayName="Transfer to Archives" ma:default="0" ma:internalName="TransfertoArchives">
      <xsd:simpleType>
        <xsd:restriction base="dms:Boolean"/>
      </xsd:simpleType>
    </xsd:element>
    <xsd:element name="RecordNumber" ma:index="30" nillable="true" ma:displayName="Record Number" ma:indexed="true" ma:internalName="RecordNumber">
      <xsd:simpleType>
        <xsd:restriction base="dms:Text">
          <xsd:maxLength value="255"/>
        </xsd:restriction>
      </xsd:simpleType>
    </xsd:element>
    <xsd:element name="c4838c65c76546ae93d5703426802f7f" ma:index="45" nillable="true" ma:taxonomy="true" ma:internalName="c4838c65c76546ae93d5703426802f7f" ma:taxonomyFieldName="RMKeyword1" ma:displayName="RM Keyword 1" ma:default=""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TaxCatchAll" ma:index="46" nillable="true" ma:displayName="Taxonomy Catch All Column" ma:hidden="true" ma:list="{9d6dfcb2-0ec6-4cec-9433-6a075699b057}" ma:internalName="TaxCatchAll" ma:showField="CatchAllData" ma:web="0606af38-29d8-407d-826d-7a0cb9d9f4ed">
      <xsd:complexType>
        <xsd:complexContent>
          <xsd:extension base="dms:MultiChoiceLookup">
            <xsd:sequence>
              <xsd:element name="Value" type="dms:Lookup" maxOccurs="unbounded" minOccurs="0" nillable="true"/>
            </xsd:sequence>
          </xsd:extension>
        </xsd:complexContent>
      </xsd:complexType>
    </xsd:element>
    <xsd:element name="TaxCatchAllLabel" ma:index="47" nillable="true" ma:displayName="Taxonomy Catch All Column1" ma:hidden="true" ma:list="{9d6dfcb2-0ec6-4cec-9433-6a075699b057}" ma:internalName="TaxCatchAllLabel" ma:readOnly="true" ma:showField="CatchAllDataLabel" ma:web="0606af38-29d8-407d-826d-7a0cb9d9f4ed">
      <xsd:complexType>
        <xsd:complexContent>
          <xsd:extension base="dms:MultiChoiceLookup">
            <xsd:sequence>
              <xsd:element name="Value" type="dms:Lookup" maxOccurs="unbounded" minOccurs="0" nillable="true"/>
            </xsd:sequence>
          </xsd:extension>
        </xsd:complexContent>
      </xsd:complexType>
    </xsd:element>
    <xsd:element name="j6c5b17cd04246da82e5604daf08bc68" ma:index="49" nillable="true" ma:taxonomy="true" ma:internalName="j6c5b17cd04246da82e5604daf08bc68" ma:taxonomyFieldName="RMKeyword2" ma:displayName="RM Keyword 2" ma:default=""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g3ef09377e3444258679b6035a1ff93a" ma:index="51" nillable="true" ma:taxonomy="true" ma:internalName="g3ef09377e3444258679b6035a1ff93a" ma:taxonomyFieldName="RMKeyword3" ma:displayName="RM Keyword 3" ma:default=""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e6f926d7f5b14a74bee86c3452d91372" ma:index="54" nillable="true" ma:taxonomy="true" ma:internalName="e6f926d7f5b14a74bee86c3452d91372" ma:taxonomyFieldName="Sessions" ma:displayName="Session" ma:default="101;#2021-22|96b889cb-bf30-4d4e-a7d4-109b091b8c4a" ma:fieldId="{e6f926d7-f5b1-4a74-bee8-6c3452d91372}" ma:sspId="eb37f91c-4bb8-4ab3-bc5a-cd8753815459" ma:termSetId="ccb1e33e-6f67-48da-8bc5-b9a73ec87565" ma:anchorId="00000000-0000-0000-0000-000000000000" ma:open="false" ma:isKeyword="false">
      <xsd:complexType>
        <xsd:sequence>
          <xsd:element ref="pc:Terms" minOccurs="0" maxOccurs="1"/>
        </xsd:sequence>
      </xsd:complexType>
    </xsd:element>
    <xsd:element name="k5b153ee974a4a57a7568e533217f2cb" ma:index="55" nillable="true" ma:taxonomy="true" ma:internalName="k5b153ee974a4a57a7568e533217f2cb" ma:taxonomyFieldName="ProtectiveMarking" ma:displayName="Protective Marking" ma:default=""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c86d72e2-090a-4e7d-987e-218d8a0db591" elementFormDefault="qualified">
    <xsd:import namespace="http://schemas.microsoft.com/office/2006/documentManagement/types"/>
    <xsd:import namespace="http://schemas.microsoft.com/office/infopath/2007/PartnerControls"/>
    <xsd:element name="ja5e4d000da44b5490ce6b4249309924" ma:index="36" nillable="true" ma:taxonomy="true" ma:internalName="ja5e4d000da44b5490ce6b4249309924" ma:taxonomyFieldName="Inquiry" ma:displayName="Inquiry" ma:default="" ma:fieldId="{3a5e4d00-0da4-4b54-90ce-6b4249309924}" ma:sspId="eb37f91c-4bb8-4ab3-bc5a-cd8753815459" ma:termSetId="e92b6cb5-89aa-4b85-8d83-b805cf84055d" ma:anchorId="e224f262-415c-4480-a1b5-bf81bfbaea9f"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6ab18433-7710-49bd-9bb4-0bb85747556a" elementFormDefault="qualified">
    <xsd:import namespace="http://schemas.microsoft.com/office/2006/documentManagement/types"/>
    <xsd:import namespace="http://schemas.microsoft.com/office/infopath/2007/PartnerControls"/>
    <xsd:element name="_dlc_DocIdUrl" ma:index="43"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44" nillable="true" ma:displayName="Persist ID" ma:description="Keep ID on add." ma:hidden="true" ma:internalName="_dlc_DocIdPersistId" ma:readOnly="true">
      <xsd:simpleType>
        <xsd:restriction base="dms:Boolean"/>
      </xsd:simpleType>
    </xsd:element>
    <xsd:element name="_dlc_DocId" ma:index="53" nillable="true" ma:displayName="Document ID Value" ma:description="The value of the document ID assigned to this item." ma:internalName="_dlc_DocId" ma:readOnly="true">
      <xsd:simpleType>
        <xsd:restriction base="dms:Text"/>
      </xsd:simpleType>
    </xsd:element>
    <xsd:element name="SharedWithUsers" ma:index="6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6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35"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AC2B94C-4781-40E1-9CAA-1634E954584C}">
  <ds:schemaRefs>
    <ds:schemaRef ds:uri="http://schemas.microsoft.com/sharepoint/events"/>
  </ds:schemaRefs>
</ds:datastoreItem>
</file>

<file path=customXml/itemProps2.xml><?xml version="1.0" encoding="utf-8"?>
<ds:datastoreItem xmlns:ds="http://schemas.openxmlformats.org/officeDocument/2006/customXml" ds:itemID="{E4A8D238-9975-4C8F-B6F8-E5ED0602673E}">
  <ds:schemaRefs>
    <ds:schemaRef ds:uri="http://schemas.microsoft.com/sharepoint/v3/contenttype/forms"/>
  </ds:schemaRefs>
</ds:datastoreItem>
</file>

<file path=customXml/itemProps3.xml><?xml version="1.0" encoding="utf-8"?>
<ds:datastoreItem xmlns:ds="http://schemas.openxmlformats.org/officeDocument/2006/customXml" ds:itemID="{A549DB5C-2415-4B4E-A10C-A421BAA61065}">
  <ds:schemaRefs>
    <ds:schemaRef ds:uri="http://schemas.microsoft.com/office/2006/metadata/properties"/>
    <ds:schemaRef ds:uri="http://schemas.microsoft.com/office/infopath/2007/PartnerControls"/>
    <ds:schemaRef ds:uri="a562b9cc-13aa-492e-99b7-4fe388c0613c"/>
    <ds:schemaRef ds:uri="4600776d-0a3c-44b4-bff2-0ceaafb13046"/>
    <ds:schemaRef ds:uri="0606af38-29d8-407d-826d-7a0cb9d9f4ed"/>
    <ds:schemaRef ds:uri="c86d72e2-090a-4e7d-987e-218d8a0db591"/>
  </ds:schemaRefs>
</ds:datastoreItem>
</file>

<file path=customXml/itemProps4.xml><?xml version="1.0" encoding="utf-8"?>
<ds:datastoreItem xmlns:ds="http://schemas.openxmlformats.org/officeDocument/2006/customXml" ds:itemID="{29933631-0036-9F47-BCEE-E6F53C3DD1F7}">
  <ds:schemaRefs>
    <ds:schemaRef ds:uri="http://schemas.openxmlformats.org/officeDocument/2006/bibliography"/>
  </ds:schemaRefs>
</ds:datastoreItem>
</file>

<file path=customXml/itemProps5.xml><?xml version="1.0" encoding="utf-8"?>
<ds:datastoreItem xmlns:ds="http://schemas.openxmlformats.org/officeDocument/2006/customXml" ds:itemID="{B83D6F41-DBD0-46C3-BA1A-28DA2DB0447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562b9cc-13aa-492e-99b7-4fe388c0613c"/>
    <ds:schemaRef ds:uri="0606af38-29d8-407d-826d-7a0cb9d9f4ed"/>
    <ds:schemaRef ds:uri="4600776d-0a3c-44b4-bff2-0ceaafb13046"/>
    <ds:schemaRef ds:uri="c86d72e2-090a-4e7d-987e-218d8a0db591"/>
    <ds:schemaRef ds:uri="6ab18433-7710-49bd-9bb4-0bb85747556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a8f77787-5df4-43b6-a2a8-8d8b678a318b}" enabled="1" method="Standard" siteId="{1ce6dd9e-b337-4088-be5e-8dbbec04b34a}"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Written evidence - RAI0080</dc:title>
  <cp:revision>0</cp:revision>
</cp:coreProperties>
</file>