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424B0" w:rsidRPr="00B84C7D" w:rsidP="004E72BC">
      <w:pPr>
        <w:jc w:val="center"/>
        <w:rPr>
          <w:rFonts w:ascii="Calibri" w:hAnsi="Calibri" w:cs="Calibri"/>
          <w:b/>
          <w:bCs/>
        </w:rPr>
      </w:pPr>
      <w:r w:rsidRPr="00B84C7D">
        <w:rPr>
          <w:rFonts w:ascii="Calibri" w:hAnsi="Calibri" w:cs="Calibri"/>
          <w:b/>
          <w:bCs/>
        </w:rPr>
        <w:t>WRITTEN EVIDENCE SUBMITTED BY LIBERTY</w:t>
      </w:r>
    </w:p>
    <w:p w:rsidR="007424B0" w:rsidRPr="00B84C7D" w:rsidP="004E72BC">
      <w:pPr>
        <w:jc w:val="center"/>
        <w:rPr>
          <w:rFonts w:ascii="Calibri" w:hAnsi="Calibri" w:cs="Calibri"/>
          <w:b/>
          <w:bCs/>
        </w:rPr>
      </w:pPr>
      <w:r w:rsidRPr="00B84C7D">
        <w:rPr>
          <w:rFonts w:ascii="Calibri" w:hAnsi="Calibri" w:cs="Calibri"/>
          <w:b/>
          <w:bCs/>
        </w:rPr>
        <w:t>(RAI0079)</w:t>
      </w:r>
    </w:p>
    <w:p w:rsidR="00D25D19" w:rsidRPr="004C1A02" w:rsidP="0036262B">
      <w:pPr>
        <w:jc w:val="both"/>
        <w:rPr>
          <w:rFonts w:ascii="BureauGrotCondensed" w:hAnsi="BureauGrotCondensed"/>
          <w:b/>
          <w:bCs/>
          <w:color w:val="9F814F"/>
          <w:sz w:val="28"/>
          <w:szCs w:val="28"/>
        </w:rPr>
      </w:pPr>
      <w:r w:rsidRPr="004C1A02">
        <w:rPr>
          <w:rFonts w:ascii="BureauGrotCondensed" w:hAnsi="BureauGrotCondensed"/>
          <w:b/>
          <w:bCs/>
          <w:color w:val="9F814F"/>
          <w:sz w:val="28"/>
          <w:szCs w:val="28"/>
        </w:rPr>
        <w:t xml:space="preserve">About Liberty </w:t>
      </w:r>
    </w:p>
    <w:p w:rsidR="00D25D19" w:rsidRPr="00EF592A" w:rsidP="0036262B">
      <w:pPr>
        <w:jc w:val="both"/>
        <w:rPr>
          <w:rFonts w:ascii="BureauGrot Light" w:hAnsi="BureauGrot Light"/>
        </w:rPr>
      </w:pPr>
      <w:r w:rsidRPr="00EF592A">
        <w:rPr>
          <w:rFonts w:ascii="BureauGrot Light" w:hAnsi="BureauGrot Light"/>
        </w:rPr>
        <w:t>Liberty is an independent campaigning organisation. We challenge injustice, defend freedom and work to make sure everyone in the UK is treated fairly. We are campaigners, lawyers and policy experts who work together to protect rights and hold the powerful to account.</w:t>
      </w:r>
    </w:p>
    <w:p w:rsidR="00D25D19" w:rsidRPr="00EF592A" w:rsidP="0036262B">
      <w:pPr>
        <w:jc w:val="both"/>
        <w:rPr>
          <w:rFonts w:ascii="BureauGrot Light" w:hAnsi="BureauGrot Light"/>
        </w:rPr>
      </w:pPr>
      <w:r w:rsidRPr="00EF592A">
        <w:rPr>
          <w:rFonts w:ascii="BureauGrot Light" w:hAnsi="BureauGrot Light"/>
        </w:rPr>
        <w:t xml:space="preserve">Liberty provides policy responses to Government consultations on all issues which have implications for human rights and civil liberties. We also submit evidence to Select Committees, inquiries and other policy fora, and undertake independent, funded research. </w:t>
      </w:r>
    </w:p>
    <w:p w:rsidR="00D25D19" w:rsidRPr="004C1A02" w:rsidP="0036262B">
      <w:pPr>
        <w:jc w:val="both"/>
        <w:rPr>
          <w:rFonts w:ascii="BureauGrotCondensed" w:hAnsi="BureauGrotCondensed"/>
          <w:b/>
          <w:bCs/>
          <w:color w:val="9F814F"/>
          <w:sz w:val="28"/>
          <w:szCs w:val="28"/>
        </w:rPr>
      </w:pPr>
      <w:r>
        <w:rPr>
          <w:rFonts w:ascii="BureauGrotCondensed" w:hAnsi="BureauGrotCondensed"/>
          <w:b/>
          <w:bCs/>
          <w:color w:val="9F814F"/>
          <w:sz w:val="28"/>
          <w:szCs w:val="28"/>
        </w:rPr>
        <w:t>Defining AI</w:t>
      </w:r>
      <w:r w:rsidRPr="004C1A02">
        <w:rPr>
          <w:rFonts w:ascii="BureauGrotCondensed" w:hAnsi="BureauGrotCondensed"/>
          <w:b/>
          <w:bCs/>
          <w:color w:val="9F814F"/>
          <w:sz w:val="28"/>
          <w:szCs w:val="28"/>
        </w:rPr>
        <w:t xml:space="preserve"> </w:t>
      </w:r>
    </w:p>
    <w:p w:rsidR="00D25D19" w:rsidRPr="004C1A02" w:rsidP="0036262B">
      <w:pPr>
        <w:pStyle w:val="ListParagraph"/>
        <w:numPr>
          <w:ilvl w:val="0"/>
          <w:numId w:val="35"/>
        </w:numPr>
        <w:jc w:val="both"/>
      </w:pPr>
      <w:r w:rsidRPr="003A6FF0">
        <w:rPr>
          <w:rFonts w:ascii="BureauGrot Light" w:hAnsi="BureauGrot Light"/>
        </w:rPr>
        <w:t>It is notoriously difficult to define artificial intelligence (AI). It is arguably too vague a term to be useful. Professor Gina Neff defines AI as ‘the ability of a digital computer or computer-controlled robot to perform tasks commonly associated with intelligent human beings.’</w:t>
      </w:r>
      <w:r>
        <w:rPr>
          <w:rStyle w:val="FootnoteReference"/>
          <w:rFonts w:ascii="BureauGrot Light" w:hAnsi="BureauGrot Light"/>
        </w:rPr>
        <w:footnoteReference w:id="2"/>
      </w:r>
      <w:r w:rsidRPr="003A6FF0">
        <w:rPr>
          <w:rFonts w:ascii="BureauGrot Light" w:hAnsi="BureauGrot Light"/>
        </w:rPr>
        <w:t xml:space="preserve"> Access Now notes AI is not one thing, but rather a field that can be broken down into subfields like machine learning, robotics, neural networks, vision, natural language processing, and speech processing.</w:t>
      </w:r>
      <w:r>
        <w:rPr>
          <w:rStyle w:val="FootnoteReference"/>
          <w:rFonts w:ascii="BureauGrot Light" w:hAnsi="BureauGrot Light"/>
        </w:rPr>
        <w:footnoteReference w:id="3"/>
      </w:r>
      <w:r w:rsidRPr="003A6FF0">
        <w:rPr>
          <w:rFonts w:ascii="BureauGrot Light" w:hAnsi="BureauGrot Light"/>
        </w:rPr>
        <w:t xml:space="preserve"> In this paper, we will refer to the specific function or field rather than the vague umbrella term of “AI” as much as possible.</w:t>
      </w:r>
    </w:p>
    <w:p w:rsidR="00D25D19" w:rsidRPr="004C1A02" w:rsidP="0036262B">
      <w:pPr>
        <w:jc w:val="both"/>
        <w:rPr>
          <w:rFonts w:ascii="BureauGrotCondensed" w:hAnsi="BureauGrotCondensed"/>
          <w:b/>
          <w:bCs/>
          <w:color w:val="9F814F"/>
          <w:sz w:val="28"/>
          <w:szCs w:val="28"/>
        </w:rPr>
      </w:pPr>
      <w:r w:rsidRPr="004C1A02">
        <w:rPr>
          <w:rFonts w:ascii="BureauGrotCondensed" w:hAnsi="BureauGrotCondensed"/>
          <w:b/>
          <w:bCs/>
          <w:color w:val="9F814F"/>
          <w:sz w:val="28"/>
          <w:szCs w:val="28"/>
        </w:rPr>
        <w:t>Introduction</w:t>
      </w:r>
    </w:p>
    <w:p w:rsidR="00D25D19" w:rsidP="0036262B">
      <w:pPr>
        <w:pStyle w:val="ListParagraph"/>
        <w:numPr>
          <w:ilvl w:val="0"/>
          <w:numId w:val="35"/>
        </w:numPr>
        <w:jc w:val="both"/>
        <w:rPr>
          <w:rFonts w:ascii="BureauGrot Light" w:hAnsi="BureauGrot Light"/>
        </w:rPr>
      </w:pPr>
      <w:r w:rsidRPr="000713B6">
        <w:rPr>
          <w:rFonts w:ascii="BureauGrot Light" w:hAnsi="BureauGrot Light"/>
        </w:rPr>
        <w:t xml:space="preserve">Rapid, unprecedented, exponential – these are the words often used to describe technological development in 2025. A sector that has been moving fast for a half century seems to be moving </w:t>
      </w:r>
      <w:r w:rsidRPr="000713B6">
        <w:rPr>
          <w:rFonts w:ascii="BureauGrot Light" w:hAnsi="BureauGrot Light"/>
        </w:rPr>
        <w:t>faster and faster</w:t>
      </w:r>
      <w:r w:rsidRPr="000713B6">
        <w:rPr>
          <w:rFonts w:ascii="BureauGrot Light" w:hAnsi="BureauGrot Light"/>
        </w:rPr>
        <w:t>.</w:t>
      </w:r>
    </w:p>
    <w:p w:rsidR="00D25D19" w:rsidRPr="000713B6" w:rsidP="0036262B">
      <w:pPr>
        <w:pStyle w:val="ListParagraph"/>
        <w:jc w:val="both"/>
        <w:rPr>
          <w:rFonts w:ascii="BureauGrot Light" w:hAnsi="BureauGrot Light"/>
        </w:rPr>
      </w:pPr>
    </w:p>
    <w:p w:rsidR="00D25D19" w:rsidRPr="00795AD5" w:rsidP="0036262B">
      <w:pPr>
        <w:pStyle w:val="ListParagraph"/>
        <w:numPr>
          <w:ilvl w:val="0"/>
          <w:numId w:val="35"/>
        </w:numPr>
        <w:jc w:val="both"/>
        <w:rPr>
          <w:rFonts w:ascii="BureauGrot Light" w:hAnsi="BureauGrot Light"/>
        </w:rPr>
      </w:pPr>
      <w:r w:rsidRPr="000713B6">
        <w:rPr>
          <w:rFonts w:ascii="BureauGrot Light" w:hAnsi="BureauGrot Light"/>
        </w:rPr>
        <w:t>The world has changed under our feet, and it will continue to do so. The hype-fuelled accelerationism of generative AI; the increased presence of biometric technology in daily life; even the use of Find My Friends and Snap Maps perennially broadcasting users’ locations – technology has changed our expectations and experience of our rights. As technologist Zeynep Tufekci notes, ‘new technology requires updating our laws and regulations and norms, just to keep our foundational rights to liberty and privacy in</w:t>
      </w:r>
      <w:r w:rsidRPr="000713B6">
        <w:rPr>
          <w:rFonts w:ascii="BureauGrot Light" w:hAnsi="BureauGrot Light"/>
        </w:rPr>
        <w:t xml:space="preserve"> place.’</w:t>
      </w:r>
      <w:r>
        <w:rPr>
          <w:rStyle w:val="FootnoteReference"/>
          <w:rFonts w:ascii="BureauGrot Light" w:hAnsi="BureauGrot Light"/>
        </w:rPr>
        <w:footnoteReference w:id="4"/>
      </w:r>
    </w:p>
    <w:p w:rsidR="00D25D19" w:rsidRPr="00795AD5" w:rsidP="0036262B">
      <w:pPr>
        <w:pStyle w:val="ListParagraph"/>
        <w:jc w:val="both"/>
        <w:rPr>
          <w:rFonts w:ascii="BureauGrot Light" w:hAnsi="BureauGrot Light"/>
        </w:rPr>
      </w:pPr>
    </w:p>
    <w:p w:rsidR="00D25D19" w:rsidP="0036262B">
      <w:pPr>
        <w:pStyle w:val="ListParagraph"/>
        <w:numPr>
          <w:ilvl w:val="0"/>
          <w:numId w:val="35"/>
        </w:numPr>
        <w:jc w:val="both"/>
        <w:rPr>
          <w:rFonts w:ascii="BureauGrot Light" w:hAnsi="BureauGrot Light"/>
        </w:rPr>
      </w:pPr>
      <w:r w:rsidRPr="00795AD5">
        <w:rPr>
          <w:rFonts w:ascii="BureauGrot Light" w:hAnsi="BureauGrot Light"/>
        </w:rPr>
        <w:t xml:space="preserve">Liberty brought the first challenge to an AI system which invoked UK human rights law in 2019. Since then, we have seen the Government repeat the same mistakes. They are rolling out facial recognition technology and predictive algorithms in high-risk areas such as policing and </w:t>
      </w:r>
      <w:r w:rsidRPr="00795AD5">
        <w:rPr>
          <w:rFonts w:ascii="BureauGrot Light" w:hAnsi="BureauGrot Light"/>
        </w:rPr>
        <w:t>welfare without safeguards. They are reportedly adopting generative AI in policymaking without data security and privacy protections.</w:t>
      </w:r>
      <w:r>
        <w:rPr>
          <w:rStyle w:val="FootnoteReference"/>
          <w:rFonts w:ascii="BureauGrot Light" w:hAnsi="BureauGrot Light"/>
        </w:rPr>
        <w:footnoteReference w:id="5"/>
      </w:r>
      <w:r w:rsidRPr="00795AD5">
        <w:rPr>
          <w:rFonts w:ascii="BureauGrot Light" w:hAnsi="BureauGrot Light"/>
        </w:rPr>
        <w:t xml:space="preserve"> </w:t>
      </w:r>
    </w:p>
    <w:p w:rsidR="00D25D19" w:rsidRPr="00C37280" w:rsidP="0036262B">
      <w:pPr>
        <w:pStyle w:val="ListParagraph"/>
        <w:rPr>
          <w:rFonts w:ascii="BureauGrot Light" w:hAnsi="BureauGrot Light"/>
        </w:rPr>
      </w:pPr>
    </w:p>
    <w:p w:rsidR="00D25D19" w:rsidP="0036262B">
      <w:pPr>
        <w:pStyle w:val="ListParagraph"/>
        <w:numPr>
          <w:ilvl w:val="0"/>
          <w:numId w:val="35"/>
        </w:numPr>
        <w:jc w:val="both"/>
        <w:rPr>
          <w:rFonts w:ascii="BureauGrot Light" w:hAnsi="BureauGrot Light"/>
        </w:rPr>
      </w:pPr>
      <w:r>
        <w:rPr>
          <w:rFonts w:ascii="BureauGrot Light" w:hAnsi="BureauGrot Light"/>
        </w:rPr>
        <w:t>AI, in its various forms and uses across the public and private sectors, is causing harm now. Whilst it is important that researchers continue to investigate the risk horizons of AI, we would urge the Government to focus on addressing the harms people are already experiencing.</w:t>
      </w:r>
    </w:p>
    <w:p w:rsidR="00D25D19" w:rsidRPr="00C37280" w:rsidP="0036262B">
      <w:pPr>
        <w:pStyle w:val="ListParagraph"/>
        <w:rPr>
          <w:rFonts w:ascii="BureauGrot Light" w:hAnsi="BureauGrot Light"/>
        </w:rPr>
      </w:pPr>
    </w:p>
    <w:p w:rsidR="00D25D19" w:rsidP="0036262B">
      <w:pPr>
        <w:pStyle w:val="ListParagraph"/>
        <w:numPr>
          <w:ilvl w:val="0"/>
          <w:numId w:val="35"/>
        </w:numPr>
        <w:jc w:val="both"/>
        <w:rPr>
          <w:rFonts w:ascii="BureauGrot Light" w:hAnsi="BureauGrot Light"/>
        </w:rPr>
      </w:pPr>
      <w:r w:rsidRPr="00795AD5">
        <w:rPr>
          <w:rFonts w:ascii="BureauGrot Light" w:hAnsi="BureauGrot Light"/>
        </w:rPr>
        <w:t xml:space="preserve">As the Government pursues greater digitisation and automation of public services, and the private sector surges ahead in developing sprawling and extractive natural language processing models (like ChatGPT), Liberty urges the Government to put human rights, democratic principles, and rule of law at the heart of their regulatory approach. Government must not shy away from the task at hand; regulation and innovation are not antonyms. </w:t>
      </w:r>
    </w:p>
    <w:p w:rsidR="00D25D19" w:rsidRPr="00312C86" w:rsidP="0036262B">
      <w:pPr>
        <w:pStyle w:val="ListParagraph"/>
        <w:rPr>
          <w:rFonts w:ascii="BureauGrot Light" w:hAnsi="BureauGrot Light"/>
        </w:rPr>
      </w:pPr>
    </w:p>
    <w:p w:rsidR="00D25D19" w:rsidP="0036262B">
      <w:pPr>
        <w:pStyle w:val="ListParagraph"/>
        <w:numPr>
          <w:ilvl w:val="0"/>
          <w:numId w:val="35"/>
        </w:numPr>
        <w:jc w:val="both"/>
        <w:rPr>
          <w:rFonts w:ascii="BureauGrot Light" w:hAnsi="BureauGrot Light"/>
        </w:rPr>
      </w:pPr>
      <w:r w:rsidRPr="00312C86">
        <w:rPr>
          <w:rFonts w:ascii="BureauGrot Light" w:hAnsi="BureauGrot Light"/>
        </w:rPr>
        <w:t>As the Government and businesses look to hand over decision making processes from people to technology, it is incumbent on Government to ensure this doesn’t deepen democratic deficits.</w:t>
      </w:r>
      <w:r>
        <w:rPr>
          <w:rStyle w:val="FootnoteReference"/>
          <w:rFonts w:ascii="BureauGrot Light" w:hAnsi="BureauGrot Light"/>
        </w:rPr>
        <w:footnoteReference w:id="6"/>
      </w:r>
      <w:r w:rsidRPr="00312C86">
        <w:rPr>
          <w:rFonts w:ascii="BureauGrot Light" w:hAnsi="BureauGrot Light"/>
        </w:rPr>
        <w:t xml:space="preserve"> Technology – including AI – should give people more power to shape their lives, not less. </w:t>
      </w:r>
    </w:p>
    <w:p w:rsidR="00D25D19" w:rsidRPr="00312C86" w:rsidP="0036262B">
      <w:pPr>
        <w:pStyle w:val="ListParagraph"/>
        <w:rPr>
          <w:rFonts w:ascii="BureauGrot Light" w:hAnsi="BureauGrot Light"/>
        </w:rPr>
      </w:pPr>
    </w:p>
    <w:p w:rsidR="00D25D19" w:rsidRPr="00312C86" w:rsidP="0036262B">
      <w:pPr>
        <w:pStyle w:val="ListParagraph"/>
        <w:numPr>
          <w:ilvl w:val="0"/>
          <w:numId w:val="35"/>
        </w:numPr>
        <w:jc w:val="both"/>
        <w:rPr>
          <w:rFonts w:ascii="BureauGrot Light" w:hAnsi="BureauGrot Light"/>
        </w:rPr>
      </w:pPr>
      <w:r w:rsidRPr="00312C86">
        <w:rPr>
          <w:rFonts w:ascii="BureauGrot Light" w:hAnsi="BureauGrot Light"/>
        </w:rPr>
        <w:t xml:space="preserve">Liberty welcomes the opportunity to submit to this important consultation. </w:t>
      </w:r>
    </w:p>
    <w:p w:rsidR="00D25D19" w:rsidRPr="00510CC1" w:rsidP="0036262B">
      <w:pPr>
        <w:jc w:val="both"/>
        <w:rPr>
          <w:rFonts w:ascii="BureauGrot Light" w:hAnsi="BureauGrot Light"/>
          <w:b/>
          <w:bCs/>
        </w:rPr>
      </w:pPr>
      <w:r w:rsidRPr="226BA004">
        <w:rPr>
          <w:rFonts w:ascii="BureauGrot Light" w:hAnsi="BureauGrot Light"/>
          <w:b/>
          <w:bCs/>
        </w:rPr>
        <w:t xml:space="preserve">Recommendations: </w:t>
      </w:r>
    </w:p>
    <w:p w:rsidR="00D25D19" w:rsidP="0036262B">
      <w:pPr>
        <w:pStyle w:val="ListParagraph"/>
        <w:numPr>
          <w:ilvl w:val="0"/>
          <w:numId w:val="11"/>
        </w:numPr>
        <w:jc w:val="both"/>
        <w:rPr>
          <w:rFonts w:ascii="BureauGrot Light" w:hAnsi="BureauGrot Light"/>
        </w:rPr>
      </w:pPr>
      <w:r>
        <w:rPr>
          <w:rFonts w:ascii="BureauGrot Light" w:hAnsi="BureauGrot Light"/>
        </w:rPr>
        <w:t xml:space="preserve">The Government should put the </w:t>
      </w:r>
      <w:r w:rsidRPr="00467EA1">
        <w:rPr>
          <w:rFonts w:ascii="BureauGrot Light" w:hAnsi="BureauGrot Light"/>
        </w:rPr>
        <w:t>Council of Europe Framework Convention on Artificial Intelligence and Human Rights, Democracy and the Rule of Law</w:t>
      </w:r>
      <w:r>
        <w:rPr>
          <w:rFonts w:ascii="BureauGrot Light" w:hAnsi="BureauGrot Light"/>
        </w:rPr>
        <w:t xml:space="preserve"> at the heart of its regulatory approach and enshrine it in law via the forthcoming AI Bill. </w:t>
      </w:r>
    </w:p>
    <w:p w:rsidR="00D25D19" w:rsidRPr="00510CC1" w:rsidP="0036262B">
      <w:pPr>
        <w:pStyle w:val="ListParagraph"/>
        <w:numPr>
          <w:ilvl w:val="0"/>
          <w:numId w:val="11"/>
        </w:numPr>
        <w:jc w:val="both"/>
        <w:rPr>
          <w:rFonts w:ascii="BureauGrot Light" w:hAnsi="BureauGrot Light"/>
        </w:rPr>
      </w:pPr>
      <w:r>
        <w:rPr>
          <w:rFonts w:ascii="BureauGrot Light" w:hAnsi="BureauGrot Light"/>
        </w:rPr>
        <w:t xml:space="preserve">The </w:t>
      </w:r>
      <w:r w:rsidRPr="00510CC1">
        <w:rPr>
          <w:rFonts w:ascii="BureauGrot Light" w:hAnsi="BureauGrot Light"/>
        </w:rPr>
        <w:t xml:space="preserve">Government should undertake a comprehensive assessment of the current regulatory framework and identify key regulatory gaps. </w:t>
      </w:r>
    </w:p>
    <w:p w:rsidR="00D25D19" w:rsidP="0036262B">
      <w:pPr>
        <w:pStyle w:val="ListParagraph"/>
        <w:numPr>
          <w:ilvl w:val="0"/>
          <w:numId w:val="11"/>
        </w:numPr>
        <w:jc w:val="both"/>
        <w:rPr>
          <w:rFonts w:ascii="BureauGrot Light" w:hAnsi="BureauGrot Light"/>
        </w:rPr>
      </w:pPr>
      <w:r w:rsidRPr="00510CC1">
        <w:rPr>
          <w:rFonts w:ascii="BureauGrot Light" w:hAnsi="BureauGrot Light"/>
        </w:rPr>
        <w:t>The Government should put the Ethics, Transparency, and Accountability Framework for Automated Decision-Making on statutory footing</w:t>
      </w:r>
      <w:r>
        <w:rPr>
          <w:rFonts w:ascii="BureauGrot Light" w:hAnsi="BureauGrot Light"/>
        </w:rPr>
        <w:t xml:space="preserve"> and create a legal duty for public bodies to report on AI use in decision-making processes.</w:t>
      </w:r>
    </w:p>
    <w:p w:rsidR="00D25D19" w:rsidRPr="00510CC1" w:rsidP="0036262B">
      <w:pPr>
        <w:pStyle w:val="ListParagraph"/>
        <w:numPr>
          <w:ilvl w:val="0"/>
          <w:numId w:val="11"/>
        </w:numPr>
        <w:jc w:val="both"/>
        <w:rPr>
          <w:rFonts w:ascii="BureauGrot Light" w:hAnsi="BureauGrot Light"/>
        </w:rPr>
      </w:pPr>
      <w:r>
        <w:rPr>
          <w:rFonts w:ascii="BureauGrot Light" w:hAnsi="BureauGrot Light"/>
        </w:rPr>
        <w:t xml:space="preserve">The Government should legislate to establish liability throughout the AI lifecycle and that legislation’s scope should extend to the private sector. </w:t>
      </w:r>
    </w:p>
    <w:p w:rsidR="00D25D19" w:rsidRPr="00510CC1" w:rsidP="0036262B">
      <w:pPr>
        <w:pStyle w:val="ListParagraph"/>
        <w:numPr>
          <w:ilvl w:val="0"/>
          <w:numId w:val="11"/>
        </w:numPr>
        <w:jc w:val="both"/>
        <w:rPr>
          <w:rFonts w:ascii="BureauGrot Light" w:hAnsi="BureauGrot Light"/>
        </w:rPr>
      </w:pPr>
      <w:r w:rsidRPr="226BA004">
        <w:rPr>
          <w:rFonts w:ascii="BureauGrot Light" w:hAnsi="BureauGrot Light"/>
        </w:rPr>
        <w:t>The Government should establish an AI ombudsman via the forthcoming AI Bill to offer people alternative complaint routes.</w:t>
      </w:r>
    </w:p>
    <w:p w:rsidR="00D25D19" w:rsidP="226BA004">
      <w:pPr>
        <w:pStyle w:val="ListParagraph"/>
        <w:numPr>
          <w:ilvl w:val="0"/>
          <w:numId w:val="11"/>
        </w:numPr>
        <w:jc w:val="both"/>
        <w:rPr>
          <w:rFonts w:ascii="BureauGrot Light" w:hAnsi="BureauGrot Light"/>
        </w:rPr>
      </w:pPr>
      <w:r w:rsidRPr="226BA004">
        <w:rPr>
          <w:rFonts w:ascii="BureauGrot Light" w:hAnsi="BureauGrot Light"/>
        </w:rPr>
        <w:t>The Government should legislate to regulate police use of facial recognition technology.</w:t>
      </w:r>
    </w:p>
    <w:p w:rsidR="00D25D19" w:rsidP="0036262B">
      <w:pPr>
        <w:jc w:val="both"/>
        <w:rPr>
          <w:rFonts w:ascii="BureauGrotCondensed" w:hAnsi="BureauGrotCondensed"/>
          <w:b/>
          <w:bCs/>
          <w:sz w:val="28"/>
          <w:szCs w:val="28"/>
        </w:rPr>
      </w:pPr>
    </w:p>
    <w:p w:rsidR="00D25D19" w:rsidRPr="004C1A02" w:rsidP="0036262B">
      <w:pPr>
        <w:jc w:val="both"/>
        <w:rPr>
          <w:rFonts w:ascii="BureauGrotCondensed" w:hAnsi="BureauGrotCondensed"/>
          <w:b/>
          <w:bCs/>
          <w:color w:val="9F814F"/>
          <w:sz w:val="28"/>
          <w:szCs w:val="28"/>
        </w:rPr>
      </w:pPr>
      <w:r w:rsidRPr="004C1A02">
        <w:rPr>
          <w:rFonts w:ascii="BureauGrotCondensed" w:hAnsi="BureauGrotCondensed"/>
          <w:b/>
          <w:bCs/>
          <w:color w:val="9F814F"/>
          <w:sz w:val="28"/>
          <w:szCs w:val="28"/>
        </w:rPr>
        <w:t xml:space="preserve">How can Artificial Intelligence (AI) affect individual human rights for good or ill, </w:t>
      </w:r>
      <w:r w:rsidRPr="004C1A02">
        <w:rPr>
          <w:rFonts w:ascii="BureauGrotCondensed" w:hAnsi="BureauGrotCondensed"/>
          <w:b/>
          <w:bCs/>
          <w:color w:val="9F814F"/>
          <w:sz w:val="28"/>
          <w:szCs w:val="28"/>
        </w:rPr>
        <w:t>in particular in</w:t>
      </w:r>
      <w:r w:rsidRPr="004C1A02">
        <w:rPr>
          <w:rFonts w:ascii="BureauGrotCondensed" w:hAnsi="BureauGrotCondensed"/>
          <w:b/>
          <w:bCs/>
          <w:color w:val="9F814F"/>
          <w:sz w:val="28"/>
          <w:szCs w:val="28"/>
        </w:rPr>
        <w:t xml:space="preserve"> the areas of privacy and data usage; discrimination and bias; effective remedies for violations of human rights?</w:t>
      </w:r>
    </w:p>
    <w:p w:rsidR="00D25D19" w:rsidP="0036262B">
      <w:pPr>
        <w:pStyle w:val="ListParagraph"/>
        <w:numPr>
          <w:ilvl w:val="0"/>
          <w:numId w:val="35"/>
        </w:numPr>
        <w:jc w:val="both"/>
        <w:rPr>
          <w:rFonts w:ascii="BureauGrot Light" w:hAnsi="BureauGrot Light"/>
        </w:rPr>
      </w:pPr>
      <w:r w:rsidRPr="008C4DB5">
        <w:rPr>
          <w:rFonts w:ascii="BureauGrot Light" w:hAnsi="BureauGrot Light"/>
        </w:rPr>
        <w:t xml:space="preserve">Ami Fields-Meyer and Janet Haven summarised AI’s risks to democratic societies succinctly in a 2024 </w:t>
      </w:r>
      <w:r w:rsidRPr="008C4DB5">
        <w:rPr>
          <w:rFonts w:ascii="BureauGrot Light" w:hAnsi="BureauGrot Light"/>
          <w:i/>
          <w:iCs/>
        </w:rPr>
        <w:t xml:space="preserve">Foreign Policy </w:t>
      </w:r>
      <w:r w:rsidRPr="008C4DB5">
        <w:rPr>
          <w:rFonts w:ascii="BureauGrot Light" w:hAnsi="BureauGrot Light"/>
        </w:rPr>
        <w:t>article: ‘Many of today’s AI systems […] run over civil rights and liberties and cause harm for which people cannot easily seek redress. They violate privacy, spread falsehoods, and obscure economic crimes such as price-fixing, fraud, and deception. And they are increasingly used – without an architecture of accountability – in institutions central to [democratic] life: the workplace, policing, the legal system, public services, schools, and hospitals.’</w:t>
      </w:r>
      <w:r>
        <w:rPr>
          <w:rStyle w:val="FootnoteReference"/>
          <w:rFonts w:ascii="BureauGrot Light" w:hAnsi="BureauGrot Light"/>
        </w:rPr>
        <w:footnoteReference w:id="7"/>
      </w:r>
    </w:p>
    <w:p w:rsidR="00D25D19" w:rsidRPr="008C4DB5" w:rsidP="000843FF">
      <w:pPr>
        <w:pStyle w:val="ListParagraph"/>
        <w:jc w:val="both"/>
        <w:rPr>
          <w:rFonts w:ascii="BureauGrot Light" w:hAnsi="BureauGrot Light"/>
        </w:rPr>
      </w:pPr>
    </w:p>
    <w:p w:rsidR="00D25D19" w:rsidRPr="00A714D2">
      <w:pPr>
        <w:pStyle w:val="ListParagraph"/>
        <w:numPr>
          <w:ilvl w:val="0"/>
          <w:numId w:val="35"/>
        </w:numPr>
        <w:jc w:val="both"/>
        <w:rPr>
          <w:rFonts w:ascii="BureauGrot Light" w:hAnsi="BureauGrot Light"/>
        </w:rPr>
      </w:pPr>
      <w:r w:rsidRPr="226BA004">
        <w:rPr>
          <w:rFonts w:ascii="BureauGrot Light" w:hAnsi="BureauGrot Light"/>
        </w:rPr>
        <w:t xml:space="preserve">The right to respect for family and private life is enshrined in Article 8 of the ECHR. Article 10 of the ECHR protects the right to freedom of expression and to receive information freely (including via the internet). The ECHR is incorporated into UK domestic law through the Human Rights Act 1998. UK GDPR and the Data Protection Act 2018 protect our data rights and place some restrictions on how companies and the Government can use our data. </w:t>
      </w:r>
    </w:p>
    <w:p w:rsidR="00D25D19" w:rsidRPr="00F6502D" w:rsidP="0036262B">
      <w:pPr>
        <w:jc w:val="both"/>
        <w:rPr>
          <w:rFonts w:ascii="BureauGrotCondensed" w:hAnsi="BureauGrotCondensed"/>
          <w:b/>
          <w:bCs/>
          <w:sz w:val="28"/>
          <w:szCs w:val="28"/>
        </w:rPr>
      </w:pPr>
      <w:r w:rsidRPr="00F6502D">
        <w:rPr>
          <w:rFonts w:ascii="BureauGrotCondensed" w:hAnsi="BureauGrotCondensed"/>
          <w:b/>
          <w:bCs/>
          <w:sz w:val="28"/>
          <w:szCs w:val="28"/>
        </w:rPr>
        <w:t xml:space="preserve">Privacy and data usage </w:t>
      </w:r>
    </w:p>
    <w:p w:rsidR="00D25D19" w:rsidRPr="00A714D2" w:rsidP="0036262B">
      <w:pPr>
        <w:pStyle w:val="ListParagraph"/>
        <w:numPr>
          <w:ilvl w:val="0"/>
          <w:numId w:val="35"/>
        </w:numPr>
        <w:jc w:val="both"/>
        <w:rPr>
          <w:rFonts w:ascii="BureauGrot Light" w:hAnsi="BureauGrot Light"/>
        </w:rPr>
      </w:pPr>
      <w:r w:rsidRPr="00A714D2">
        <w:rPr>
          <w:rFonts w:ascii="BureauGrot Light" w:hAnsi="BureauGrot Light"/>
        </w:rPr>
        <w:t>Data is the oil to AI’s engine. Many of the threats to our privacy rights related to AI are in the data collection, storage, and usage. As the European Network of National Human Rights Institutions notes ‘the right to private life is threatened by the constant tracking and surveillance that AI systems use for data collection… Companies [and governments] possess extensive knowledge about users, while users remain uncertain about how their data is used and whose interests it serves.’</w:t>
      </w:r>
      <w:r>
        <w:rPr>
          <w:rStyle w:val="FootnoteReference"/>
          <w:rFonts w:ascii="BureauGrot Light" w:hAnsi="BureauGrot Light"/>
        </w:rPr>
        <w:footnoteReference w:id="8"/>
      </w:r>
    </w:p>
    <w:p w:rsidR="00D25D19" w:rsidRPr="004C1A02" w:rsidP="0036262B">
      <w:pPr>
        <w:jc w:val="both"/>
        <w:rPr>
          <w:rFonts w:ascii="BureauGrot Light" w:hAnsi="BureauGrot Light"/>
          <w:b/>
          <w:bCs/>
        </w:rPr>
      </w:pPr>
      <w:r w:rsidRPr="004C1A02">
        <w:rPr>
          <w:rFonts w:ascii="BureauGrot Light" w:hAnsi="BureauGrot Light"/>
          <w:b/>
          <w:bCs/>
        </w:rPr>
        <w:t>Data collection</w:t>
      </w:r>
    </w:p>
    <w:p w:rsidR="00D25D19" w:rsidP="0036262B">
      <w:pPr>
        <w:pStyle w:val="ListParagraph"/>
        <w:numPr>
          <w:ilvl w:val="0"/>
          <w:numId w:val="35"/>
        </w:numPr>
        <w:jc w:val="both"/>
        <w:rPr>
          <w:rFonts w:ascii="BureauGrot Light" w:hAnsi="BureauGrot Light"/>
        </w:rPr>
      </w:pPr>
      <w:r w:rsidRPr="00A714D2">
        <w:rPr>
          <w:rFonts w:ascii="BureauGrot Light" w:hAnsi="BureauGrot Light"/>
        </w:rPr>
        <w:t>AI systems typically rely on large data sets, often including personal data, which incentivises widespread data collection, storage, and processing.</w:t>
      </w:r>
      <w:r>
        <w:rPr>
          <w:rStyle w:val="FootnoteReference"/>
          <w:rFonts w:ascii="BureauGrot Light" w:hAnsi="BureauGrot Light"/>
        </w:rPr>
        <w:footnoteReference w:id="9"/>
      </w:r>
    </w:p>
    <w:p w:rsidR="00D25D19" w:rsidRPr="00A714D2" w:rsidP="0036262B">
      <w:pPr>
        <w:pStyle w:val="ListParagraph"/>
        <w:jc w:val="both"/>
        <w:rPr>
          <w:rFonts w:ascii="BureauGrot Light" w:hAnsi="BureauGrot Light"/>
        </w:rPr>
      </w:pPr>
    </w:p>
    <w:p w:rsidR="00D25D19" w:rsidRPr="004C1A02" w:rsidP="0036262B">
      <w:pPr>
        <w:pStyle w:val="ListParagraph"/>
        <w:numPr>
          <w:ilvl w:val="0"/>
          <w:numId w:val="11"/>
        </w:numPr>
        <w:ind w:left="1134" w:hanging="567"/>
        <w:jc w:val="both"/>
        <w:rPr>
          <w:rFonts w:ascii="BureauGrot Light" w:hAnsi="BureauGrot Light"/>
        </w:rPr>
      </w:pPr>
      <w:r w:rsidRPr="004C1A02">
        <w:rPr>
          <w:rFonts w:ascii="BureauGrot Light" w:hAnsi="BureauGrot Light"/>
        </w:rPr>
        <w:t>Online businesses including social media sites rely on the collection and monetisation of massive amounts of data about internet users.</w:t>
      </w:r>
      <w:r>
        <w:rPr>
          <w:rStyle w:val="FootnoteReference"/>
          <w:rFonts w:ascii="BureauGrot Light" w:hAnsi="BureauGrot Light"/>
        </w:rPr>
        <w:footnoteReference w:id="10"/>
      </w:r>
      <w:r w:rsidRPr="004C1A02">
        <w:rPr>
          <w:rFonts w:ascii="BureauGrot Light" w:hAnsi="BureauGrot Light"/>
        </w:rPr>
        <w:t xml:space="preserve"> </w:t>
      </w:r>
    </w:p>
    <w:p w:rsidR="00D25D19" w:rsidRPr="004C1A02" w:rsidP="0036262B">
      <w:pPr>
        <w:pStyle w:val="ListParagraph"/>
        <w:numPr>
          <w:ilvl w:val="0"/>
          <w:numId w:val="11"/>
        </w:numPr>
        <w:ind w:left="1134" w:hanging="567"/>
        <w:jc w:val="both"/>
        <w:rPr>
          <w:rFonts w:ascii="BureauGrot Light" w:hAnsi="BureauGrot Light"/>
        </w:rPr>
      </w:pPr>
      <w:r w:rsidRPr="004C1A02">
        <w:rPr>
          <w:rFonts w:ascii="BureauGrot Light" w:hAnsi="BureauGrot Light"/>
        </w:rPr>
        <w:t>Data brokers acquire, merge, analyse, and sell our personal data to companies and to governments (including law enforcement).</w:t>
      </w:r>
      <w:r>
        <w:rPr>
          <w:rStyle w:val="FootnoteReference"/>
          <w:rFonts w:ascii="BureauGrot Light" w:hAnsi="BureauGrot Light"/>
        </w:rPr>
        <w:footnoteReference w:id="11"/>
      </w:r>
      <w:r w:rsidRPr="004C1A02">
        <w:rPr>
          <w:rFonts w:ascii="BureauGrot Light" w:hAnsi="BureauGrot Light"/>
        </w:rPr>
        <w:t xml:space="preserve"> </w:t>
      </w:r>
    </w:p>
    <w:p w:rsidR="00D25D19" w:rsidRPr="004C1A02" w:rsidP="0036262B">
      <w:pPr>
        <w:pStyle w:val="ListParagraph"/>
        <w:numPr>
          <w:ilvl w:val="0"/>
          <w:numId w:val="11"/>
        </w:numPr>
        <w:ind w:left="1134" w:hanging="567"/>
        <w:jc w:val="both"/>
        <w:rPr>
          <w:rFonts w:ascii="BureauGrot Light" w:hAnsi="BureauGrot Light"/>
        </w:rPr>
      </w:pPr>
      <w:r w:rsidRPr="004C1A02">
        <w:rPr>
          <w:rFonts w:ascii="BureauGrot Light" w:hAnsi="BureauGrot Light"/>
        </w:rPr>
        <w:t xml:space="preserve">The Internet of Things extends this data collection into our physical world (with devices like our cars, speakers, home security systems </w:t>
      </w:r>
      <w:r>
        <w:rPr>
          <w:rFonts w:ascii="BureauGrot Light" w:hAnsi="BureauGrot Light"/>
        </w:rPr>
        <w:t xml:space="preserve">and even fridges </w:t>
      </w:r>
      <w:r w:rsidRPr="004C1A02">
        <w:rPr>
          <w:rFonts w:ascii="BureauGrot Light" w:hAnsi="BureauGrot Light"/>
        </w:rPr>
        <w:t>collecting data on our habits and movements).</w:t>
      </w:r>
    </w:p>
    <w:p w:rsidR="00D25D19" w:rsidRPr="004C1A02" w:rsidP="0036262B">
      <w:pPr>
        <w:pStyle w:val="ListParagraph"/>
        <w:numPr>
          <w:ilvl w:val="0"/>
          <w:numId w:val="11"/>
        </w:numPr>
        <w:ind w:left="1134" w:hanging="567"/>
        <w:jc w:val="both"/>
        <w:rPr>
          <w:rFonts w:ascii="BureauGrot Light" w:hAnsi="BureauGrot Light"/>
        </w:rPr>
      </w:pPr>
      <w:r w:rsidRPr="004C1A02">
        <w:rPr>
          <w:rFonts w:ascii="BureauGrot Light" w:hAnsi="BureauGrot Light"/>
        </w:rPr>
        <w:t>Our interactions with public services including the benefits system, NHS, housing, education, and law enforcement are collected in government databases. These datasets include our most sensitive information.</w:t>
      </w:r>
    </w:p>
    <w:p w:rsidR="00D25D19" w:rsidP="0036262B">
      <w:pPr>
        <w:pStyle w:val="ListParagraph"/>
        <w:numPr>
          <w:ilvl w:val="0"/>
          <w:numId w:val="11"/>
        </w:numPr>
        <w:ind w:left="1134" w:hanging="567"/>
        <w:jc w:val="both"/>
        <w:rPr>
          <w:rFonts w:ascii="BureauGrot Light" w:hAnsi="BureauGrot Light"/>
        </w:rPr>
      </w:pPr>
      <w:r w:rsidRPr="004C1A02">
        <w:rPr>
          <w:rFonts w:ascii="BureauGrot Light" w:hAnsi="BureauGrot Light"/>
        </w:rPr>
        <w:t>Data reflect the systems that collect them, and the people who run those systems. For example, many of the human rights issues caused by predictive policing have stemmed from historic racist policing methods being enshrined in data sets, which means predictive policing analytics will direct police to neighbourhoods with higher populations of Black people and give racialised people higher risk scores.</w:t>
      </w:r>
      <w:r>
        <w:rPr>
          <w:rStyle w:val="FootnoteReference"/>
          <w:rFonts w:ascii="BureauGrot Light" w:hAnsi="BureauGrot Light"/>
        </w:rPr>
        <w:footnoteReference w:id="12"/>
      </w:r>
    </w:p>
    <w:p w:rsidR="00D25D19" w:rsidRPr="004C1A02" w:rsidP="0036262B">
      <w:pPr>
        <w:pStyle w:val="ListParagraph"/>
        <w:ind w:left="1134"/>
        <w:jc w:val="both"/>
        <w:rPr>
          <w:rFonts w:ascii="BureauGrot Light" w:hAnsi="BureauGrot Light"/>
        </w:rPr>
      </w:pPr>
    </w:p>
    <w:p w:rsidR="00D25D19" w:rsidRPr="00FE56B2" w:rsidP="0036262B">
      <w:pPr>
        <w:pStyle w:val="ListParagraph"/>
        <w:numPr>
          <w:ilvl w:val="0"/>
          <w:numId w:val="35"/>
        </w:numPr>
        <w:jc w:val="both"/>
        <w:rPr>
          <w:rFonts w:ascii="BureauGrot Light" w:hAnsi="BureauGrot Light"/>
        </w:rPr>
      </w:pPr>
      <w:r w:rsidRPr="00FE56B2">
        <w:rPr>
          <w:rFonts w:ascii="BureauGrot Light" w:hAnsi="BureauGrot Light"/>
        </w:rPr>
        <w:t xml:space="preserve">These datasets, on which different forms of AI are trained or deployed, contain some of the most sensitive information about our lives. They also reflect the biases of the people and the systems that collect them. Both factors pose a threat to Article 8 and 14 rights. </w:t>
      </w:r>
    </w:p>
    <w:p w:rsidR="00D25D19" w:rsidRPr="004C1A02" w:rsidP="0036262B">
      <w:pPr>
        <w:jc w:val="both"/>
        <w:rPr>
          <w:rFonts w:ascii="BureauGrot Light" w:hAnsi="BureauGrot Light"/>
          <w:b/>
          <w:bCs/>
        </w:rPr>
      </w:pPr>
      <w:r w:rsidRPr="004C1A02">
        <w:rPr>
          <w:rFonts w:ascii="BureauGrot Light" w:hAnsi="BureauGrot Light"/>
          <w:b/>
          <w:bCs/>
        </w:rPr>
        <w:t xml:space="preserve">Data storage </w:t>
      </w:r>
    </w:p>
    <w:p w:rsidR="00D25D19" w:rsidP="0036262B">
      <w:pPr>
        <w:pStyle w:val="ListParagraph"/>
        <w:numPr>
          <w:ilvl w:val="0"/>
          <w:numId w:val="35"/>
        </w:numPr>
        <w:jc w:val="both"/>
        <w:rPr>
          <w:rFonts w:ascii="BureauGrot Light" w:hAnsi="BureauGrot Light"/>
        </w:rPr>
      </w:pPr>
      <w:r w:rsidRPr="00DD02F5">
        <w:rPr>
          <w:rFonts w:ascii="BureauGrot Light" w:hAnsi="BureauGrot Light"/>
        </w:rPr>
        <w:t>The storage of this incredibly sensitive data raises its own privacy risks. As the UNHCHR notes, ‘apart from exposing people’s private lives to companies and states, these data sets make individuals vulnerable in a number of other ways.’</w:t>
      </w:r>
      <w:r>
        <w:rPr>
          <w:rStyle w:val="FootnoteReference"/>
          <w:rFonts w:ascii="BureauGrot Light" w:hAnsi="BureauGrot Light"/>
        </w:rPr>
        <w:footnoteReference w:id="13"/>
      </w:r>
    </w:p>
    <w:p w:rsidR="00D25D19" w:rsidRPr="00DD02F5" w:rsidP="0036262B">
      <w:pPr>
        <w:pStyle w:val="ListParagraph"/>
        <w:jc w:val="both"/>
        <w:rPr>
          <w:rFonts w:ascii="BureauGrot Light" w:hAnsi="BureauGrot Light"/>
        </w:rPr>
      </w:pPr>
    </w:p>
    <w:p w:rsidR="00D25D19" w:rsidRPr="004C1A02" w:rsidP="0036262B">
      <w:pPr>
        <w:pStyle w:val="ListParagraph"/>
        <w:numPr>
          <w:ilvl w:val="0"/>
          <w:numId w:val="12"/>
        </w:numPr>
        <w:ind w:left="1134" w:hanging="567"/>
        <w:jc w:val="both"/>
        <w:rPr>
          <w:rFonts w:ascii="BureauGrot Light" w:hAnsi="BureauGrot Light"/>
        </w:rPr>
      </w:pPr>
      <w:r w:rsidRPr="004C1A02">
        <w:rPr>
          <w:rFonts w:ascii="BureauGrot Light" w:hAnsi="BureauGrot Light"/>
        </w:rPr>
        <w:t>Data breaches of both private and government databases have exposed the sensitive information of millions of people. See the Windrush</w:t>
      </w:r>
      <w:r>
        <w:rPr>
          <w:rStyle w:val="FootnoteReference"/>
          <w:rFonts w:ascii="BureauGrot Light" w:hAnsi="BureauGrot Light"/>
        </w:rPr>
        <w:footnoteReference w:id="14"/>
      </w:r>
      <w:r w:rsidRPr="004C1A02">
        <w:rPr>
          <w:rFonts w:ascii="BureauGrot Light" w:hAnsi="BureauGrot Light"/>
        </w:rPr>
        <w:t xml:space="preserve"> and EU nationals</w:t>
      </w:r>
      <w:r>
        <w:rPr>
          <w:rStyle w:val="FootnoteReference"/>
          <w:rFonts w:ascii="BureauGrot Light" w:hAnsi="BureauGrot Light"/>
        </w:rPr>
        <w:footnoteReference w:id="15"/>
      </w:r>
      <w:r w:rsidRPr="004C1A02">
        <w:rPr>
          <w:rFonts w:ascii="BureauGrot Light" w:hAnsi="BureauGrot Light"/>
        </w:rPr>
        <w:t xml:space="preserve"> data leaks in the UK, or the Aadhaar digital identity leak in India which exposed the voter, biometric, and financial information of 815 million people.</w:t>
      </w:r>
      <w:r>
        <w:rPr>
          <w:rStyle w:val="FootnoteReference"/>
          <w:rFonts w:ascii="BureauGrot Light" w:hAnsi="BureauGrot Light"/>
        </w:rPr>
        <w:footnoteReference w:id="16"/>
      </w:r>
      <w:r w:rsidRPr="004C1A02">
        <w:rPr>
          <w:rFonts w:ascii="BureauGrot Light" w:hAnsi="BureauGrot Light"/>
        </w:rPr>
        <w:t xml:space="preserve"> Data breaches expose personal information to potentially hostile forces, a major breach of privacy rights. The long-term storage of data increases these risks, as threats evolve and hacking methodologies advance. </w:t>
      </w:r>
    </w:p>
    <w:p w:rsidR="00D25D19" w:rsidRPr="004C1A02" w:rsidP="0036262B">
      <w:pPr>
        <w:pStyle w:val="ListParagraph"/>
        <w:numPr>
          <w:ilvl w:val="0"/>
          <w:numId w:val="12"/>
        </w:numPr>
        <w:ind w:left="1134" w:hanging="567"/>
        <w:jc w:val="both"/>
        <w:rPr>
          <w:rFonts w:ascii="BureauGrot Light" w:hAnsi="BureauGrot Light"/>
        </w:rPr>
      </w:pPr>
      <w:r w:rsidRPr="004C1A02">
        <w:rPr>
          <w:rFonts w:ascii="BureauGrot Light" w:hAnsi="BureauGrot Light"/>
        </w:rPr>
        <w:t xml:space="preserve">Retention of large data sets allows for the analysis of our personal information by AI systems. </w:t>
      </w:r>
    </w:p>
    <w:p w:rsidR="00D25D19" w:rsidRPr="004C1A02" w:rsidP="0036262B">
      <w:pPr>
        <w:pStyle w:val="ListParagraph"/>
        <w:numPr>
          <w:ilvl w:val="0"/>
          <w:numId w:val="12"/>
        </w:numPr>
        <w:ind w:left="1134" w:hanging="567"/>
        <w:jc w:val="both"/>
        <w:rPr>
          <w:rFonts w:ascii="BureauGrot Light" w:hAnsi="BureauGrot Light"/>
        </w:rPr>
      </w:pPr>
      <w:r w:rsidRPr="004C1A02">
        <w:rPr>
          <w:rFonts w:ascii="BureauGrot Light" w:hAnsi="BureauGrot Light"/>
        </w:rPr>
        <w:t>Sharing datasets with third parties (for example governments giving private companies access to their databases and vice versa) ‘increase the likelihood of arbitrary or unlawful interference in the right to privacy’.</w:t>
      </w:r>
      <w:r>
        <w:rPr>
          <w:rStyle w:val="FootnoteReference"/>
          <w:rFonts w:ascii="BureauGrot Light" w:hAnsi="BureauGrot Light"/>
        </w:rPr>
        <w:footnoteReference w:id="17"/>
      </w:r>
    </w:p>
    <w:p w:rsidR="00D25D19" w:rsidRPr="004C1A02" w:rsidP="0036262B">
      <w:pPr>
        <w:pStyle w:val="ListParagraph"/>
        <w:numPr>
          <w:ilvl w:val="0"/>
          <w:numId w:val="12"/>
        </w:numPr>
        <w:ind w:left="1134" w:hanging="567"/>
        <w:jc w:val="both"/>
        <w:rPr>
          <w:rFonts w:ascii="BureauGrot Light" w:hAnsi="BureauGrot Light"/>
        </w:rPr>
      </w:pPr>
      <w:r w:rsidRPr="004C1A02">
        <w:rPr>
          <w:rFonts w:ascii="BureauGrot Light" w:hAnsi="BureauGrot Light"/>
        </w:rPr>
        <w:t>When databases are connected, data can be de-anonymised, increasing privacy risks for individuals.</w:t>
      </w:r>
    </w:p>
    <w:p w:rsidR="00D25D19" w:rsidP="0036262B">
      <w:pPr>
        <w:pStyle w:val="ListParagraph"/>
        <w:numPr>
          <w:ilvl w:val="0"/>
          <w:numId w:val="12"/>
        </w:numPr>
        <w:ind w:left="1134" w:hanging="567"/>
        <w:jc w:val="both"/>
        <w:rPr>
          <w:rFonts w:ascii="BureauGrot Light" w:hAnsi="BureauGrot Light"/>
        </w:rPr>
      </w:pPr>
      <w:r w:rsidRPr="004C1A02">
        <w:rPr>
          <w:rFonts w:ascii="BureauGrot Light" w:hAnsi="BureauGrot Light"/>
        </w:rPr>
        <w:t>Over time, data can become inaccurate, irrelevant, or carry over historic misidentification, causing bias or errors in data processing.</w:t>
      </w:r>
      <w:r>
        <w:rPr>
          <w:rStyle w:val="FootnoteReference"/>
          <w:rFonts w:ascii="BureauGrot Light" w:hAnsi="BureauGrot Light"/>
        </w:rPr>
        <w:footnoteReference w:id="18"/>
      </w:r>
    </w:p>
    <w:p w:rsidR="00D25D19" w:rsidRPr="004C1A02" w:rsidP="0036262B">
      <w:pPr>
        <w:pStyle w:val="ListParagraph"/>
        <w:ind w:left="1134"/>
        <w:jc w:val="both"/>
        <w:rPr>
          <w:rFonts w:ascii="BureauGrot Light" w:hAnsi="BureauGrot Light"/>
        </w:rPr>
      </w:pPr>
    </w:p>
    <w:p w:rsidR="00D25D19" w:rsidP="0036262B">
      <w:pPr>
        <w:pStyle w:val="ListParagraph"/>
        <w:numPr>
          <w:ilvl w:val="0"/>
          <w:numId w:val="35"/>
        </w:numPr>
        <w:jc w:val="both"/>
        <w:rPr>
          <w:rFonts w:ascii="BureauGrot Light" w:hAnsi="BureauGrot Light"/>
        </w:rPr>
      </w:pPr>
      <w:r w:rsidRPr="226BA004">
        <w:rPr>
          <w:rFonts w:ascii="BureauGrot Light" w:hAnsi="BureauGrot Light"/>
          <w:b/>
          <w:bCs/>
        </w:rPr>
        <w:t>Biometric systems:</w:t>
      </w:r>
      <w:r w:rsidRPr="226BA004">
        <w:rPr>
          <w:rFonts w:ascii="BureauGrot Light" w:hAnsi="BureauGrot Light"/>
        </w:rPr>
        <w:t xml:space="preserve"> Biometric AI systems use algorithms and associated hardware to capture and analyse human characteristics and features, often without prior notice and explicit consent. Facial recognition technology, a subset of biometrics, can be used to identify, verify, and categorise an individual. The explosion in police use of this technology has vastly outpaced any attempt to regulate it and there is still no overarching legislation governing its use. Facial recognition is redefining our right to privacy in public sp</w:t>
      </w:r>
      <w:r w:rsidRPr="226BA004">
        <w:rPr>
          <w:rFonts w:ascii="BureauGrot Light" w:hAnsi="BureauGrot Light"/>
        </w:rPr>
        <w:t>aces, significantly undermining our privacy and freedom of assembly rights.</w:t>
      </w:r>
    </w:p>
    <w:p w:rsidR="00D25D19" w:rsidP="000843FF">
      <w:pPr>
        <w:pStyle w:val="ListParagraph"/>
        <w:jc w:val="both"/>
        <w:rPr>
          <w:rFonts w:ascii="BureauGrot Light" w:hAnsi="BureauGrot Light"/>
        </w:rPr>
      </w:pPr>
    </w:p>
    <w:p w:rsidR="00D25D19" w:rsidP="0036262B">
      <w:pPr>
        <w:pStyle w:val="ListParagraph"/>
        <w:numPr>
          <w:ilvl w:val="0"/>
          <w:numId w:val="35"/>
        </w:numPr>
        <w:jc w:val="both"/>
        <w:rPr>
          <w:rFonts w:ascii="BureauGrot Light" w:hAnsi="BureauGrot Light"/>
        </w:rPr>
      </w:pPr>
      <w:r w:rsidRPr="007577CD">
        <w:rPr>
          <w:rFonts w:ascii="BureauGrot Light" w:hAnsi="BureauGrot Light"/>
          <w:b/>
          <w:bCs/>
        </w:rPr>
        <w:t>AI agents:</w:t>
      </w:r>
      <w:r w:rsidRPr="007577CD">
        <w:rPr>
          <w:rFonts w:ascii="BureauGrot Light" w:hAnsi="BureauGrot Light"/>
        </w:rPr>
        <w:t xml:space="preserve"> AI agents are systems that typically use machine learning, natural language processing and reasoning algorithms to perform tasks on behalf of a user or another system.</w:t>
      </w:r>
      <w:r>
        <w:rPr>
          <w:rStyle w:val="FootnoteReference"/>
          <w:rFonts w:ascii="BureauGrot Light" w:hAnsi="BureauGrot Light"/>
        </w:rPr>
        <w:footnoteReference w:id="19"/>
      </w:r>
      <w:r w:rsidRPr="007577CD">
        <w:rPr>
          <w:rFonts w:ascii="BureauGrot Light" w:hAnsi="BureauGrot Light"/>
        </w:rPr>
        <w:t xml:space="preserve"> OpenAI claims its agent can fill out forms, order groceries, and perform other browser-based tasks – whether it has been successful yet is dubious.</w:t>
      </w:r>
      <w:r>
        <w:rPr>
          <w:rStyle w:val="FootnoteReference"/>
          <w:rFonts w:ascii="BureauGrot Light" w:hAnsi="BureauGrot Light"/>
        </w:rPr>
        <w:footnoteReference w:id="20"/>
      </w:r>
      <w:r w:rsidRPr="007577CD">
        <w:rPr>
          <w:rFonts w:ascii="BureauGrot Light" w:hAnsi="BureauGrot Light"/>
        </w:rPr>
        <w:t xml:space="preserve"> Signal’s President Meredith Whittaker has noted ‘there’s a profound issue with security and privacy that is haunting the hype around these agents.’</w:t>
      </w:r>
      <w:r>
        <w:rPr>
          <w:rStyle w:val="FootnoteReference"/>
          <w:rFonts w:ascii="BureauGrot Light" w:hAnsi="BureauGrot Light"/>
        </w:rPr>
        <w:footnoteReference w:id="21"/>
      </w:r>
      <w:r w:rsidRPr="007577CD">
        <w:rPr>
          <w:rFonts w:ascii="BureauGrot Light" w:hAnsi="BureauGrot Light"/>
        </w:rPr>
        <w:t xml:space="preserve"> These agentic systems require highly structured pools of data to work, meaning companies will have to ‘</w:t>
      </w:r>
      <w:r w:rsidRPr="007577CD">
        <w:rPr>
          <w:rFonts w:ascii="BureauGrot Light" w:hAnsi="BureauGrot Light"/>
        </w:rPr>
        <w:t>datify</w:t>
      </w:r>
      <w:r w:rsidRPr="007577CD">
        <w:rPr>
          <w:rFonts w:ascii="BureauGrot Light" w:hAnsi="BureauGrot Light"/>
        </w:rPr>
        <w:t>’ their practices and workflows to turn them into data on which the system can be trained.</w:t>
      </w:r>
      <w:r>
        <w:rPr>
          <w:rStyle w:val="FootnoteReference"/>
          <w:rFonts w:ascii="BureauGrot Light" w:hAnsi="BureauGrot Light"/>
        </w:rPr>
        <w:footnoteReference w:id="22"/>
      </w:r>
      <w:r w:rsidRPr="007577CD">
        <w:rPr>
          <w:rFonts w:ascii="BureauGrot Light" w:hAnsi="BureauGrot Light"/>
        </w:rPr>
        <w:t xml:space="preserve"> This will require companies and potentially public services to collect more data and become more surveillant of its workers and users. </w:t>
      </w:r>
    </w:p>
    <w:p w:rsidR="00D25D19" w:rsidP="0036262B">
      <w:pPr>
        <w:pStyle w:val="ListParagraph"/>
        <w:jc w:val="both"/>
        <w:rPr>
          <w:rFonts w:ascii="BureauGrot Light" w:hAnsi="BureauGrot Light"/>
        </w:rPr>
      </w:pPr>
    </w:p>
    <w:p w:rsidR="00D25D19" w:rsidRPr="00E74C40" w:rsidP="0036262B">
      <w:pPr>
        <w:pStyle w:val="ListParagraph"/>
        <w:numPr>
          <w:ilvl w:val="0"/>
          <w:numId w:val="35"/>
        </w:numPr>
        <w:jc w:val="both"/>
        <w:rPr>
          <w:rFonts w:ascii="BureauGrot Light" w:hAnsi="BureauGrot Light"/>
        </w:rPr>
      </w:pPr>
      <w:r w:rsidRPr="00E74C40">
        <w:rPr>
          <w:rFonts w:ascii="BureauGrot Light" w:hAnsi="BureauGrot Light"/>
          <w:b/>
          <w:bCs/>
        </w:rPr>
        <w:t>Leaky generative AI systems</w:t>
      </w:r>
      <w:r w:rsidRPr="00E74C40">
        <w:rPr>
          <w:rFonts w:ascii="BureauGrot Light" w:hAnsi="BureauGrot Light"/>
        </w:rPr>
        <w:t>: Leakage occurs when the information fed into a model during training can later be accessed and extracted – another threat to privacy.</w:t>
      </w:r>
      <w:r>
        <w:rPr>
          <w:rStyle w:val="FootnoteReference"/>
          <w:rFonts w:ascii="BureauGrot Light" w:hAnsi="BureauGrot Light"/>
        </w:rPr>
        <w:footnoteReference w:id="23"/>
      </w:r>
      <w:r w:rsidRPr="00E74C40">
        <w:rPr>
          <w:rFonts w:ascii="BureauGrot Light" w:hAnsi="BureauGrot Light"/>
        </w:rPr>
        <w:t xml:space="preserve"> The attack of these AI models is called adversarial machine learning. Data privacy expert Damien Desfontaines has noted ‘attackers are winning against the defenders by a comfortable margin.’</w:t>
      </w:r>
      <w:r>
        <w:rPr>
          <w:rStyle w:val="FootnoteReference"/>
          <w:rFonts w:ascii="BureauGrot Light" w:hAnsi="BureauGrot Light"/>
        </w:rPr>
        <w:footnoteReference w:id="24"/>
      </w:r>
      <w:r w:rsidRPr="00E74C40">
        <w:rPr>
          <w:rFonts w:ascii="BureauGrot Light" w:hAnsi="BureauGrot Light"/>
        </w:rPr>
        <w:t xml:space="preserve"> </w:t>
      </w:r>
    </w:p>
    <w:p w:rsidR="00D25D19" w:rsidRPr="004C1A02" w:rsidP="0036262B">
      <w:pPr>
        <w:jc w:val="both"/>
        <w:rPr>
          <w:rFonts w:ascii="BureauGrotCondensed" w:hAnsi="BureauGrotCondensed"/>
          <w:b/>
          <w:bCs/>
          <w:sz w:val="28"/>
          <w:szCs w:val="28"/>
        </w:rPr>
      </w:pPr>
      <w:r w:rsidRPr="004C1A02">
        <w:rPr>
          <w:rFonts w:ascii="BureauGrotCondensed" w:hAnsi="BureauGrotCondensed"/>
          <w:b/>
          <w:bCs/>
          <w:sz w:val="28"/>
          <w:szCs w:val="28"/>
        </w:rPr>
        <w:t xml:space="preserve">Discrimination and bias </w:t>
      </w:r>
    </w:p>
    <w:p w:rsidR="00D25D19" w:rsidP="0036262B">
      <w:pPr>
        <w:pStyle w:val="ListParagraph"/>
        <w:numPr>
          <w:ilvl w:val="0"/>
          <w:numId w:val="35"/>
        </w:numPr>
        <w:jc w:val="both"/>
        <w:rPr>
          <w:rFonts w:ascii="BureauGrot Light" w:hAnsi="BureauGrot Light"/>
        </w:rPr>
      </w:pPr>
      <w:r w:rsidRPr="00E74C40">
        <w:rPr>
          <w:rFonts w:ascii="BureauGrot Light" w:hAnsi="BureauGrot Light"/>
        </w:rPr>
        <w:t xml:space="preserve">The right to equality and non-discrimination is foundational in international human rights </w:t>
      </w:r>
      <w:r>
        <w:rPr>
          <w:rFonts w:ascii="BureauGrot Light" w:hAnsi="BureauGrot Light"/>
        </w:rPr>
        <w:t>frameworks</w:t>
      </w:r>
      <w:r w:rsidRPr="00E74C40">
        <w:rPr>
          <w:rFonts w:ascii="BureauGrot Light" w:hAnsi="BureauGrot Light"/>
        </w:rPr>
        <w:t>. Article 14 of the ECHR prohibits discrimination: ‘the enjoyment of the rights and freedoms set forth in this Convention shall be secured without discrimination on any ground such as sex, race, colour, language, religion, political or other opinion, national or social origin, association with a national minority, property, birth or other status.’</w:t>
      </w:r>
      <w:r>
        <w:rPr>
          <w:rStyle w:val="FootnoteReference"/>
          <w:rFonts w:ascii="BureauGrot Light" w:hAnsi="BureauGrot Light"/>
        </w:rPr>
        <w:footnoteReference w:id="25"/>
      </w:r>
      <w:r w:rsidRPr="00E74C40">
        <w:rPr>
          <w:rFonts w:ascii="BureauGrot Light" w:hAnsi="BureauGrot Light"/>
        </w:rPr>
        <w:t xml:space="preserve"> </w:t>
      </w:r>
    </w:p>
    <w:p w:rsidR="00D25D19" w:rsidP="0036262B">
      <w:pPr>
        <w:pStyle w:val="ListParagraph"/>
        <w:jc w:val="both"/>
        <w:rPr>
          <w:rFonts w:ascii="BureauGrot Light" w:hAnsi="BureauGrot Light"/>
        </w:rPr>
      </w:pPr>
    </w:p>
    <w:p w:rsidR="00D25D19" w:rsidP="0036262B">
      <w:pPr>
        <w:pStyle w:val="ListParagraph"/>
        <w:numPr>
          <w:ilvl w:val="0"/>
          <w:numId w:val="35"/>
        </w:numPr>
        <w:jc w:val="both"/>
        <w:rPr>
          <w:rFonts w:ascii="BureauGrot Light" w:hAnsi="BureauGrot Light"/>
        </w:rPr>
      </w:pPr>
      <w:r w:rsidRPr="001D3FF5">
        <w:rPr>
          <w:rFonts w:ascii="BureauGrot Light" w:hAnsi="BureauGrot Light"/>
        </w:rPr>
        <w:t>People in the UK are also protected against discrimination on the grounds of age, disability, gender reassignment, marriage and civil partnership, pregnancy and maternity, race, religion or belief, sex, and sexual orientation by the Equality Act 2010 in employment, education, accessing goods and services, and public functions.</w:t>
      </w:r>
      <w:r>
        <w:rPr>
          <w:rStyle w:val="FootnoteReference"/>
          <w:rFonts w:ascii="BureauGrot Light" w:hAnsi="BureauGrot Light"/>
        </w:rPr>
        <w:footnoteReference w:id="26"/>
      </w:r>
    </w:p>
    <w:p w:rsidR="00D25D19" w:rsidRPr="00373416" w:rsidP="0036262B">
      <w:pPr>
        <w:pStyle w:val="ListParagraph"/>
        <w:rPr>
          <w:rFonts w:ascii="BureauGrot Light" w:hAnsi="BureauGrot Light"/>
        </w:rPr>
      </w:pPr>
    </w:p>
    <w:p w:rsidR="00D25D19" w:rsidP="0036262B">
      <w:pPr>
        <w:pStyle w:val="ListParagraph"/>
        <w:numPr>
          <w:ilvl w:val="0"/>
          <w:numId w:val="35"/>
        </w:numPr>
        <w:jc w:val="both"/>
        <w:rPr>
          <w:rFonts w:ascii="BureauGrot Light" w:hAnsi="BureauGrot Light"/>
        </w:rPr>
      </w:pPr>
      <w:r w:rsidRPr="00373416">
        <w:rPr>
          <w:rFonts w:ascii="BureauGrot Light" w:hAnsi="BureauGrot Light"/>
        </w:rPr>
        <w:t xml:space="preserve">Almost every part of an AI system, from the data collection and model design to the use and implementation, can cause discrimination and be affected by (and therefore impose further) bias. It is therefore essential that the Government looks at the discrimination risk of these systems holistically and throughout a system’s lifecycle. </w:t>
      </w:r>
    </w:p>
    <w:p w:rsidR="00D25D19" w:rsidRPr="006D095B" w:rsidP="0036262B">
      <w:pPr>
        <w:pStyle w:val="ListParagraph"/>
        <w:rPr>
          <w:rFonts w:ascii="BureauGrot Light" w:hAnsi="BureauGrot Light"/>
        </w:rPr>
      </w:pPr>
    </w:p>
    <w:p w:rsidR="00D25D19" w:rsidRPr="006D095B" w:rsidP="0036262B">
      <w:pPr>
        <w:pStyle w:val="ListParagraph"/>
        <w:numPr>
          <w:ilvl w:val="0"/>
          <w:numId w:val="35"/>
        </w:numPr>
        <w:jc w:val="both"/>
        <w:rPr>
          <w:rFonts w:ascii="BureauGrot Light" w:hAnsi="BureauGrot Light"/>
        </w:rPr>
      </w:pPr>
      <w:r w:rsidRPr="006D095B">
        <w:rPr>
          <w:rFonts w:ascii="BureauGrot Light" w:hAnsi="BureauGrot Light"/>
        </w:rPr>
        <w:t xml:space="preserve">There have already been many documented cases, in the UK and globally, of AI-driven discrimination. This will only intensify as AI-adoption increases across the economy and the state unless we change course. The UK’s unregulated use of predictive, profiling, and risk assessment algorithmic systems in policing, welfare, and immigration enforcement risks increasing discrimination against marginalised groups. </w:t>
      </w:r>
    </w:p>
    <w:p w:rsidR="00D25D19" w:rsidRPr="004C1A02" w:rsidP="0036262B">
      <w:pPr>
        <w:jc w:val="both"/>
        <w:rPr>
          <w:rFonts w:ascii="BureauGrot Light" w:hAnsi="BureauGrot Light"/>
        </w:rPr>
      </w:pPr>
      <w:r w:rsidRPr="004C1A02">
        <w:rPr>
          <w:rFonts w:ascii="BureauGrot Light" w:hAnsi="BureauGrot Light"/>
          <w:b/>
          <w:bCs/>
        </w:rPr>
        <w:t>Predictive analytics</w:t>
      </w:r>
      <w:r w:rsidRPr="004C1A02">
        <w:rPr>
          <w:rFonts w:ascii="BureauGrot Light" w:hAnsi="BureauGrot Light"/>
        </w:rPr>
        <w:t xml:space="preserve"> </w:t>
      </w:r>
    </w:p>
    <w:p w:rsidR="00D25D19" w:rsidRPr="006D095B" w:rsidP="0036262B">
      <w:pPr>
        <w:pStyle w:val="ListParagraph"/>
        <w:numPr>
          <w:ilvl w:val="0"/>
          <w:numId w:val="35"/>
        </w:numPr>
        <w:jc w:val="both"/>
        <w:rPr>
          <w:rFonts w:ascii="BureauGrot Light" w:hAnsi="BureauGrot Light"/>
        </w:rPr>
      </w:pPr>
      <w:r w:rsidRPr="006D095B">
        <w:rPr>
          <w:rFonts w:ascii="BureauGrot Light" w:hAnsi="BureauGrot Light"/>
        </w:rPr>
        <w:t>Predictive AI uses statistical analysis and machine learning to identify patterns, anticipate behaviours, and forecast upcoming events. This tech has been used across the public sector, including by the Department for Work and Pensions and police forces across the country. The UN High Commissioner for Human Rights has noted ‘predictive tools carry an inherent risk of perpetuating or even enhancing discrimination, reflecting embedded racial and ethnic bias in the data sets used, such as a disproportionate fo</w:t>
      </w:r>
      <w:r w:rsidRPr="006D095B">
        <w:rPr>
          <w:rFonts w:ascii="BureauGrot Light" w:hAnsi="BureauGrot Light"/>
        </w:rPr>
        <w:t>cus of policing of certain minorities.’</w:t>
      </w:r>
      <w:r>
        <w:rPr>
          <w:rStyle w:val="FootnoteReference"/>
          <w:rFonts w:ascii="BureauGrot Light" w:hAnsi="BureauGrot Light"/>
        </w:rPr>
        <w:footnoteReference w:id="27"/>
      </w:r>
    </w:p>
    <w:p w:rsidR="00D25D19" w:rsidRPr="004C1A02" w:rsidP="0036262B">
      <w:pPr>
        <w:jc w:val="both"/>
        <w:rPr>
          <w:rFonts w:ascii="BureauGrot Light" w:hAnsi="BureauGrot Light"/>
        </w:rPr>
      </w:pPr>
      <w:r w:rsidRPr="004C1A02">
        <w:rPr>
          <w:rFonts w:ascii="BureauGrot Light" w:hAnsi="BureauGrot Light"/>
          <w:b/>
          <w:bCs/>
        </w:rPr>
        <w:t>Predictive mapping</w:t>
      </w:r>
      <w:r w:rsidRPr="004C1A02">
        <w:rPr>
          <w:rFonts w:ascii="BureauGrot Light" w:hAnsi="BureauGrot Light"/>
        </w:rPr>
        <w:t xml:space="preserve"> </w:t>
      </w:r>
    </w:p>
    <w:p w:rsidR="00D25D19" w:rsidRPr="00D37876" w:rsidP="0036262B">
      <w:pPr>
        <w:pStyle w:val="ListParagraph"/>
        <w:numPr>
          <w:ilvl w:val="0"/>
          <w:numId w:val="35"/>
        </w:numPr>
        <w:jc w:val="both"/>
        <w:rPr>
          <w:rFonts w:ascii="BureauGrot Light" w:hAnsi="BureauGrot Light"/>
        </w:rPr>
      </w:pPr>
      <w:r w:rsidRPr="00D37876">
        <w:rPr>
          <w:rFonts w:ascii="BureauGrot Light" w:hAnsi="BureauGrot Light"/>
        </w:rPr>
        <w:t xml:space="preserve">Predictive mapping programs evaluate police data about past crimes and identify ‘hot </w:t>
      </w:r>
      <w:r w:rsidRPr="00D37876">
        <w:rPr>
          <w:rFonts w:ascii="BureauGrot Light" w:hAnsi="BureauGrot Light"/>
        </w:rPr>
        <w:t>spots’</w:t>
      </w:r>
      <w:r w:rsidRPr="00D37876">
        <w:rPr>
          <w:rFonts w:ascii="BureauGrot Light" w:hAnsi="BureauGrot Light"/>
        </w:rPr>
        <w:t xml:space="preserve"> or boxes of high-risk areas on a map. Police officers are then directed to patrol these areas, which are often communities that are over-policed (i.e. they are subject to policing interventions which are disproportionate to the level of crime in that area). As noted above, the data collected and analysed by pattern recognition algorithms will reflect historic discrimination and over-policing. This can create a feedback loop, where over-policing leads to more area data collection which leads to more o</w:t>
      </w:r>
      <w:r w:rsidRPr="00D37876">
        <w:rPr>
          <w:rFonts w:ascii="BureauGrot Light" w:hAnsi="BureauGrot Light"/>
        </w:rPr>
        <w:t xml:space="preserve">ver-policing. Amnesty International’s </w:t>
      </w:r>
      <w:r w:rsidRPr="00D37876">
        <w:rPr>
          <w:rFonts w:ascii="BureauGrot Light" w:hAnsi="BureauGrot Light"/>
        </w:rPr>
        <w:t>recent Automated Racism report found these systems were leading to ‘the repeated targeting of more deprived areas, including areas with higher populations of Black and racialised people, and the targeting of individuals from Black and racialised and more deprived backgrounds.’</w:t>
      </w:r>
      <w:r>
        <w:rPr>
          <w:rStyle w:val="FootnoteReference"/>
          <w:rFonts w:ascii="BureauGrot Light" w:hAnsi="BureauGrot Light"/>
        </w:rPr>
        <w:footnoteReference w:id="28"/>
      </w:r>
    </w:p>
    <w:p w:rsidR="00D25D19" w:rsidRPr="004C1A02" w:rsidP="0036262B">
      <w:pPr>
        <w:jc w:val="both"/>
        <w:rPr>
          <w:rFonts w:ascii="BureauGrot Light" w:hAnsi="BureauGrot Light"/>
          <w:b/>
          <w:bCs/>
        </w:rPr>
      </w:pPr>
      <w:r w:rsidRPr="004C1A02">
        <w:rPr>
          <w:rFonts w:ascii="BureauGrot Light" w:hAnsi="BureauGrot Light"/>
          <w:b/>
          <w:bCs/>
        </w:rPr>
        <w:t>Individual risk assessment</w:t>
      </w:r>
    </w:p>
    <w:p w:rsidR="00D25D19" w:rsidP="0036262B">
      <w:pPr>
        <w:pStyle w:val="ListParagraph"/>
        <w:numPr>
          <w:ilvl w:val="0"/>
          <w:numId w:val="35"/>
        </w:numPr>
        <w:jc w:val="both"/>
        <w:rPr>
          <w:rFonts w:ascii="BureauGrot Light" w:hAnsi="BureauGrot Light"/>
        </w:rPr>
      </w:pPr>
      <w:r w:rsidRPr="00D37876">
        <w:rPr>
          <w:rFonts w:ascii="BureauGrot Light" w:hAnsi="BureauGrot Light"/>
        </w:rPr>
        <w:t xml:space="preserve">Individual risk assessment programs predict how people will behave, including whether they are likely to commit, or even be victims of, certain crimes. </w:t>
      </w:r>
    </w:p>
    <w:p w:rsidR="00D25D19" w:rsidP="0036262B">
      <w:pPr>
        <w:pStyle w:val="ListParagraph"/>
        <w:jc w:val="both"/>
        <w:rPr>
          <w:rFonts w:ascii="BureauGrot Light" w:hAnsi="BureauGrot Light"/>
        </w:rPr>
      </w:pPr>
    </w:p>
    <w:p w:rsidR="00D25D19" w:rsidP="0036262B">
      <w:pPr>
        <w:pStyle w:val="ListParagraph"/>
        <w:numPr>
          <w:ilvl w:val="0"/>
          <w:numId w:val="35"/>
        </w:numPr>
        <w:jc w:val="both"/>
        <w:rPr>
          <w:rFonts w:ascii="BureauGrot Light" w:hAnsi="BureauGrot Light"/>
        </w:rPr>
      </w:pPr>
      <w:r w:rsidRPr="00D37876">
        <w:rPr>
          <w:rFonts w:ascii="BureauGrot Light" w:hAnsi="BureauGrot Light"/>
        </w:rPr>
        <w:t>Durham Constabulary’s Harm Assessment Risk Tool (HART) has been used to attempt to predict individuals’ risk of re-offending since 2017. A 2018 study of HART found that some of the data used in the model ‘could be viewed as indirectly related to measures of community deprivation’</w:t>
      </w:r>
      <w:r>
        <w:rPr>
          <w:rStyle w:val="FootnoteReference"/>
          <w:rFonts w:ascii="BureauGrot Light" w:hAnsi="BureauGrot Light"/>
        </w:rPr>
        <w:footnoteReference w:id="29"/>
      </w:r>
      <w:r w:rsidRPr="00D37876">
        <w:rPr>
          <w:rFonts w:ascii="BureauGrot Light" w:hAnsi="BureauGrot Light"/>
        </w:rPr>
        <w:t>, and that the system was ‘deliberately overestimating the risk’ of some offenders.</w:t>
      </w:r>
      <w:r>
        <w:rPr>
          <w:rStyle w:val="FootnoteReference"/>
          <w:rFonts w:ascii="BureauGrot Light" w:hAnsi="BureauGrot Light"/>
        </w:rPr>
        <w:footnoteReference w:id="30"/>
      </w:r>
      <w:r w:rsidRPr="00D37876">
        <w:rPr>
          <w:rFonts w:ascii="BureauGrot Light" w:hAnsi="BureauGrot Light"/>
        </w:rPr>
        <w:t xml:space="preserve"> A Big Brother Watch investigation in 2018 found the system was also using racist and discriminatory data profiles as part of its predictions.</w:t>
      </w:r>
      <w:r>
        <w:rPr>
          <w:rStyle w:val="FootnoteReference"/>
          <w:rFonts w:ascii="BureauGrot Light" w:hAnsi="BureauGrot Light"/>
        </w:rPr>
        <w:footnoteReference w:id="31"/>
      </w:r>
      <w:r w:rsidRPr="226BA004">
        <w:rPr>
          <w:rStyle w:val="FootnoteReference"/>
          <w:rFonts w:ascii="BureauGrot Light" w:hAnsi="BureauGrot Light"/>
        </w:rPr>
        <w:t xml:space="preserve"> </w:t>
      </w:r>
    </w:p>
    <w:p w:rsidR="00D25D19" w:rsidRPr="00523438" w:rsidP="0036262B">
      <w:pPr>
        <w:pStyle w:val="ListParagraph"/>
        <w:rPr>
          <w:rFonts w:ascii="BureauGrot Light" w:hAnsi="BureauGrot Light"/>
        </w:rPr>
      </w:pPr>
    </w:p>
    <w:p w:rsidR="00D25D19" w:rsidP="00A47FBC">
      <w:pPr>
        <w:pStyle w:val="ListParagraph"/>
        <w:numPr>
          <w:ilvl w:val="0"/>
          <w:numId w:val="35"/>
        </w:numPr>
        <w:jc w:val="both"/>
        <w:rPr>
          <w:rFonts w:ascii="BureauGrot Light" w:hAnsi="BureauGrot Light"/>
        </w:rPr>
      </w:pPr>
      <w:r w:rsidRPr="00523438">
        <w:rPr>
          <w:rFonts w:ascii="BureauGrot Light" w:hAnsi="BureauGrot Light"/>
        </w:rPr>
        <w:t xml:space="preserve">The Department for Work and Pensions (DWP) </w:t>
      </w:r>
      <w:r w:rsidRPr="00523438">
        <w:rPr>
          <w:rFonts w:ascii="BureauGrot Light" w:hAnsi="BureauGrot Light"/>
        </w:rPr>
        <w:t>use</w:t>
      </w:r>
      <w:r>
        <w:rPr>
          <w:rFonts w:ascii="BureauGrot Light" w:hAnsi="BureauGrot Light"/>
        </w:rPr>
        <w:t>s</w:t>
      </w:r>
      <w:r w:rsidRPr="00523438">
        <w:rPr>
          <w:rFonts w:ascii="BureauGrot Light" w:hAnsi="BureauGrot Light"/>
        </w:rPr>
        <w:t xml:space="preserve"> predictive algorithms when assessing benefits claims to try to predict fraud risk. In 2024, it emerged that 200,000 people were wrongly flagged as high risk and subjected to an investigation for housing benefit fraud.</w:t>
      </w:r>
      <w:r>
        <w:rPr>
          <w:rStyle w:val="FootnoteReference"/>
          <w:rFonts w:ascii="BureauGrot Light" w:hAnsi="BureauGrot Light"/>
        </w:rPr>
        <w:footnoteReference w:id="32"/>
      </w:r>
      <w:r w:rsidRPr="00523438">
        <w:rPr>
          <w:rFonts w:ascii="BureauGrot Light" w:hAnsi="BureauGrot Light"/>
        </w:rPr>
        <w:t xml:space="preserve"> The DWP have also been caught using biased algorithms that unfairly target disabled people for benefit fraud investigations.</w:t>
      </w:r>
      <w:r>
        <w:rPr>
          <w:rStyle w:val="FootnoteReference"/>
          <w:rFonts w:ascii="BureauGrot Light" w:hAnsi="BureauGrot Light"/>
        </w:rPr>
        <w:footnoteReference w:id="33"/>
      </w:r>
      <w:r w:rsidRPr="00523438">
        <w:rPr>
          <w:rFonts w:ascii="BureauGrot Light" w:hAnsi="BureauGrot Light"/>
        </w:rPr>
        <w:t xml:space="preserve"> In 2024, a senior DWP official admitted ‘the systems do have biases in; the issue is whether they are biases that are not allowed in the law, because you have to bias to catch fraudsters’ in a Work and Pensions select committee session.</w:t>
      </w:r>
      <w:r>
        <w:rPr>
          <w:rStyle w:val="FootnoteReference"/>
          <w:rFonts w:ascii="BureauGrot Light" w:hAnsi="BureauGrot Light"/>
        </w:rPr>
        <w:footnoteReference w:id="34"/>
      </w:r>
    </w:p>
    <w:p w:rsidR="00D25D19" w:rsidRPr="008A31CB" w:rsidP="008A31CB">
      <w:pPr>
        <w:jc w:val="both"/>
        <w:rPr>
          <w:rFonts w:ascii="BureauGrot Light" w:hAnsi="BureauGrot Light"/>
        </w:rPr>
      </w:pPr>
    </w:p>
    <w:p w:rsidR="00D25D19" w:rsidP="0036262B">
      <w:pPr>
        <w:pStyle w:val="ListParagraph"/>
        <w:numPr>
          <w:ilvl w:val="0"/>
          <w:numId w:val="35"/>
        </w:numPr>
        <w:jc w:val="both"/>
        <w:rPr>
          <w:rFonts w:ascii="BureauGrot Light" w:hAnsi="BureauGrot Light"/>
        </w:rPr>
      </w:pPr>
      <w:r w:rsidRPr="00F422EA">
        <w:rPr>
          <w:rFonts w:ascii="BureauGrot Light" w:hAnsi="BureauGrot Light"/>
        </w:rPr>
        <w:t>The Home Office uses predictive tools in immigration enforcement. Work by the Public Law Project found the Home Office were using tools to recommend and prioritise immigration casework, which informed decisions related to detention, removal, and denial of services.</w:t>
      </w:r>
      <w:r>
        <w:rPr>
          <w:rStyle w:val="FootnoteReference"/>
          <w:rFonts w:ascii="BureauGrot Light" w:hAnsi="BureauGrot Light"/>
        </w:rPr>
        <w:footnoteReference w:id="35"/>
      </w:r>
      <w:r w:rsidRPr="00F422EA">
        <w:rPr>
          <w:rFonts w:ascii="BureauGrot Light" w:hAnsi="BureauGrot Light"/>
        </w:rPr>
        <w:t xml:space="preserve"> We do not know the discriminatory impact of these predictive systems, given the Home </w:t>
      </w:r>
      <w:r w:rsidRPr="00F422EA">
        <w:rPr>
          <w:rFonts w:ascii="BureauGrot Light" w:hAnsi="BureauGrot Light"/>
        </w:rPr>
        <w:t xml:space="preserve">Office’s secrecy about their use, but we would suggest immigration enforcement is a high-risk arena in which to use such systems. </w:t>
      </w:r>
    </w:p>
    <w:p w:rsidR="00D25D19" w:rsidP="0036262B">
      <w:pPr>
        <w:pStyle w:val="ListParagraph"/>
        <w:jc w:val="both"/>
        <w:rPr>
          <w:rFonts w:ascii="BureauGrot Light" w:hAnsi="BureauGrot Light"/>
        </w:rPr>
      </w:pPr>
    </w:p>
    <w:p w:rsidR="00D25D19" w:rsidP="0036262B">
      <w:pPr>
        <w:pStyle w:val="ListParagraph"/>
        <w:numPr>
          <w:ilvl w:val="0"/>
          <w:numId w:val="35"/>
        </w:numPr>
        <w:jc w:val="both"/>
        <w:rPr>
          <w:rFonts w:ascii="BureauGrot Light" w:hAnsi="BureauGrot Light"/>
        </w:rPr>
      </w:pPr>
      <w:r w:rsidRPr="00206E22">
        <w:rPr>
          <w:rFonts w:ascii="BureauGrot Light" w:hAnsi="BureauGrot Light"/>
        </w:rPr>
        <w:t xml:space="preserve">These are all examples of high-risk situations in which the state has been using predictive tools to assist and inform decisions that </w:t>
      </w:r>
      <w:r>
        <w:rPr>
          <w:rFonts w:ascii="BureauGrot Light" w:hAnsi="BureauGrot Light"/>
        </w:rPr>
        <w:t xml:space="preserve">deeply impact </w:t>
      </w:r>
      <w:r w:rsidRPr="00206E22">
        <w:rPr>
          <w:rFonts w:ascii="BureauGrot Light" w:hAnsi="BureauGrot Light"/>
        </w:rPr>
        <w:t xml:space="preserve">people’s lives. Their use is often hidden from public scrutiny, the subjects of data processing have no meaningful ability to consent to this processing, and there is no effective mechanism to assess such systems’ discriminatory impact. NGOs are often left to fill this transparency gap using freedom of information requests. </w:t>
      </w:r>
    </w:p>
    <w:p w:rsidR="00D25D19" w:rsidRPr="009A0837" w:rsidP="0036262B">
      <w:pPr>
        <w:pStyle w:val="ListParagraph"/>
        <w:rPr>
          <w:rFonts w:ascii="BureauGrot Light" w:hAnsi="BureauGrot Light"/>
        </w:rPr>
      </w:pPr>
    </w:p>
    <w:p w:rsidR="00D25D19" w:rsidRPr="009A0837" w:rsidP="0036262B">
      <w:pPr>
        <w:pStyle w:val="ListParagraph"/>
        <w:numPr>
          <w:ilvl w:val="0"/>
          <w:numId w:val="35"/>
        </w:numPr>
        <w:jc w:val="both"/>
        <w:rPr>
          <w:rFonts w:ascii="BureauGrot Light" w:hAnsi="BureauGrot Light"/>
        </w:rPr>
      </w:pPr>
      <w:r w:rsidRPr="009A0837">
        <w:rPr>
          <w:rFonts w:ascii="BureauGrot Light" w:hAnsi="BureauGrot Light"/>
        </w:rPr>
        <w:t>The Government did establish the Algorithmic Transparency Recording Standard, which is supposed to record and share information about how the public sector uses algorithmic tools. However, this is only guidance to departments and compliance is not required by statute. This has led to low compliance. The Home Office has only submitted one report</w:t>
      </w:r>
      <w:r>
        <w:rPr>
          <w:rFonts w:ascii="BureauGrot Light" w:hAnsi="BureauGrot Light"/>
        </w:rPr>
        <w:t xml:space="preserve"> to the Standards Hub</w:t>
      </w:r>
      <w:r w:rsidRPr="009A0837">
        <w:rPr>
          <w:rFonts w:ascii="BureauGrot Light" w:hAnsi="BureauGrot Light"/>
        </w:rPr>
        <w:t>, and the Department for Work and Pensions has only submitted four.</w:t>
      </w:r>
      <w:r>
        <w:rPr>
          <w:rStyle w:val="FootnoteReference"/>
          <w:rFonts w:ascii="BureauGrot Light" w:hAnsi="BureauGrot Light"/>
        </w:rPr>
        <w:footnoteReference w:id="36"/>
      </w:r>
      <w:r w:rsidRPr="009A0837">
        <w:rPr>
          <w:rFonts w:ascii="BureauGrot Light" w:hAnsi="BureauGrot Light"/>
        </w:rPr>
        <w:t xml:space="preserve"> The Government should create a legal duty in forthcoming AI regulation for government departments and public authorities to submit reports. </w:t>
      </w:r>
    </w:p>
    <w:p w:rsidR="00D25D19" w:rsidRPr="00F6502D" w:rsidP="0036262B">
      <w:pPr>
        <w:jc w:val="both"/>
        <w:rPr>
          <w:rFonts w:ascii="BureauGrotCondensed" w:hAnsi="BureauGrotCondensed"/>
          <w:b/>
          <w:bCs/>
          <w:sz w:val="28"/>
          <w:szCs w:val="28"/>
        </w:rPr>
      </w:pPr>
      <w:r w:rsidRPr="00F6502D">
        <w:rPr>
          <w:rFonts w:ascii="BureauGrotCondensed" w:hAnsi="BureauGrotCondensed"/>
          <w:b/>
          <w:bCs/>
          <w:sz w:val="28"/>
          <w:szCs w:val="28"/>
        </w:rPr>
        <w:t>Effective remedies for violations of human rights</w:t>
      </w:r>
    </w:p>
    <w:p w:rsidR="00D25D19" w:rsidP="0036262B">
      <w:pPr>
        <w:pStyle w:val="ListParagraph"/>
        <w:numPr>
          <w:ilvl w:val="0"/>
          <w:numId w:val="35"/>
        </w:numPr>
        <w:jc w:val="both"/>
        <w:rPr>
          <w:rFonts w:ascii="BureauGrot Light" w:hAnsi="BureauGrot Light"/>
        </w:rPr>
      </w:pPr>
      <w:r w:rsidRPr="005D13F0">
        <w:rPr>
          <w:rFonts w:ascii="BureauGrot Light" w:hAnsi="BureauGrot Light"/>
        </w:rPr>
        <w:t>The right to an effective remedy is a key human rights protection. It is enshrined in all major human rights treaties and serves as a procedural means to ensure that individuals can enforce their rights and obtain redress when their rights are interfered with or violated.</w:t>
      </w:r>
      <w:r>
        <w:rPr>
          <w:rStyle w:val="FootnoteReference"/>
          <w:rFonts w:ascii="BureauGrot Light" w:hAnsi="BureauGrot Light"/>
        </w:rPr>
        <w:footnoteReference w:id="37"/>
      </w:r>
      <w:r w:rsidRPr="005D13F0">
        <w:rPr>
          <w:rFonts w:ascii="BureauGrot Light" w:hAnsi="BureauGrot Light"/>
        </w:rPr>
        <w:t xml:space="preserve"> Remedy includes ‘effective reparation, appropriate accountability for those responsible’ and ‘measures to prevent recurrences’.</w:t>
      </w:r>
      <w:r>
        <w:rPr>
          <w:rStyle w:val="FootnoteReference"/>
          <w:rFonts w:ascii="BureauGrot Light" w:hAnsi="BureauGrot Light"/>
        </w:rPr>
        <w:footnoteReference w:id="38"/>
      </w:r>
      <w:r w:rsidRPr="005D13F0">
        <w:rPr>
          <w:rFonts w:ascii="BureauGrot Light" w:hAnsi="BureauGrot Light"/>
        </w:rPr>
        <w:t xml:space="preserve"> International law requires remedies to be available in law, accessible, and effective in practice. </w:t>
      </w:r>
    </w:p>
    <w:p w:rsidR="00D25D19" w:rsidP="0036262B">
      <w:pPr>
        <w:pStyle w:val="ListParagraph"/>
        <w:jc w:val="both"/>
        <w:rPr>
          <w:rFonts w:ascii="BureauGrot Light" w:hAnsi="BureauGrot Light"/>
        </w:rPr>
      </w:pPr>
    </w:p>
    <w:p w:rsidR="00D25D19" w:rsidP="0036262B">
      <w:pPr>
        <w:pStyle w:val="ListParagraph"/>
        <w:numPr>
          <w:ilvl w:val="0"/>
          <w:numId w:val="35"/>
        </w:numPr>
        <w:jc w:val="both"/>
        <w:rPr>
          <w:rFonts w:ascii="BureauGrot Light" w:hAnsi="BureauGrot Light"/>
        </w:rPr>
      </w:pPr>
      <w:r w:rsidRPr="005211AE">
        <w:rPr>
          <w:rFonts w:ascii="BureauGrot Light" w:hAnsi="BureauGrot Light"/>
        </w:rPr>
        <w:t xml:space="preserve">The groups most likely to be impacted by AI harms are the most marginalised in society, as noted above. Disabled people, welfare recipients, migrants, and people in the criminal justice system have already suffered from biased and unfair algorithm use in government bureaucracies. </w:t>
      </w:r>
    </w:p>
    <w:p w:rsidR="00D25D19" w:rsidRPr="005211AE" w:rsidP="0036262B">
      <w:pPr>
        <w:pStyle w:val="ListParagraph"/>
        <w:rPr>
          <w:rFonts w:ascii="BureauGrot Light" w:hAnsi="BureauGrot Light"/>
        </w:rPr>
      </w:pPr>
    </w:p>
    <w:p w:rsidR="00D25D19" w:rsidRPr="005211AE" w:rsidP="0036262B">
      <w:pPr>
        <w:pStyle w:val="ListParagraph"/>
        <w:numPr>
          <w:ilvl w:val="0"/>
          <w:numId w:val="35"/>
        </w:numPr>
        <w:jc w:val="both"/>
        <w:rPr>
          <w:rFonts w:ascii="BureauGrot Light" w:hAnsi="BureauGrot Light"/>
        </w:rPr>
      </w:pPr>
      <w:r w:rsidRPr="005211AE">
        <w:rPr>
          <w:rFonts w:ascii="BureauGrot Light" w:hAnsi="BureauGrot Light"/>
        </w:rPr>
        <w:t xml:space="preserve">Liberty believes remedy efficacy is the area that needs the most research, policy development, and investment from the Government. Across the world, we have many examples of AI systems violating privacy, discriminating against marginalised groups, and causing harm. We have vanishingly few (if, indeed, any) examples of effective remedy systems, holding those responsible for the harms accountability and offering victims sufficient redress. We analyse </w:t>
      </w:r>
      <w:r w:rsidRPr="005211AE">
        <w:rPr>
          <w:rFonts w:ascii="BureauGrot Light" w:hAnsi="BureauGrot Light"/>
        </w:rPr>
        <w:t xml:space="preserve">some of the available avenues for redress in UK law below, but none of them provide sufficient remedy for victims of AI harms. </w:t>
      </w:r>
    </w:p>
    <w:p w:rsidR="00D25D19" w:rsidRPr="001C5B85" w:rsidP="0036262B">
      <w:pPr>
        <w:jc w:val="both"/>
        <w:rPr>
          <w:rFonts w:ascii="BureauGrot Light" w:hAnsi="BureauGrot Light"/>
          <w:b/>
          <w:bCs/>
        </w:rPr>
      </w:pPr>
      <w:r w:rsidRPr="001C5B85">
        <w:rPr>
          <w:rFonts w:ascii="BureauGrot Light" w:hAnsi="BureauGrot Light"/>
          <w:b/>
          <w:bCs/>
        </w:rPr>
        <w:t xml:space="preserve">Sovereign AI </w:t>
      </w:r>
    </w:p>
    <w:p w:rsidR="00D25D19" w:rsidP="0036262B">
      <w:pPr>
        <w:pStyle w:val="ListParagraph"/>
        <w:numPr>
          <w:ilvl w:val="0"/>
          <w:numId w:val="35"/>
        </w:numPr>
        <w:jc w:val="both"/>
        <w:rPr>
          <w:rFonts w:ascii="BureauGrot Light" w:hAnsi="BureauGrot Light"/>
        </w:rPr>
      </w:pPr>
      <w:r w:rsidRPr="009951EC">
        <w:rPr>
          <w:rFonts w:ascii="BureauGrot Light" w:hAnsi="BureauGrot Light"/>
        </w:rPr>
        <w:t xml:space="preserve">Sovereign AI may be a helpful framework for establishing how AI can best meet people’s needs in the UK. Whilst this term has many uses, including to advocate domesticating the stack and buttress UK public sector tech use from hostile geopolitical interference, the tech advocacy group Sycamore Collective point towards another meaning. They suggest ‘Sovereign AI means that not only the government but people in the UK have a strong influence over the way in which the state chooses to approach the future of AI </w:t>
      </w:r>
      <w:r w:rsidRPr="009951EC">
        <w:rPr>
          <w:rFonts w:ascii="BureauGrot Light" w:hAnsi="BureauGrot Light"/>
        </w:rPr>
        <w:t>infrastructure and services both now and on an ongoing basis.’</w:t>
      </w:r>
      <w:r w:rsidRPr="009951EC">
        <w:rPr>
          <w:rStyle w:val="FootnoteReference"/>
          <w:rFonts w:ascii="BureauGrot Light" w:hAnsi="BureauGrot Light"/>
        </w:rPr>
        <w:t xml:space="preserve"> </w:t>
      </w:r>
      <w:r>
        <w:rPr>
          <w:rStyle w:val="FootnoteReference"/>
          <w:rFonts w:ascii="BureauGrot Light" w:hAnsi="BureauGrot Light"/>
        </w:rPr>
        <w:footnoteReference w:id="39"/>
      </w:r>
      <w:r w:rsidRPr="009951EC">
        <w:rPr>
          <w:rFonts w:ascii="BureauGrot Light" w:hAnsi="BureauGrot Light"/>
        </w:rPr>
        <w:t xml:space="preserve">  The Government’s commitment to democracy and human rights must check the ‘headlong rush into AI adoption across public services and wider society.’</w:t>
      </w:r>
      <w:r>
        <w:rPr>
          <w:rStyle w:val="FootnoteReference"/>
          <w:rFonts w:ascii="BureauGrot Light" w:hAnsi="BureauGrot Light"/>
        </w:rPr>
        <w:footnoteReference w:id="40"/>
      </w:r>
      <w:r w:rsidRPr="009951EC">
        <w:rPr>
          <w:rFonts w:ascii="BureauGrot Light" w:hAnsi="BureauGrot Light"/>
        </w:rPr>
        <w:t xml:space="preserve"> The Government must change their approach to AI adoption and begin engagement with and empowerment of the public, communities, workers, and individuals.</w:t>
      </w:r>
      <w:r>
        <w:rPr>
          <w:rStyle w:val="FootnoteReference"/>
          <w:rFonts w:ascii="BureauGrot Light" w:hAnsi="BureauGrot Light"/>
        </w:rPr>
        <w:footnoteReference w:id="41"/>
      </w:r>
    </w:p>
    <w:p w:rsidR="00D25D19" w:rsidP="0036262B">
      <w:pPr>
        <w:pStyle w:val="ListParagraph"/>
        <w:jc w:val="both"/>
        <w:rPr>
          <w:rFonts w:ascii="BureauGrot Light" w:hAnsi="BureauGrot Light"/>
        </w:rPr>
      </w:pPr>
    </w:p>
    <w:p w:rsidR="00D25D19" w:rsidRPr="009951EC" w:rsidP="0036262B">
      <w:pPr>
        <w:pStyle w:val="ListParagraph"/>
        <w:numPr>
          <w:ilvl w:val="0"/>
          <w:numId w:val="35"/>
        </w:numPr>
        <w:jc w:val="both"/>
        <w:rPr>
          <w:rFonts w:ascii="BureauGrot Light" w:hAnsi="BureauGrot Light"/>
        </w:rPr>
      </w:pPr>
      <w:r w:rsidRPr="009951EC">
        <w:rPr>
          <w:rFonts w:ascii="BureauGrot Light" w:hAnsi="BureauGrot Light"/>
        </w:rPr>
        <w:t>The Government must ask: ‘How do we strengthen the role of people and communities in shaping and exerting their power over not just AI policy, but also the AI infrastructure and services that the government hopes many of us will build and use?’</w:t>
      </w:r>
      <w:r>
        <w:rPr>
          <w:rStyle w:val="FootnoteReference"/>
          <w:rFonts w:ascii="BureauGrot Light" w:hAnsi="BureauGrot Light"/>
        </w:rPr>
        <w:footnoteReference w:id="42"/>
      </w:r>
    </w:p>
    <w:p w:rsidR="00D25D19" w:rsidRPr="004C1A02" w:rsidP="0036262B">
      <w:pPr>
        <w:jc w:val="both"/>
      </w:pPr>
    </w:p>
    <w:p w:rsidR="00D25D19" w:rsidRPr="004C1A02" w:rsidP="0036262B">
      <w:pPr>
        <w:jc w:val="both"/>
        <w:rPr>
          <w:rFonts w:ascii="BureauGrotCondensed" w:hAnsi="BureauGrotCondensed"/>
          <w:b/>
          <w:bCs/>
          <w:color w:val="9F814F"/>
          <w:sz w:val="28"/>
          <w:szCs w:val="28"/>
        </w:rPr>
      </w:pPr>
      <w:r w:rsidRPr="004C1A02">
        <w:rPr>
          <w:rFonts w:ascii="BureauGrotCondensed" w:hAnsi="BureauGrotCondensed"/>
          <w:b/>
          <w:bCs/>
          <w:color w:val="9F814F"/>
          <w:sz w:val="28"/>
          <w:szCs w:val="28"/>
        </w:rPr>
        <w:t>To what extent does the UK’s existing legal framework provide sufficient protections for human rights in relation to AI?</w:t>
      </w:r>
      <w:r w:rsidRPr="004C1A02">
        <w:rPr>
          <w:rFonts w:ascii="Calibri" w:hAnsi="Calibri" w:cs="Calibri"/>
          <w:b/>
          <w:bCs/>
          <w:color w:val="9F814F"/>
          <w:sz w:val="28"/>
          <w:szCs w:val="28"/>
        </w:rPr>
        <w:t> </w:t>
      </w:r>
    </w:p>
    <w:p w:rsidR="00D25D19" w:rsidP="0036262B">
      <w:pPr>
        <w:pStyle w:val="ListParagraph"/>
        <w:numPr>
          <w:ilvl w:val="0"/>
          <w:numId w:val="35"/>
        </w:numPr>
        <w:jc w:val="both"/>
        <w:rPr>
          <w:rFonts w:ascii="BureauGrot Light" w:hAnsi="BureauGrot Light"/>
        </w:rPr>
      </w:pPr>
      <w:r w:rsidRPr="00872141">
        <w:rPr>
          <w:rFonts w:ascii="BureauGrot Light" w:hAnsi="BureauGrot Light"/>
        </w:rPr>
        <w:t>Liberty believes that the UK’s existing legal framework governing AI is not fit for purpose and is failing to keep pace with the development and proliferation of AI across the public and private sectors – and the human rights risks they pose to people in the UK.</w:t>
      </w:r>
    </w:p>
    <w:p w:rsidR="00D25D19" w:rsidP="0036262B">
      <w:pPr>
        <w:pStyle w:val="ListParagraph"/>
        <w:jc w:val="both"/>
        <w:rPr>
          <w:rFonts w:ascii="BureauGrot Light" w:hAnsi="BureauGrot Light"/>
        </w:rPr>
      </w:pPr>
    </w:p>
    <w:p w:rsidR="00D25D19" w:rsidRPr="00934313" w:rsidP="0036262B">
      <w:pPr>
        <w:pStyle w:val="ListParagraph"/>
        <w:numPr>
          <w:ilvl w:val="0"/>
          <w:numId w:val="35"/>
        </w:numPr>
        <w:jc w:val="both"/>
        <w:rPr>
          <w:rFonts w:ascii="BureauGrot Light" w:hAnsi="BureauGrot Light"/>
        </w:rPr>
      </w:pPr>
      <w:r w:rsidRPr="00934313">
        <w:rPr>
          <w:rFonts w:ascii="BureauGrot Light" w:hAnsi="BureauGrot Light"/>
        </w:rPr>
        <w:t>We point to the excellent work done by the Ada Lovelace Institute and AWO identifying significant regulatory gaps in the UK’s frameworks.</w:t>
      </w:r>
      <w:r>
        <w:rPr>
          <w:rStyle w:val="FootnoteReference"/>
          <w:rFonts w:ascii="BureauGrot Light" w:hAnsi="BureauGrot Light"/>
        </w:rPr>
        <w:footnoteReference w:id="43"/>
      </w:r>
      <w:r w:rsidRPr="00934313">
        <w:rPr>
          <w:rFonts w:ascii="BureauGrot Light" w:hAnsi="BureauGrot Light"/>
        </w:rPr>
        <w:t xml:space="preserve"> Whereas the EU has pursued a risk-based approach to AI governance, thus far the UK has a ‘contextual, sector-based regulatory framework’ that flows from its existing network regulators and laws.</w:t>
      </w:r>
      <w:r>
        <w:rPr>
          <w:rStyle w:val="FootnoteReference"/>
          <w:rFonts w:ascii="BureauGrot Light" w:hAnsi="BureauGrot Light"/>
        </w:rPr>
        <w:footnoteReference w:id="44"/>
      </w:r>
      <w:r w:rsidRPr="00934313">
        <w:rPr>
          <w:rFonts w:ascii="BureauGrot Light" w:hAnsi="BureauGrot Light"/>
        </w:rPr>
        <w:t xml:space="preserve"> </w:t>
      </w:r>
      <w:r>
        <w:rPr>
          <w:rFonts w:ascii="BureauGrot Light" w:hAnsi="BureauGrot Light"/>
        </w:rPr>
        <w:t xml:space="preserve">This has led to some key gaps in regulatory coverage. </w:t>
      </w:r>
      <w:r w:rsidRPr="00934313">
        <w:rPr>
          <w:rFonts w:ascii="BureauGrot Light" w:hAnsi="BureauGrot Light"/>
        </w:rPr>
        <w:t xml:space="preserve">The main legislative frameworks currently regulating AI are UK GDPR and the Equality Act 2010. </w:t>
      </w:r>
    </w:p>
    <w:p w:rsidR="00D25D19" w:rsidRPr="0080016C" w:rsidP="0036262B">
      <w:pPr>
        <w:jc w:val="both"/>
        <w:rPr>
          <w:rFonts w:ascii="BureauGrot Light" w:hAnsi="BureauGrot Light"/>
          <w:b/>
          <w:bCs/>
        </w:rPr>
      </w:pPr>
      <w:r w:rsidRPr="0080016C">
        <w:rPr>
          <w:rFonts w:ascii="BureauGrot Light" w:hAnsi="BureauGrot Light"/>
          <w:b/>
          <w:bCs/>
        </w:rPr>
        <w:t>UK GDPR</w:t>
      </w:r>
    </w:p>
    <w:p w:rsidR="00D25D19" w:rsidP="0036262B">
      <w:pPr>
        <w:pStyle w:val="ListParagraph"/>
        <w:numPr>
          <w:ilvl w:val="0"/>
          <w:numId w:val="35"/>
        </w:numPr>
        <w:jc w:val="both"/>
        <w:rPr>
          <w:rFonts w:ascii="BureauGrot Light" w:hAnsi="BureauGrot Light"/>
        </w:rPr>
      </w:pPr>
      <w:r w:rsidRPr="00934313">
        <w:rPr>
          <w:rFonts w:ascii="BureauGrot Light" w:hAnsi="BureauGrot Light"/>
        </w:rPr>
        <w:t>UK GDPR regulates all processing of personal data of UK persons and therefore offers the following protections in the context of AI</w:t>
      </w:r>
      <w:r>
        <w:rPr>
          <w:rStyle w:val="FootnoteReference"/>
          <w:rFonts w:ascii="BureauGrot Light" w:hAnsi="BureauGrot Light"/>
        </w:rPr>
        <w:footnoteReference w:id="45"/>
      </w:r>
      <w:r w:rsidRPr="00934313">
        <w:rPr>
          <w:rFonts w:ascii="BureauGrot Light" w:hAnsi="BureauGrot Light"/>
        </w:rPr>
        <w:t xml:space="preserve">: </w:t>
      </w:r>
    </w:p>
    <w:p w:rsidR="00D25D19" w:rsidRPr="00934313" w:rsidP="0036262B">
      <w:pPr>
        <w:pStyle w:val="ListParagraph"/>
        <w:jc w:val="both"/>
        <w:rPr>
          <w:rFonts w:ascii="BureauGrot Light" w:hAnsi="BureauGrot Light"/>
        </w:rPr>
      </w:pPr>
    </w:p>
    <w:p w:rsidR="00D25D19" w:rsidRPr="0080016C" w:rsidP="0036262B">
      <w:pPr>
        <w:pStyle w:val="ListParagraph"/>
        <w:numPr>
          <w:ilvl w:val="0"/>
          <w:numId w:val="8"/>
        </w:numPr>
        <w:ind w:left="1134" w:hanging="567"/>
        <w:jc w:val="both"/>
        <w:rPr>
          <w:rFonts w:ascii="BureauGrot Light" w:hAnsi="BureauGrot Light"/>
        </w:rPr>
      </w:pPr>
      <w:r w:rsidRPr="0080016C">
        <w:rPr>
          <w:rFonts w:ascii="BureauGrot Light" w:hAnsi="BureauGrot Light"/>
        </w:rPr>
        <w:t xml:space="preserve">Processing of personal data must have a valid legal basis, must be transparent to data subjects, and fair. </w:t>
      </w:r>
    </w:p>
    <w:p w:rsidR="00D25D19" w:rsidRPr="0080016C" w:rsidP="0036262B">
      <w:pPr>
        <w:pStyle w:val="ListParagraph"/>
        <w:numPr>
          <w:ilvl w:val="0"/>
          <w:numId w:val="8"/>
        </w:numPr>
        <w:ind w:left="1134" w:hanging="567"/>
        <w:jc w:val="both"/>
        <w:rPr>
          <w:rFonts w:ascii="BureauGrot Light" w:hAnsi="BureauGrot Light"/>
        </w:rPr>
      </w:pPr>
      <w:r w:rsidRPr="0080016C">
        <w:rPr>
          <w:rFonts w:ascii="BureauGrot Light" w:hAnsi="BureauGrot Light"/>
        </w:rPr>
        <w:t xml:space="preserve">Data controllers most provide a range of information to data subjects about processing concerning them (this requirement is not absolute). </w:t>
      </w:r>
    </w:p>
    <w:p w:rsidR="00D25D19" w:rsidRPr="0080016C" w:rsidP="0036262B">
      <w:pPr>
        <w:pStyle w:val="ListParagraph"/>
        <w:numPr>
          <w:ilvl w:val="0"/>
          <w:numId w:val="8"/>
        </w:numPr>
        <w:ind w:left="1134" w:hanging="567"/>
        <w:jc w:val="both"/>
        <w:rPr>
          <w:rFonts w:ascii="BureauGrot Light" w:hAnsi="BureauGrot Light"/>
        </w:rPr>
      </w:pPr>
      <w:r w:rsidRPr="0080016C">
        <w:rPr>
          <w:rFonts w:ascii="BureauGrot Light" w:hAnsi="BureauGrot Light"/>
        </w:rPr>
        <w:t>Prohibition on processing special category including race and ethnicity, political opinions, religious or philosophical beliefs, trade union members, biometric data for the purpose of identifying a person, health, and sexual orientation.</w:t>
      </w:r>
    </w:p>
    <w:p w:rsidR="00D25D19" w:rsidP="0036262B">
      <w:pPr>
        <w:pStyle w:val="ListParagraph"/>
        <w:numPr>
          <w:ilvl w:val="0"/>
          <w:numId w:val="8"/>
        </w:numPr>
        <w:ind w:left="1134" w:hanging="567"/>
        <w:jc w:val="both"/>
        <w:rPr>
          <w:rFonts w:ascii="BureauGrot Light" w:hAnsi="BureauGrot Light"/>
        </w:rPr>
      </w:pPr>
      <w:r w:rsidRPr="0080016C">
        <w:rPr>
          <w:rFonts w:ascii="BureauGrot Light" w:hAnsi="BureauGrot Light"/>
        </w:rPr>
        <w:t>UK GDPR included important safeguards regarding automated decision-making, but these have been watered down by the Data Use and Access Act.</w:t>
      </w:r>
    </w:p>
    <w:p w:rsidR="00D25D19" w:rsidRPr="0080016C" w:rsidP="0036262B">
      <w:pPr>
        <w:pStyle w:val="ListParagraph"/>
        <w:ind w:left="1134"/>
        <w:jc w:val="both"/>
        <w:rPr>
          <w:rFonts w:ascii="BureauGrot Light" w:hAnsi="BureauGrot Light"/>
        </w:rPr>
      </w:pPr>
    </w:p>
    <w:p w:rsidR="00D25D19" w:rsidRPr="00934313" w:rsidP="0036262B">
      <w:pPr>
        <w:pStyle w:val="ListParagraph"/>
        <w:numPr>
          <w:ilvl w:val="0"/>
          <w:numId w:val="35"/>
        </w:numPr>
        <w:jc w:val="both"/>
        <w:rPr>
          <w:rFonts w:ascii="BureauGrot Light" w:hAnsi="BureauGrot Light"/>
        </w:rPr>
      </w:pPr>
      <w:r w:rsidRPr="00934313">
        <w:rPr>
          <w:rFonts w:ascii="BureauGrot Light" w:hAnsi="BureauGrot Light"/>
        </w:rPr>
        <w:t xml:space="preserve">However, in practice, the protection against AI harms </w:t>
      </w:r>
      <w:r>
        <w:rPr>
          <w:rFonts w:ascii="BureauGrot Light" w:hAnsi="BureauGrot Light"/>
        </w:rPr>
        <w:t xml:space="preserve">that </w:t>
      </w:r>
      <w:r w:rsidRPr="00934313">
        <w:rPr>
          <w:rFonts w:ascii="BureauGrot Light" w:hAnsi="BureauGrot Light"/>
        </w:rPr>
        <w:t>UK GDPR offers is insufficient. The transparency measures in GDPR require only provision of general information to data subjects, which is often discharged with a high-level privacy notice that discusses the processing in general – but lengthy – terms.</w:t>
      </w:r>
      <w:r>
        <w:rPr>
          <w:rStyle w:val="FootnoteReference"/>
          <w:rFonts w:ascii="BureauGrot Light" w:hAnsi="BureauGrot Light"/>
        </w:rPr>
        <w:footnoteReference w:id="46"/>
      </w:r>
      <w:r w:rsidRPr="00934313">
        <w:rPr>
          <w:rFonts w:ascii="BureauGrot Light" w:hAnsi="BureauGrot Light"/>
        </w:rPr>
        <w:t xml:space="preserve"> Accessing the data that underpins an AI decision may be important to evidence an AI harm, but under UK GDPR it is a limited right. This right, in Article 15, ‘shall not adversely affect the rights and freedoms of others.’</w:t>
      </w:r>
      <w:r>
        <w:rPr>
          <w:rStyle w:val="FootnoteReference"/>
          <w:rFonts w:ascii="BureauGrot Light" w:hAnsi="BureauGrot Light"/>
        </w:rPr>
        <w:footnoteReference w:id="47"/>
      </w:r>
      <w:r w:rsidRPr="00934313">
        <w:rPr>
          <w:rFonts w:ascii="BureauGrot Light" w:hAnsi="BureauGrot Light"/>
        </w:rPr>
        <w:t xml:space="preserve"> In practice, this leads to data controllers refusing to provide said data. </w:t>
      </w:r>
    </w:p>
    <w:p w:rsidR="00D25D19" w:rsidRPr="00035973" w:rsidP="0036262B">
      <w:pPr>
        <w:jc w:val="both"/>
        <w:rPr>
          <w:rFonts w:ascii="BureauGrot Light" w:hAnsi="BureauGrot Light"/>
          <w:b/>
          <w:bCs/>
        </w:rPr>
      </w:pPr>
      <w:r w:rsidRPr="00035973">
        <w:rPr>
          <w:rFonts w:ascii="BureauGrot Light" w:hAnsi="BureauGrot Light"/>
          <w:b/>
          <w:bCs/>
        </w:rPr>
        <w:t>Equality Act 2010</w:t>
      </w:r>
    </w:p>
    <w:p w:rsidR="00D25D19" w:rsidP="0036262B">
      <w:pPr>
        <w:pStyle w:val="ListParagraph"/>
        <w:numPr>
          <w:ilvl w:val="0"/>
          <w:numId w:val="35"/>
        </w:numPr>
        <w:jc w:val="both"/>
        <w:rPr>
          <w:rFonts w:ascii="BureauGrot Light" w:hAnsi="BureauGrot Light"/>
        </w:rPr>
      </w:pPr>
      <w:r w:rsidRPr="00853991">
        <w:rPr>
          <w:rFonts w:ascii="BureauGrot Light" w:hAnsi="BureauGrot Light"/>
        </w:rPr>
        <w:t xml:space="preserve">The Equality Act 2010 protects everyone in Britain from discrimination, setting out the personal characteristics protected by the law and the behaviour that is unlawful. </w:t>
      </w:r>
    </w:p>
    <w:p w:rsidR="00D25D19" w:rsidP="008A31CB">
      <w:pPr>
        <w:pStyle w:val="ListParagraph"/>
        <w:jc w:val="both"/>
        <w:rPr>
          <w:rFonts w:ascii="BureauGrot Light" w:hAnsi="BureauGrot Light"/>
        </w:rPr>
      </w:pPr>
    </w:p>
    <w:p w:rsidR="00D25D19" w:rsidP="0036262B">
      <w:pPr>
        <w:pStyle w:val="ListParagraph"/>
        <w:numPr>
          <w:ilvl w:val="0"/>
          <w:numId w:val="35"/>
        </w:numPr>
        <w:jc w:val="both"/>
        <w:rPr>
          <w:rFonts w:ascii="BureauGrot Light" w:hAnsi="BureauGrot Light"/>
        </w:rPr>
      </w:pPr>
      <w:r w:rsidRPr="00635F9E">
        <w:rPr>
          <w:rFonts w:ascii="BureauGrot Light" w:hAnsi="BureauGrot Light"/>
        </w:rPr>
        <w:t xml:space="preserve">Under the Act’s Public Sector Equality Duty (PSED), every public sector organisation has a duty to ensure that its policies do not lead to unlawful discrimination, promote equality of opportunity, and good relations between groups. </w:t>
      </w:r>
    </w:p>
    <w:p w:rsidR="00D25D19" w:rsidP="0036262B">
      <w:pPr>
        <w:pStyle w:val="ListParagraph"/>
        <w:jc w:val="both"/>
        <w:rPr>
          <w:rFonts w:ascii="BureauGrot Light" w:hAnsi="BureauGrot Light"/>
        </w:rPr>
      </w:pPr>
    </w:p>
    <w:p w:rsidR="00D25D19" w:rsidP="0036262B">
      <w:pPr>
        <w:pStyle w:val="ListParagraph"/>
        <w:numPr>
          <w:ilvl w:val="0"/>
          <w:numId w:val="35"/>
        </w:numPr>
        <w:jc w:val="both"/>
        <w:rPr>
          <w:rFonts w:ascii="BureauGrot Light" w:hAnsi="BureauGrot Light"/>
        </w:rPr>
      </w:pPr>
      <w:r w:rsidRPr="00635F9E">
        <w:rPr>
          <w:rFonts w:ascii="BureauGrot Light" w:hAnsi="BureauGrot Light"/>
        </w:rPr>
        <w:t xml:space="preserve">The PSED also imposes certain duties during the procurement process of an AI system for use in a public sector context. Where a person with a protected characteristic is at a substantial disadvantage compared to someone without that characteristic, a public body must take reasonable steps to remove that disadvantage. </w:t>
      </w:r>
    </w:p>
    <w:p w:rsidR="00D25D19" w:rsidRPr="00635F9E" w:rsidP="0036262B">
      <w:pPr>
        <w:pStyle w:val="ListParagraph"/>
        <w:rPr>
          <w:rFonts w:ascii="BureauGrot Light" w:hAnsi="BureauGrot Light"/>
        </w:rPr>
      </w:pPr>
    </w:p>
    <w:p w:rsidR="00D25D19" w:rsidRPr="00635F9E" w:rsidP="0036262B">
      <w:pPr>
        <w:pStyle w:val="ListParagraph"/>
        <w:numPr>
          <w:ilvl w:val="0"/>
          <w:numId w:val="35"/>
        </w:numPr>
        <w:jc w:val="both"/>
        <w:rPr>
          <w:rFonts w:ascii="BureauGrot Light" w:hAnsi="BureauGrot Light"/>
        </w:rPr>
      </w:pPr>
      <w:r w:rsidRPr="00635F9E">
        <w:rPr>
          <w:rFonts w:ascii="BureauGrot Light" w:hAnsi="BureauGrot Light"/>
        </w:rPr>
        <w:t xml:space="preserve">For example, Liberty won a legal challenge against police use of facial recognition technology in South Wales. The Court of Appeal found that the South Wales police had failed to meet </w:t>
      </w:r>
      <w:r w:rsidRPr="00635F9E">
        <w:rPr>
          <w:rFonts w:ascii="BureauGrot Light" w:hAnsi="BureauGrot Light"/>
        </w:rPr>
        <w:t xml:space="preserve">their obligations under the PSED because they had failed to properly investigate whether the technology exhibited bias. </w:t>
      </w:r>
    </w:p>
    <w:p w:rsidR="00D25D19" w:rsidRPr="00DD2116" w:rsidP="0036262B">
      <w:pPr>
        <w:jc w:val="both"/>
        <w:rPr>
          <w:rFonts w:ascii="BureauGrot Light" w:hAnsi="BureauGrot Light"/>
          <w:b/>
          <w:bCs/>
        </w:rPr>
      </w:pPr>
      <w:r w:rsidRPr="00DD2116">
        <w:rPr>
          <w:rFonts w:ascii="BureauGrot Light" w:hAnsi="BureauGrot Light"/>
          <w:b/>
          <w:bCs/>
        </w:rPr>
        <w:t xml:space="preserve">Regulatory capacity </w:t>
      </w:r>
    </w:p>
    <w:p w:rsidR="00D25D19" w:rsidP="0036262B">
      <w:pPr>
        <w:pStyle w:val="ListParagraph"/>
        <w:numPr>
          <w:ilvl w:val="0"/>
          <w:numId w:val="35"/>
        </w:numPr>
        <w:jc w:val="both"/>
        <w:rPr>
          <w:rFonts w:ascii="BureauGrot Light" w:hAnsi="BureauGrot Light"/>
        </w:rPr>
      </w:pPr>
      <w:r w:rsidRPr="005D1AAC">
        <w:rPr>
          <w:rFonts w:ascii="BureauGrot Light" w:hAnsi="BureauGrot Light"/>
        </w:rPr>
        <w:t>Perhaps the most important limitation of the UK’s current AI regulatory framework is the under-resourcing of the regulators responsible for enforcing existing rules. AWO’s analysis found: ‘It is not realistic to expect the ICO and EHRC as cross-cutting regulators to enforce the UK GDPR and the Equality Act with a completeness that will reliably protect against AI harms. They do not have sufficient powers, resources, or sources of information. They have not always made full use of the powers they have.’</w:t>
      </w:r>
      <w:r>
        <w:rPr>
          <w:rStyle w:val="FootnoteReference"/>
          <w:rFonts w:ascii="BureauGrot Light" w:hAnsi="BureauGrot Light"/>
        </w:rPr>
        <w:footnoteReference w:id="48"/>
      </w:r>
    </w:p>
    <w:p w:rsidR="00D25D19" w:rsidP="0036262B">
      <w:pPr>
        <w:pStyle w:val="ListParagraph"/>
        <w:jc w:val="both"/>
        <w:rPr>
          <w:rFonts w:ascii="BureauGrot Light" w:hAnsi="BureauGrot Light"/>
        </w:rPr>
      </w:pPr>
    </w:p>
    <w:p w:rsidR="00D25D19" w:rsidP="0036262B">
      <w:pPr>
        <w:pStyle w:val="ListParagraph"/>
        <w:numPr>
          <w:ilvl w:val="0"/>
          <w:numId w:val="35"/>
        </w:numPr>
        <w:jc w:val="both"/>
        <w:rPr>
          <w:rFonts w:ascii="BureauGrot Light" w:hAnsi="BureauGrot Light"/>
        </w:rPr>
      </w:pPr>
      <w:r w:rsidRPr="005D1AAC">
        <w:rPr>
          <w:rFonts w:ascii="BureauGrot Light" w:hAnsi="BureauGrot Light"/>
        </w:rPr>
        <w:t>The Information Commissioner’s Office is responsible for enforcing data protection rules. They have the power to compel information; to enter premises as part of an assessment; to require controllers to take steps to remedy infringements; and issue fines for up to £17.5 million or 4% of worldwide turnover, whichever is higher.</w:t>
      </w:r>
      <w:r>
        <w:rPr>
          <w:rStyle w:val="FootnoteReference"/>
          <w:rFonts w:ascii="BureauGrot Light" w:hAnsi="BureauGrot Light"/>
        </w:rPr>
        <w:footnoteReference w:id="49"/>
      </w:r>
    </w:p>
    <w:p w:rsidR="00D25D19" w:rsidRPr="0026233B" w:rsidP="0036262B">
      <w:pPr>
        <w:pStyle w:val="ListParagraph"/>
        <w:rPr>
          <w:rFonts w:ascii="BureauGrot Light" w:hAnsi="BureauGrot Light"/>
        </w:rPr>
      </w:pPr>
    </w:p>
    <w:p w:rsidR="00D25D19" w:rsidP="0036262B">
      <w:pPr>
        <w:pStyle w:val="ListParagraph"/>
        <w:numPr>
          <w:ilvl w:val="0"/>
          <w:numId w:val="35"/>
        </w:numPr>
        <w:jc w:val="both"/>
        <w:rPr>
          <w:rFonts w:ascii="BureauGrot Light" w:hAnsi="BureauGrot Light"/>
        </w:rPr>
      </w:pPr>
      <w:r w:rsidRPr="0026233B">
        <w:rPr>
          <w:rFonts w:ascii="BureauGrot Light" w:hAnsi="BureauGrot Light"/>
        </w:rPr>
        <w:t>Academics have described the ICO’s level of enforcement as ‘low’.</w:t>
      </w:r>
      <w:r>
        <w:rPr>
          <w:rStyle w:val="FootnoteReference"/>
          <w:rFonts w:ascii="BureauGrot Light" w:hAnsi="BureauGrot Light"/>
        </w:rPr>
        <w:footnoteReference w:id="50"/>
      </w:r>
      <w:r w:rsidRPr="0026233B">
        <w:rPr>
          <w:rFonts w:ascii="BureauGrot Light" w:hAnsi="BureauGrot Light"/>
        </w:rPr>
        <w:t xml:space="preserve"> The ICO is extremely resistant to levying fines on public bodies for breaching data protection laws to protect the public purse. This reduce</w:t>
      </w:r>
      <w:r>
        <w:rPr>
          <w:rFonts w:ascii="BureauGrot Light" w:hAnsi="BureauGrot Light"/>
        </w:rPr>
        <w:t>s</w:t>
      </w:r>
      <w:r w:rsidRPr="0026233B">
        <w:rPr>
          <w:rFonts w:ascii="BureauGrot Light" w:hAnsi="BureauGrot Light"/>
        </w:rPr>
        <w:t xml:space="preserve"> the incentives for compliance. By comparison, the Spanish regulator issued 50 times as many GDPR fines in the same period.</w:t>
      </w:r>
      <w:r>
        <w:rPr>
          <w:rStyle w:val="FootnoteReference"/>
          <w:rFonts w:ascii="BureauGrot Light" w:hAnsi="BureauGrot Light"/>
        </w:rPr>
        <w:footnoteReference w:id="51"/>
      </w:r>
    </w:p>
    <w:p w:rsidR="00D25D19" w:rsidRPr="00696F57" w:rsidP="0036262B">
      <w:pPr>
        <w:pStyle w:val="ListParagraph"/>
        <w:rPr>
          <w:rFonts w:ascii="BureauGrot Light" w:hAnsi="BureauGrot Light"/>
        </w:rPr>
      </w:pPr>
    </w:p>
    <w:p w:rsidR="00D25D19" w:rsidP="0036262B">
      <w:pPr>
        <w:pStyle w:val="ListParagraph"/>
        <w:numPr>
          <w:ilvl w:val="0"/>
          <w:numId w:val="35"/>
        </w:numPr>
        <w:jc w:val="both"/>
        <w:rPr>
          <w:rFonts w:ascii="BureauGrot Light" w:hAnsi="BureauGrot Light"/>
        </w:rPr>
      </w:pPr>
      <w:r w:rsidRPr="00696F57">
        <w:rPr>
          <w:rFonts w:ascii="BureauGrot Light" w:hAnsi="BureauGrot Light"/>
        </w:rPr>
        <w:t>The Equality and Human Rights Commission (EHRC) does have an active workstream looking at human rights in the context of AI. However, the EHRC’s powers are limited. There is no mandatory reporting or audit requirements for private organisations to comply with equalities law.</w:t>
      </w:r>
      <w:r>
        <w:rPr>
          <w:rStyle w:val="FootnoteReference"/>
          <w:rFonts w:ascii="BureauGrot Light" w:hAnsi="BureauGrot Light"/>
        </w:rPr>
        <w:footnoteReference w:id="52"/>
      </w:r>
      <w:r w:rsidRPr="00696F57">
        <w:rPr>
          <w:rFonts w:ascii="BureauGrot Light" w:hAnsi="BureauGrot Light"/>
        </w:rPr>
        <w:t xml:space="preserve"> There is also no formal mechanism by which individuals can bring complaints about infringements of the Equality Act, forcing them to go through the courts.</w:t>
      </w:r>
      <w:r>
        <w:rPr>
          <w:rStyle w:val="FootnoteReference"/>
          <w:rFonts w:ascii="BureauGrot Light" w:hAnsi="BureauGrot Light"/>
        </w:rPr>
        <w:footnoteReference w:id="53"/>
      </w:r>
    </w:p>
    <w:p w:rsidR="00D25D19" w:rsidRPr="00696F57" w:rsidP="0036262B">
      <w:pPr>
        <w:pStyle w:val="ListParagraph"/>
        <w:rPr>
          <w:rFonts w:ascii="BureauGrot Light" w:hAnsi="BureauGrot Light"/>
        </w:rPr>
      </w:pPr>
    </w:p>
    <w:p w:rsidR="00D25D19" w:rsidRPr="00696F57" w:rsidP="0036262B">
      <w:pPr>
        <w:pStyle w:val="ListParagraph"/>
        <w:numPr>
          <w:ilvl w:val="0"/>
          <w:numId w:val="35"/>
        </w:numPr>
        <w:jc w:val="both"/>
        <w:rPr>
          <w:rFonts w:ascii="BureauGrot Light" w:hAnsi="BureauGrot Light"/>
        </w:rPr>
      </w:pPr>
      <w:r w:rsidRPr="00696F57">
        <w:rPr>
          <w:rFonts w:ascii="BureauGrot Light" w:hAnsi="BureauGrot Light"/>
        </w:rPr>
        <w:t xml:space="preserve">Both the ICO and EHRC are under-resourced given their massive scope and important remits. </w:t>
      </w:r>
    </w:p>
    <w:p w:rsidR="00D25D19" w:rsidRPr="008400FF" w:rsidP="0036262B">
      <w:pPr>
        <w:jc w:val="both"/>
        <w:rPr>
          <w:rFonts w:ascii="BureauGrot Light" w:hAnsi="BureauGrot Light"/>
          <w:b/>
          <w:bCs/>
        </w:rPr>
      </w:pPr>
      <w:r w:rsidRPr="008400FF">
        <w:rPr>
          <w:rFonts w:ascii="BureauGrot Light" w:hAnsi="BureauGrot Light"/>
          <w:b/>
          <w:bCs/>
        </w:rPr>
        <w:t>Access to justice</w:t>
      </w:r>
    </w:p>
    <w:p w:rsidR="00D25D19" w:rsidRPr="004C1A02" w:rsidP="0036262B">
      <w:pPr>
        <w:pStyle w:val="ListParagraph"/>
        <w:numPr>
          <w:ilvl w:val="0"/>
          <w:numId w:val="35"/>
        </w:numPr>
        <w:jc w:val="both"/>
      </w:pPr>
      <w:r w:rsidRPr="008F3A2B">
        <w:rPr>
          <w:rFonts w:ascii="BureauGrot Light" w:hAnsi="BureauGrot Light"/>
        </w:rPr>
        <w:t xml:space="preserve">This regulatory enforcement gap leaves individuals turning to the courts to enforce their rights, which is too costly and time-consuming to be an effective mechanism for redress for most people. The barriers to justice include the complexity of the process and lack of </w:t>
      </w:r>
      <w:r w:rsidRPr="008F3A2B">
        <w:rPr>
          <w:rFonts w:ascii="BureauGrot Light" w:hAnsi="BureauGrot Light"/>
        </w:rPr>
        <w:t>knowledge about how to bring cases; the difficulty of finding and then funding legal advice; the adverse cost risk; and any resolution is time-consuming and slow.</w:t>
      </w:r>
      <w:r>
        <w:rPr>
          <w:rStyle w:val="FootnoteReference"/>
          <w:rFonts w:ascii="BureauGrot Light" w:hAnsi="BureauGrot Light"/>
        </w:rPr>
        <w:footnoteReference w:id="54"/>
      </w:r>
    </w:p>
    <w:p w:rsidR="00D25D19" w:rsidRPr="008577E8" w:rsidP="0036262B">
      <w:pPr>
        <w:jc w:val="both"/>
        <w:rPr>
          <w:rFonts w:ascii="BureauGrot Light" w:hAnsi="BureauGrot Light"/>
          <w:b/>
          <w:bCs/>
        </w:rPr>
      </w:pPr>
      <w:r w:rsidRPr="008577E8">
        <w:rPr>
          <w:rFonts w:ascii="BureauGrot Light" w:hAnsi="BureauGrot Light"/>
          <w:b/>
          <w:bCs/>
        </w:rPr>
        <w:t>Data Use and Access Act</w:t>
      </w:r>
    </w:p>
    <w:p w:rsidR="00D25D19" w:rsidP="0036262B">
      <w:pPr>
        <w:pStyle w:val="ListParagraph"/>
        <w:numPr>
          <w:ilvl w:val="0"/>
          <w:numId w:val="35"/>
        </w:numPr>
        <w:jc w:val="both"/>
        <w:rPr>
          <w:rFonts w:ascii="BureauGrot Light" w:hAnsi="BureauGrot Light"/>
        </w:rPr>
      </w:pPr>
      <w:r w:rsidRPr="001278A1">
        <w:rPr>
          <w:rFonts w:ascii="BureauGrot Light" w:hAnsi="BureauGrot Light"/>
        </w:rPr>
        <w:t xml:space="preserve">Liberty is concerned by the Government’s direction of travel on AI regulation. UK GDPR included important protections against the adverse effects of automated decision-making (ADM). The new Data Use and Access Act weakened those privacy and data protection rights, just when they needed to be bolstered. </w:t>
      </w:r>
    </w:p>
    <w:p w:rsidR="00D25D19" w:rsidP="0036262B">
      <w:pPr>
        <w:pStyle w:val="ListParagraph"/>
        <w:jc w:val="both"/>
        <w:rPr>
          <w:rFonts w:ascii="BureauGrot Light" w:hAnsi="BureauGrot Light"/>
        </w:rPr>
      </w:pPr>
    </w:p>
    <w:p w:rsidR="00D25D19" w:rsidP="0036262B">
      <w:pPr>
        <w:pStyle w:val="ListParagraph"/>
        <w:numPr>
          <w:ilvl w:val="0"/>
          <w:numId w:val="35"/>
        </w:numPr>
        <w:jc w:val="both"/>
        <w:rPr>
          <w:rFonts w:ascii="BureauGrot Light" w:hAnsi="BureauGrot Light"/>
        </w:rPr>
      </w:pPr>
      <w:r w:rsidRPr="001278A1">
        <w:rPr>
          <w:rFonts w:ascii="BureauGrot Light" w:hAnsi="BureauGrot Light"/>
        </w:rPr>
        <w:t xml:space="preserve">The Act weakened safeguards on automated decision-making (ADM), shifting from a general prohibition (with exceptions for consent or when authorised by law) under Article 22 UK GDPR to allowing solely automated decisions provided individuals can challenge them, seek human intervention, and make representations. Restrictions remain for special category data and for decisions with significant legal or similar effects made without meaningful human involvement, which still require consent or legal authorisation </w:t>
      </w:r>
      <w:r w:rsidRPr="001278A1">
        <w:rPr>
          <w:rFonts w:ascii="BureauGrot Light" w:hAnsi="BureauGrot Light"/>
        </w:rPr>
        <w:t>with substantial public interest. This change moves the burden of protecting rights from companies to individuals, raising serious rights concerns.</w:t>
      </w:r>
    </w:p>
    <w:p w:rsidR="00D25D19" w:rsidRPr="002739A5" w:rsidP="0036262B">
      <w:pPr>
        <w:pStyle w:val="ListParagraph"/>
        <w:rPr>
          <w:rFonts w:ascii="BureauGrot Light" w:hAnsi="BureauGrot Light"/>
        </w:rPr>
      </w:pPr>
    </w:p>
    <w:p w:rsidR="00D25D19" w:rsidRPr="002739A5" w:rsidP="008A31CB">
      <w:pPr>
        <w:pStyle w:val="ListParagraph"/>
        <w:numPr>
          <w:ilvl w:val="0"/>
          <w:numId w:val="35"/>
        </w:numPr>
        <w:rPr>
          <w:rFonts w:ascii="BureauGrot Light" w:hAnsi="BureauGrot Light"/>
        </w:rPr>
      </w:pPr>
      <w:r w:rsidRPr="002739A5">
        <w:rPr>
          <w:rFonts w:ascii="BureauGrot Light" w:hAnsi="BureauGrot Light"/>
        </w:rPr>
        <w:t>The Act also broadens the definitions of scientific research for which data can be shared and reused. The Ada Lovelace Institute believes these provisions will ‘enable the mass reuse of personal data scraped from the internet or acquired through social media for AI product development, under the auspices of “scientific research”.’</w:t>
      </w:r>
      <w:r>
        <w:rPr>
          <w:rStyle w:val="FootnoteReference"/>
          <w:rFonts w:ascii="BureauGrot Light" w:hAnsi="BureauGrot Light"/>
        </w:rPr>
        <w:footnoteReference w:id="55"/>
      </w:r>
      <w:r>
        <w:rPr>
          <w:rFonts w:ascii="BureauGrot Light" w:hAnsi="BureauGrot Light"/>
        </w:rPr>
        <w:br/>
      </w:r>
    </w:p>
    <w:p w:rsidR="00D25D19" w:rsidRPr="002739A5" w:rsidP="0036262B">
      <w:pPr>
        <w:pStyle w:val="ListParagraph"/>
        <w:numPr>
          <w:ilvl w:val="0"/>
          <w:numId w:val="35"/>
        </w:numPr>
        <w:jc w:val="both"/>
        <w:rPr>
          <w:rFonts w:ascii="BureauGrot Light" w:hAnsi="BureauGrot Light"/>
        </w:rPr>
      </w:pPr>
      <w:r w:rsidRPr="002739A5">
        <w:rPr>
          <w:rFonts w:ascii="BureauGrot Light" w:hAnsi="BureauGrot Light"/>
        </w:rPr>
        <w:t>Finally, the Act hands ‘regulation-making powers to the Secretary of State which would allow them to remove data protection safeguards via secondary legislation by adding ‘recognising legitimate interests’ that would allow organisations to bypass the core tests they otherwise need to comply with to use people’s data.’</w:t>
      </w:r>
      <w:r>
        <w:rPr>
          <w:rStyle w:val="FootnoteReference"/>
          <w:rFonts w:ascii="BureauGrot Light" w:hAnsi="BureauGrot Light"/>
        </w:rPr>
        <w:footnoteReference w:id="56"/>
      </w:r>
      <w:r w:rsidRPr="002739A5">
        <w:rPr>
          <w:rFonts w:ascii="BureauGrot Light" w:hAnsi="BureauGrot Light"/>
        </w:rPr>
        <w:t xml:space="preserve"> This will allow the watering down of human rights protections without proper scrutiny.</w:t>
      </w:r>
    </w:p>
    <w:p w:rsidR="00D25D19" w:rsidRPr="004F4673" w:rsidP="0036262B">
      <w:pPr>
        <w:tabs>
          <w:tab w:val="left" w:pos="1020"/>
        </w:tabs>
        <w:jc w:val="both"/>
        <w:rPr>
          <w:rFonts w:ascii="BureauGrot Light" w:hAnsi="BureauGrot Light"/>
        </w:rPr>
      </w:pPr>
      <w:r w:rsidRPr="226BA004">
        <w:rPr>
          <w:rFonts w:ascii="BureauGrot Light" w:hAnsi="BureauGrot Light"/>
          <w:b/>
          <w:bCs/>
        </w:rPr>
        <w:t>Lessons from the Bridges case</w:t>
      </w:r>
      <w:r w:rsidRPr="226BA004">
        <w:rPr>
          <w:rFonts w:ascii="BureauGrot Light" w:hAnsi="BureauGrot Light"/>
        </w:rPr>
        <w:t xml:space="preserve"> </w:t>
      </w:r>
    </w:p>
    <w:p w:rsidR="00D25D19" w:rsidP="0036262B">
      <w:pPr>
        <w:pStyle w:val="ListParagraph"/>
        <w:numPr>
          <w:ilvl w:val="0"/>
          <w:numId w:val="35"/>
        </w:numPr>
        <w:tabs>
          <w:tab w:val="left" w:pos="1020"/>
        </w:tabs>
        <w:jc w:val="both"/>
        <w:rPr>
          <w:rFonts w:ascii="BureauGrot Light" w:hAnsi="BureauGrot Light"/>
        </w:rPr>
      </w:pPr>
      <w:r w:rsidRPr="00AA7F68">
        <w:rPr>
          <w:rFonts w:ascii="BureauGrot Light" w:hAnsi="BureauGrot Light"/>
        </w:rPr>
        <w:t xml:space="preserve">As an organisation that uses the existing legal frameworks to challenge human rights abuses in the UK, Liberty has experienced the limitations of these protections in practice. </w:t>
      </w:r>
    </w:p>
    <w:p w:rsidR="00D25D19" w:rsidP="0036262B">
      <w:pPr>
        <w:pStyle w:val="ListParagraph"/>
        <w:tabs>
          <w:tab w:val="left" w:pos="1020"/>
        </w:tabs>
        <w:jc w:val="both"/>
        <w:rPr>
          <w:rFonts w:ascii="BureauGrot Light" w:hAnsi="BureauGrot Light"/>
        </w:rPr>
      </w:pPr>
    </w:p>
    <w:p w:rsidR="00D25D19" w:rsidP="0036262B">
      <w:pPr>
        <w:pStyle w:val="ListParagraph"/>
        <w:numPr>
          <w:ilvl w:val="0"/>
          <w:numId w:val="35"/>
        </w:numPr>
        <w:tabs>
          <w:tab w:val="left" w:pos="1020"/>
        </w:tabs>
        <w:jc w:val="both"/>
        <w:rPr>
          <w:rFonts w:ascii="BureauGrot Light" w:hAnsi="BureauGrot Light"/>
        </w:rPr>
      </w:pPr>
      <w:r w:rsidRPr="00DB5162">
        <w:rPr>
          <w:rFonts w:ascii="BureauGrot Light" w:hAnsi="BureauGrot Light"/>
        </w:rPr>
        <w:t xml:space="preserve">In 2020, we represented Ed Bridges in challenging South Wales Police’s use of live facial recognition technology (FRT). Bridges had been scanned when Christmas shopping and at a protest and his face had been compared to a watch-list database. Liberty challenged the use of FRT by reference to Article 8 of the ECHR and the Data Protection Act 2018. </w:t>
      </w:r>
    </w:p>
    <w:p w:rsidR="00D25D19" w:rsidRPr="00282385" w:rsidP="0036262B">
      <w:pPr>
        <w:pStyle w:val="ListParagraph"/>
        <w:rPr>
          <w:rFonts w:ascii="BureauGrot Light" w:hAnsi="BureauGrot Light"/>
        </w:rPr>
      </w:pPr>
    </w:p>
    <w:p w:rsidR="00D25D19" w:rsidP="0036262B">
      <w:pPr>
        <w:pStyle w:val="ListParagraph"/>
        <w:numPr>
          <w:ilvl w:val="0"/>
          <w:numId w:val="35"/>
        </w:numPr>
        <w:tabs>
          <w:tab w:val="left" w:pos="1020"/>
        </w:tabs>
        <w:jc w:val="both"/>
        <w:rPr>
          <w:rFonts w:ascii="BureauGrot Light" w:hAnsi="BureauGrot Light"/>
        </w:rPr>
      </w:pPr>
      <w:r w:rsidRPr="00282385">
        <w:rPr>
          <w:rFonts w:ascii="BureauGrot Light" w:hAnsi="BureauGrot Light"/>
        </w:rPr>
        <w:t xml:space="preserve">The Court of Appeal found there was no proper basis in law for South Wales Police’s use of FRT, that they had violated Article 8, and its use breached the Data Protection Act 2018. The Court also found that the South Wales Police had failed to comply with the PSED by failing to investigate whether the FRT had racial and gender bias. </w:t>
      </w:r>
    </w:p>
    <w:p w:rsidR="00D25D19" w:rsidRPr="00282385" w:rsidP="0036262B">
      <w:pPr>
        <w:pStyle w:val="ListParagraph"/>
        <w:rPr>
          <w:rFonts w:ascii="BureauGrot Light" w:hAnsi="BureauGrot Light"/>
        </w:rPr>
      </w:pPr>
    </w:p>
    <w:p w:rsidR="00D25D19" w:rsidP="0036262B">
      <w:pPr>
        <w:pStyle w:val="ListParagraph"/>
        <w:numPr>
          <w:ilvl w:val="0"/>
          <w:numId w:val="35"/>
        </w:numPr>
        <w:tabs>
          <w:tab w:val="left" w:pos="1020"/>
        </w:tabs>
        <w:jc w:val="both"/>
        <w:rPr>
          <w:rFonts w:ascii="BureauGrot Light" w:hAnsi="BureauGrot Light"/>
        </w:rPr>
      </w:pPr>
      <w:r w:rsidRPr="00282385">
        <w:rPr>
          <w:rFonts w:ascii="BureauGrot Light" w:hAnsi="BureauGrot Light"/>
        </w:rPr>
        <w:t>The case temporarily halted South Wales Police’s use of FRT. However, it was soon re-introduced once South Wales Police had sufficiently assessed the bias in the system. Indeed, the Government has expanded use of FRT vans across seven police forces in England.</w:t>
      </w:r>
      <w:r>
        <w:rPr>
          <w:rStyle w:val="FootnoteReference"/>
          <w:rFonts w:ascii="BureauGrot Light" w:hAnsi="BureauGrot Light"/>
        </w:rPr>
        <w:footnoteReference w:id="57"/>
      </w:r>
      <w:r w:rsidRPr="00282385">
        <w:rPr>
          <w:rFonts w:ascii="BureauGrot Light" w:hAnsi="BureauGrot Light"/>
        </w:rPr>
        <w:t xml:space="preserve"> At the same time, the EHRC has said the way this technology is being deployed is breaching human rights law.</w:t>
      </w:r>
      <w:r>
        <w:rPr>
          <w:rStyle w:val="FootnoteReference"/>
          <w:rFonts w:ascii="BureauGrot Light" w:hAnsi="BureauGrot Light"/>
        </w:rPr>
        <w:footnoteReference w:id="58"/>
      </w:r>
      <w:r>
        <w:rPr>
          <w:rFonts w:ascii="BureauGrot Light" w:hAnsi="BureauGrot Light"/>
        </w:rPr>
        <w:t xml:space="preserve"> There is still no overarching legislation governing the use of the technology. </w:t>
      </w:r>
    </w:p>
    <w:p w:rsidR="00D25D19" w:rsidRPr="002A2C3C" w:rsidP="0036262B">
      <w:pPr>
        <w:pStyle w:val="ListParagraph"/>
        <w:rPr>
          <w:rFonts w:ascii="BureauGrot Light" w:hAnsi="BureauGrot Light"/>
        </w:rPr>
      </w:pPr>
    </w:p>
    <w:p w:rsidR="00D25D19" w:rsidP="0036262B">
      <w:pPr>
        <w:pStyle w:val="ListParagraph"/>
        <w:numPr>
          <w:ilvl w:val="0"/>
          <w:numId w:val="35"/>
        </w:numPr>
        <w:tabs>
          <w:tab w:val="left" w:pos="1020"/>
        </w:tabs>
        <w:jc w:val="both"/>
        <w:rPr>
          <w:rFonts w:ascii="BureauGrot Light" w:hAnsi="BureauGrot Light"/>
        </w:rPr>
      </w:pPr>
      <w:r w:rsidRPr="002A2C3C">
        <w:rPr>
          <w:rFonts w:ascii="BureauGrot Light" w:hAnsi="BureauGrot Light"/>
        </w:rPr>
        <w:t xml:space="preserve">Liberty’s experience with the existing legal frameworks regulating AI has led us to conclude that they are wholly insufficient for protecting human rights. Even when the courts have found police use of AI unlawful, no meaningful change in its use follows. </w:t>
      </w:r>
    </w:p>
    <w:p w:rsidR="00D25D19" w:rsidRPr="00F0460D" w:rsidP="0036262B">
      <w:pPr>
        <w:pStyle w:val="ListParagraph"/>
        <w:rPr>
          <w:rFonts w:ascii="BureauGrot Light" w:hAnsi="BureauGrot Light"/>
        </w:rPr>
      </w:pPr>
    </w:p>
    <w:p w:rsidR="00D25D19" w:rsidRPr="00F0460D" w:rsidP="0036262B">
      <w:pPr>
        <w:pStyle w:val="ListParagraph"/>
        <w:numPr>
          <w:ilvl w:val="0"/>
          <w:numId w:val="35"/>
        </w:numPr>
        <w:tabs>
          <w:tab w:val="left" w:pos="1020"/>
        </w:tabs>
        <w:jc w:val="both"/>
        <w:rPr>
          <w:rFonts w:ascii="BureauGrot Light" w:hAnsi="BureauGrot Light"/>
        </w:rPr>
      </w:pPr>
      <w:r w:rsidRPr="00F0460D">
        <w:rPr>
          <w:rFonts w:ascii="BureauGrot Light" w:hAnsi="BureauGrot Light"/>
        </w:rPr>
        <w:t>The existing regulatory frameworks leave people ‘affected by AI-informed decisions lack sufficient protection from harm or ability to get redress when things go wrong under existing legislation’</w:t>
      </w:r>
      <w:r>
        <w:rPr>
          <w:rStyle w:val="FootnoteReference"/>
          <w:rFonts w:ascii="BureauGrot Light" w:hAnsi="BureauGrot Light"/>
        </w:rPr>
        <w:footnoteReference w:id="59"/>
      </w:r>
      <w:r w:rsidRPr="00F0460D">
        <w:rPr>
          <w:rFonts w:ascii="BureauGrot Light" w:hAnsi="BureauGrot Light"/>
        </w:rPr>
        <w:t>. Specifically, there is a lack of legally mandated, meaningful transparency that would alert people to harm they have faced because of an automated decision and allow them to evidence it.</w:t>
      </w:r>
      <w:r>
        <w:rPr>
          <w:rStyle w:val="FootnoteReference"/>
          <w:rFonts w:ascii="BureauGrot Light" w:hAnsi="BureauGrot Light"/>
        </w:rPr>
        <w:footnoteReference w:id="60"/>
      </w:r>
      <w:r w:rsidRPr="00F0460D">
        <w:rPr>
          <w:rFonts w:ascii="BureauGrot Light" w:hAnsi="BureauGrot Light"/>
        </w:rPr>
        <w:t xml:space="preserve"> This opacity restricts people’s access to accountability and redress. </w:t>
      </w:r>
    </w:p>
    <w:p w:rsidR="00D25D19" w:rsidRPr="00274B55" w:rsidP="0036262B">
      <w:pPr>
        <w:jc w:val="both"/>
        <w:rPr>
          <w:rFonts w:ascii="BureauGrot Light" w:hAnsi="BureauGrot Light"/>
        </w:rPr>
      </w:pPr>
    </w:p>
    <w:p w:rsidR="00D25D19" w:rsidRPr="00AA0D9C" w:rsidP="0036262B">
      <w:pPr>
        <w:jc w:val="both"/>
        <w:rPr>
          <w:rFonts w:ascii="BureauGrotCondensed" w:hAnsi="BureauGrotCondensed"/>
          <w:b/>
          <w:bCs/>
          <w:color w:val="9F814F"/>
          <w:sz w:val="28"/>
          <w:szCs w:val="28"/>
        </w:rPr>
      </w:pPr>
      <w:r w:rsidRPr="00AA0D9C">
        <w:rPr>
          <w:rFonts w:ascii="BureauGrotCondensed" w:hAnsi="BureauGrotCondensed"/>
          <w:b/>
          <w:bCs/>
          <w:color w:val="9F814F"/>
          <w:sz w:val="28"/>
          <w:szCs w:val="28"/>
        </w:rPr>
        <w:t>To what extent is the Government’s policy approach to deploying AI, expressed in its “AI Opportunities Action Plan”, sufficiently robust in respect of safeguarding human rights?</w:t>
      </w:r>
    </w:p>
    <w:p w:rsidR="00D25D19" w:rsidP="0036262B">
      <w:pPr>
        <w:pStyle w:val="ListParagraph"/>
        <w:numPr>
          <w:ilvl w:val="0"/>
          <w:numId w:val="35"/>
        </w:numPr>
        <w:jc w:val="both"/>
        <w:rPr>
          <w:rFonts w:ascii="BureauGrot Light" w:hAnsi="BureauGrot Light"/>
        </w:rPr>
      </w:pPr>
      <w:r w:rsidRPr="008B3A9C">
        <w:rPr>
          <w:rFonts w:ascii="BureauGrot Light" w:hAnsi="BureauGrot Light"/>
        </w:rPr>
        <w:t xml:space="preserve">The UK Government’s AI </w:t>
      </w:r>
      <w:r>
        <w:rPr>
          <w:rFonts w:ascii="BureauGrot Light" w:hAnsi="BureauGrot Light"/>
        </w:rPr>
        <w:t xml:space="preserve">Opportunities </w:t>
      </w:r>
      <w:r w:rsidRPr="008B3A9C">
        <w:rPr>
          <w:rFonts w:ascii="BureauGrot Light" w:hAnsi="BureauGrot Light"/>
        </w:rPr>
        <w:t xml:space="preserve">Action Plan risks sidelining human rights and democratic accountability in favour of a “light touch” approach designed to reassure investors and major technology firms. This is </w:t>
      </w:r>
      <w:r>
        <w:rPr>
          <w:rFonts w:ascii="BureauGrot Light" w:hAnsi="BureauGrot Light"/>
        </w:rPr>
        <w:t>a strategic misstep</w:t>
      </w:r>
      <w:r w:rsidRPr="008B3A9C">
        <w:rPr>
          <w:rFonts w:ascii="BureauGrot Light" w:hAnsi="BureauGrot Light"/>
        </w:rPr>
        <w:t>. As the Government develops its forthcoming AI Bill, we would strongly encourage them to put human rights and rule of law at the heart of their approach, rather than narrowly focusing on innovation and efficiency</w:t>
      </w:r>
      <w:r>
        <w:rPr>
          <w:rFonts w:ascii="BureauGrot Light" w:hAnsi="BureauGrot Light"/>
        </w:rPr>
        <w:t xml:space="preserve"> – and to acknowledge that the two are not in conflict. </w:t>
      </w:r>
    </w:p>
    <w:p w:rsidR="00D25D19" w:rsidP="0036262B">
      <w:pPr>
        <w:pStyle w:val="ListParagraph"/>
        <w:jc w:val="both"/>
        <w:rPr>
          <w:rFonts w:ascii="BureauGrot Light" w:hAnsi="BureauGrot Light"/>
        </w:rPr>
      </w:pPr>
    </w:p>
    <w:p w:rsidR="00D25D19" w:rsidP="0036262B">
      <w:pPr>
        <w:pStyle w:val="ListParagraph"/>
        <w:numPr>
          <w:ilvl w:val="0"/>
          <w:numId w:val="35"/>
        </w:numPr>
        <w:jc w:val="both"/>
        <w:rPr>
          <w:rFonts w:ascii="BureauGrot Light" w:hAnsi="BureauGrot Light"/>
        </w:rPr>
      </w:pPr>
      <w:r w:rsidRPr="003A0F5E">
        <w:rPr>
          <w:rFonts w:ascii="BureauGrot Light" w:hAnsi="BureauGrot Light"/>
        </w:rPr>
        <w:t xml:space="preserve">The Prime Minister’s introduction to the plan summarises the Government’s approach: ‘Today’s plan mainlines AI into the veins of this enterprising nation – revolutionising our public </w:t>
      </w:r>
      <w:r w:rsidRPr="003A0F5E">
        <w:rPr>
          <w:rFonts w:ascii="BureauGrot Light" w:hAnsi="BureauGrot Light"/>
        </w:rPr>
        <w:t>services and putting more money in people’s back pockets. Because for too long we have allowed blockers to control the public discourse and get in the way of growth in this sector.’</w:t>
      </w:r>
      <w:r>
        <w:rPr>
          <w:rStyle w:val="FootnoteReference"/>
          <w:rFonts w:ascii="BureauGrot Light" w:hAnsi="BureauGrot Light"/>
        </w:rPr>
        <w:footnoteReference w:id="61"/>
      </w:r>
    </w:p>
    <w:p w:rsidR="00D25D19" w:rsidRPr="00604E0B" w:rsidP="0036262B">
      <w:pPr>
        <w:pStyle w:val="ListParagraph"/>
        <w:rPr>
          <w:rFonts w:ascii="BureauGrot Light" w:hAnsi="BureauGrot Light"/>
        </w:rPr>
      </w:pPr>
    </w:p>
    <w:p w:rsidR="00D25D19" w:rsidRPr="00604E0B" w:rsidP="0036262B">
      <w:pPr>
        <w:pStyle w:val="ListParagraph"/>
        <w:numPr>
          <w:ilvl w:val="0"/>
          <w:numId w:val="35"/>
        </w:numPr>
        <w:jc w:val="both"/>
        <w:rPr>
          <w:rFonts w:ascii="BureauGrot Light" w:hAnsi="BureauGrot Light"/>
        </w:rPr>
      </w:pPr>
      <w:r w:rsidRPr="00604E0B">
        <w:rPr>
          <w:rFonts w:ascii="BureauGrot Light" w:hAnsi="BureauGrot Light"/>
        </w:rPr>
        <w:t>Professor Gina Neff’s analysis of the Action Plan’s approach notes, ‘Starmer’s government borrows from Silicon Valley’s logic, positioning AI regulation as the opposite of innovation. Such logic ignores a crucial fact: the transition to AI will require a major leap for workers, communities and societies. Government must step in where markets won’t or can’t: levelling the playing field so powerful companies do not dominate our future, investing in education and skills so more people can benefit from opportun</w:t>
      </w:r>
      <w:r w:rsidRPr="00604E0B">
        <w:rPr>
          <w:rFonts w:ascii="BureauGrot Light" w:hAnsi="BureauGrot Light"/>
        </w:rPr>
        <w:t>ities, ensuring today’s laws and regulations continue to be fit for purpose, and building digital futures with companies and civil society.’</w:t>
      </w:r>
      <w:r>
        <w:rPr>
          <w:rStyle w:val="FootnoteReference"/>
          <w:rFonts w:ascii="BureauGrot Light" w:hAnsi="BureauGrot Light"/>
        </w:rPr>
        <w:footnoteReference w:id="62"/>
      </w:r>
    </w:p>
    <w:p w:rsidR="00D25D19" w:rsidRPr="0034608B" w:rsidP="0036262B">
      <w:pPr>
        <w:jc w:val="both"/>
        <w:rPr>
          <w:rFonts w:ascii="BureauGrot Light" w:hAnsi="BureauGrot Light"/>
          <w:b/>
          <w:bCs/>
        </w:rPr>
      </w:pPr>
      <w:r w:rsidRPr="0034608B">
        <w:rPr>
          <w:rFonts w:ascii="BureauGrot Light" w:hAnsi="BureauGrot Light"/>
          <w:b/>
          <w:bCs/>
        </w:rPr>
        <w:t>Techno solutionism and procurement</w:t>
      </w:r>
    </w:p>
    <w:p w:rsidR="00D25D19" w:rsidP="0036262B">
      <w:pPr>
        <w:pStyle w:val="ListParagraph"/>
        <w:numPr>
          <w:ilvl w:val="0"/>
          <w:numId w:val="35"/>
        </w:numPr>
        <w:jc w:val="both"/>
        <w:rPr>
          <w:rFonts w:ascii="BureauGrot Light" w:hAnsi="BureauGrot Light"/>
        </w:rPr>
      </w:pPr>
      <w:r w:rsidRPr="00037022">
        <w:rPr>
          <w:rFonts w:ascii="BureauGrot Light" w:hAnsi="BureauGrot Light"/>
        </w:rPr>
        <w:t>The Government must be clear-eyed about what AI might and might not be able to achieve. AI cannot fix over a decade of under-investment in the public realm and in Britain’s infrastructure. The Action Plan suggests ‘government purchasing power [of AI products] can be a huge lever for improving public services.’</w:t>
      </w:r>
      <w:r>
        <w:rPr>
          <w:rStyle w:val="FootnoteReference"/>
          <w:rFonts w:ascii="BureauGrot Light" w:hAnsi="BureauGrot Light"/>
        </w:rPr>
        <w:footnoteReference w:id="63"/>
      </w:r>
      <w:r w:rsidRPr="00037022">
        <w:rPr>
          <w:rFonts w:ascii="BureauGrot Light" w:hAnsi="BureauGrot Light"/>
        </w:rPr>
        <w:t xml:space="preserve"> The report does not examine how these systems may improve public services and does not note the expense of investing in said systems.</w:t>
      </w:r>
    </w:p>
    <w:p w:rsidR="00D25D19" w:rsidP="0036262B">
      <w:pPr>
        <w:pStyle w:val="ListParagraph"/>
        <w:jc w:val="both"/>
        <w:rPr>
          <w:rFonts w:ascii="BureauGrot Light" w:hAnsi="BureauGrot Light"/>
        </w:rPr>
      </w:pPr>
    </w:p>
    <w:p w:rsidR="00D25D19" w:rsidP="0036262B">
      <w:pPr>
        <w:pStyle w:val="ListParagraph"/>
        <w:numPr>
          <w:ilvl w:val="0"/>
          <w:numId w:val="35"/>
        </w:numPr>
        <w:jc w:val="both"/>
        <w:rPr>
          <w:rFonts w:ascii="BureauGrot Light" w:hAnsi="BureauGrot Light"/>
        </w:rPr>
      </w:pPr>
      <w:r w:rsidRPr="00264962">
        <w:rPr>
          <w:rFonts w:ascii="BureauGrot Light" w:hAnsi="BureauGrot Light"/>
        </w:rPr>
        <w:t>The plan notes that Government should help shape AI through improving procurement practices – Liberty agrees. However, we differ on the direction of this improvement. The plan contains no human rights framework for the procurement of AI in public services. This is a glaring oversight. As noted above, AI systems used in healthcare, welfare, and policing will directly affect people’s rights, yet the Plan does not explain how government will vet such systems; who is responsible if they cause harm; or how their</w:t>
      </w:r>
      <w:r w:rsidRPr="00264962">
        <w:rPr>
          <w:rFonts w:ascii="BureauGrot Light" w:hAnsi="BureauGrot Light"/>
        </w:rPr>
        <w:t xml:space="preserve"> use will be evaluated transparently.</w:t>
      </w:r>
    </w:p>
    <w:p w:rsidR="00D25D19" w:rsidRPr="00264962" w:rsidP="0036262B">
      <w:pPr>
        <w:pStyle w:val="ListParagraph"/>
        <w:rPr>
          <w:rFonts w:ascii="BureauGrot Light" w:hAnsi="BureauGrot Light"/>
          <w:highlight w:val="yellow"/>
        </w:rPr>
      </w:pPr>
    </w:p>
    <w:p w:rsidR="00D25D19" w:rsidP="0036262B">
      <w:pPr>
        <w:pStyle w:val="ListParagraph"/>
        <w:numPr>
          <w:ilvl w:val="0"/>
          <w:numId w:val="35"/>
        </w:numPr>
        <w:jc w:val="both"/>
        <w:rPr>
          <w:rFonts w:ascii="BureauGrot Light" w:hAnsi="BureauGrot Light"/>
        </w:rPr>
      </w:pPr>
      <w:r w:rsidRPr="0067019B">
        <w:rPr>
          <w:rFonts w:ascii="BureauGrot Light" w:hAnsi="BureauGrot Light"/>
        </w:rPr>
        <w:t xml:space="preserve">AI companies have been pitching themselves to businesses and governments </w:t>
      </w:r>
      <w:r>
        <w:rPr>
          <w:rFonts w:ascii="BureauGrot Light" w:hAnsi="BureauGrot Light"/>
        </w:rPr>
        <w:t xml:space="preserve">as the efficiency and productivity cure to over a decade of underinvestment. </w:t>
      </w:r>
      <w:r w:rsidRPr="0067019B">
        <w:rPr>
          <w:rFonts w:ascii="BureauGrot Light" w:hAnsi="BureauGrot Light"/>
        </w:rPr>
        <w:t xml:space="preserve">Public bodies must consider the cost benefit analysis of these investments. These systems are expensive; we should not be handing Big Tech a blank cheque. </w:t>
      </w:r>
    </w:p>
    <w:p w:rsidR="00D25D19" w:rsidRPr="008D4962" w:rsidP="0036262B">
      <w:pPr>
        <w:pStyle w:val="ListParagraph"/>
        <w:rPr>
          <w:rFonts w:ascii="BureauGrot Light" w:hAnsi="BureauGrot Light"/>
        </w:rPr>
      </w:pPr>
    </w:p>
    <w:p w:rsidR="00D25D19" w:rsidP="0036262B">
      <w:pPr>
        <w:pStyle w:val="ListParagraph"/>
        <w:numPr>
          <w:ilvl w:val="0"/>
          <w:numId w:val="35"/>
        </w:numPr>
        <w:jc w:val="both"/>
        <w:rPr>
          <w:rFonts w:ascii="BureauGrot Light" w:hAnsi="BureauGrot Light"/>
        </w:rPr>
      </w:pPr>
      <w:r w:rsidRPr="008D4962">
        <w:rPr>
          <w:rFonts w:ascii="BureauGrot Light" w:hAnsi="BureauGrot Light"/>
        </w:rPr>
        <w:t xml:space="preserve">The experience with Palantir’s NHS data platform highlights the risks. Reporting by Peter Geoghan and Lucas Amin revealed Palantir’s NHS data platform had been rejected by most hospitals. In 2023, the Government awarded Palantir a £330 million contract to build a new </w:t>
      </w:r>
      <w:r w:rsidRPr="008D4962">
        <w:rPr>
          <w:rFonts w:ascii="BureauGrot Light" w:hAnsi="BureauGrot Light"/>
        </w:rPr>
        <w:t>NHS data platform.</w:t>
      </w:r>
      <w:r>
        <w:rPr>
          <w:rStyle w:val="FootnoteReference"/>
          <w:rFonts w:ascii="BureauGrot Light" w:hAnsi="BureauGrot Light"/>
        </w:rPr>
        <w:footnoteReference w:id="64"/>
      </w:r>
      <w:r w:rsidRPr="008D4962">
        <w:rPr>
          <w:rFonts w:ascii="BureauGrot Light" w:hAnsi="BureauGrot Light"/>
        </w:rPr>
        <w:t xml:space="preserve"> However, according to NHS figures, fewer than a quarter of England’s 215 hospital trusts were actively using Palantir’s system by the end of 2024.</w:t>
      </w:r>
      <w:r>
        <w:rPr>
          <w:rStyle w:val="FootnoteReference"/>
          <w:rFonts w:ascii="BureauGrot Light" w:hAnsi="BureauGrot Light"/>
        </w:rPr>
        <w:footnoteReference w:id="65"/>
      </w:r>
      <w:r w:rsidRPr="008D4962">
        <w:rPr>
          <w:rFonts w:ascii="BureauGrot Light" w:hAnsi="BureauGrot Light"/>
        </w:rPr>
        <w:t xml:space="preserve"> An open letter from NHS Chief Data and Analytical officer Network noted many trusts ‘already have similar tools in use that presently exceed the capability and application of what [Palantir] is currently trying to develop.’</w:t>
      </w:r>
      <w:r>
        <w:rPr>
          <w:rStyle w:val="FootnoteReference"/>
          <w:rFonts w:ascii="BureauGrot Light" w:hAnsi="BureauGrot Light"/>
        </w:rPr>
        <w:footnoteReference w:id="66"/>
      </w:r>
      <w:r w:rsidRPr="008D4962">
        <w:rPr>
          <w:rFonts w:ascii="BureauGrot Light" w:hAnsi="BureauGrot Light"/>
        </w:rPr>
        <w:t xml:space="preserve"> Without clear safeguards, the UK risks wasting public money and undermining trust.</w:t>
      </w:r>
    </w:p>
    <w:p w:rsidR="00D25D19" w:rsidRPr="008A31CB" w:rsidP="008A31CB">
      <w:pPr>
        <w:pStyle w:val="ListParagraph"/>
        <w:rPr>
          <w:rFonts w:ascii="BureauGrot Light" w:hAnsi="BureauGrot Light"/>
        </w:rPr>
      </w:pPr>
    </w:p>
    <w:p w:rsidR="00D25D19" w:rsidRPr="008A31CB" w:rsidP="008A31CB">
      <w:pPr>
        <w:jc w:val="both"/>
        <w:rPr>
          <w:rFonts w:ascii="BureauGrot Light" w:hAnsi="BureauGrot Light"/>
        </w:rPr>
      </w:pPr>
    </w:p>
    <w:p w:rsidR="00D25D19" w:rsidRPr="00AD2211" w:rsidP="0036262B">
      <w:pPr>
        <w:jc w:val="both"/>
        <w:rPr>
          <w:rFonts w:ascii="BureauGrot Light" w:hAnsi="BureauGrot Light"/>
          <w:b/>
          <w:bCs/>
        </w:rPr>
      </w:pPr>
      <w:r w:rsidRPr="0034608B">
        <w:rPr>
          <w:rFonts w:ascii="BureauGrot Light" w:hAnsi="BureauGrot Light"/>
          <w:b/>
          <w:bCs/>
        </w:rPr>
        <w:t xml:space="preserve">Regulators </w:t>
      </w:r>
    </w:p>
    <w:p w:rsidR="00D25D19" w:rsidP="0036262B">
      <w:pPr>
        <w:pStyle w:val="ListParagraph"/>
        <w:numPr>
          <w:ilvl w:val="0"/>
          <w:numId w:val="35"/>
        </w:numPr>
        <w:jc w:val="both"/>
        <w:rPr>
          <w:rFonts w:ascii="BureauGrot Light" w:hAnsi="BureauGrot Light"/>
        </w:rPr>
      </w:pPr>
      <w:r w:rsidRPr="007F0B2F">
        <w:rPr>
          <w:rFonts w:ascii="BureauGrot Light" w:hAnsi="BureauGrot Light"/>
        </w:rPr>
        <w:t>The plan suggests departments should ‘focus on enabling safe AI innovation in their strategic guidance to regulators’ and that ‘all regulators [should prioritise] understanding AI’s impacts in their domains and considering how best to encourage its safe adoption.’</w:t>
      </w:r>
      <w:r>
        <w:rPr>
          <w:rStyle w:val="FootnoteReference"/>
          <w:rFonts w:ascii="BureauGrot Light" w:hAnsi="BureauGrot Light"/>
        </w:rPr>
        <w:footnoteReference w:id="67"/>
      </w:r>
      <w:r w:rsidRPr="007F0B2F">
        <w:rPr>
          <w:rFonts w:ascii="BureauGrot Light" w:hAnsi="BureauGrot Light"/>
        </w:rPr>
        <w:t xml:space="preserve"> Whilst we would suggest that in some cases, an analysis of an AI system’s safety and human rights impact will mean not adopting that system, Liberty does concur with the principle that any AI adoption must be safe and well understood by those responsible for implementing it. </w:t>
      </w:r>
    </w:p>
    <w:p w:rsidR="00D25D19" w:rsidP="008A31CB">
      <w:pPr>
        <w:pStyle w:val="ListParagraph"/>
        <w:jc w:val="both"/>
        <w:rPr>
          <w:rFonts w:ascii="BureauGrot Light" w:hAnsi="BureauGrot Light"/>
        </w:rPr>
      </w:pPr>
    </w:p>
    <w:p w:rsidR="00D25D19" w:rsidP="0036262B">
      <w:pPr>
        <w:pStyle w:val="ListParagraph"/>
        <w:numPr>
          <w:ilvl w:val="0"/>
          <w:numId w:val="35"/>
        </w:numPr>
        <w:jc w:val="both"/>
        <w:rPr>
          <w:rFonts w:ascii="BureauGrot Light" w:hAnsi="BureauGrot Light"/>
        </w:rPr>
      </w:pPr>
      <w:r w:rsidRPr="008705D1">
        <w:rPr>
          <w:rFonts w:ascii="BureauGrot Light" w:hAnsi="BureauGrot Light"/>
        </w:rPr>
        <w:t xml:space="preserve">The plan also suggests requiring regulators to annually publish how they enabled innovation and growth driven by AI in their sector. This is a mistake: it is not regulators’ role to help drive private sector companies’ growth. Their job must be to keep us safe from risky technologies and provide redress when people are harmed by those companies or a public body. The plan repeatedly cites the importance of building public trust in the Government’s approach to AI – this would seriously undermine it. </w:t>
      </w:r>
    </w:p>
    <w:p w:rsidR="00D25D19" w:rsidP="0036262B">
      <w:pPr>
        <w:pStyle w:val="ListParagraph"/>
        <w:jc w:val="both"/>
        <w:rPr>
          <w:rFonts w:ascii="BureauGrot Light" w:hAnsi="BureauGrot Light"/>
        </w:rPr>
      </w:pPr>
    </w:p>
    <w:p w:rsidR="00D25D19" w:rsidRPr="008705D1" w:rsidP="0036262B">
      <w:pPr>
        <w:pStyle w:val="ListParagraph"/>
        <w:numPr>
          <w:ilvl w:val="0"/>
          <w:numId w:val="35"/>
        </w:numPr>
        <w:jc w:val="both"/>
        <w:rPr>
          <w:rFonts w:ascii="BureauGrot Light" w:hAnsi="BureauGrot Light"/>
        </w:rPr>
      </w:pPr>
      <w:r w:rsidRPr="008705D1">
        <w:rPr>
          <w:rFonts w:ascii="BureauGrot Light" w:hAnsi="BureauGrot Light"/>
        </w:rPr>
        <w:t>The plan also suggests committing to ‘funding regulators to scale up their AI capabilities, some of which need urgent addressing.’ Liberty whole-heartedly agrees.</w:t>
      </w:r>
    </w:p>
    <w:p w:rsidR="00D25D19" w:rsidRPr="006161DE" w:rsidP="0036262B">
      <w:pPr>
        <w:jc w:val="both"/>
        <w:rPr>
          <w:rFonts w:ascii="BureauGrot Light" w:hAnsi="BureauGrot Light"/>
          <w:b/>
          <w:bCs/>
        </w:rPr>
      </w:pPr>
      <w:r w:rsidRPr="006161DE">
        <w:rPr>
          <w:rFonts w:ascii="BureauGrot Light" w:hAnsi="BureauGrot Light"/>
          <w:b/>
          <w:bCs/>
        </w:rPr>
        <w:t>Environmental Impact</w:t>
      </w:r>
    </w:p>
    <w:p w:rsidR="00D25D19" w:rsidRPr="0096019F" w:rsidP="0036262B">
      <w:pPr>
        <w:pStyle w:val="ListParagraph"/>
        <w:numPr>
          <w:ilvl w:val="0"/>
          <w:numId w:val="35"/>
        </w:numPr>
        <w:jc w:val="both"/>
        <w:rPr>
          <w:rFonts w:ascii="BureauGrot Light" w:hAnsi="BureauGrot Light"/>
        </w:rPr>
      </w:pPr>
      <w:r w:rsidRPr="0096019F">
        <w:rPr>
          <w:rFonts w:ascii="BureauGrot Light" w:hAnsi="BureauGrot Light"/>
        </w:rPr>
        <w:t>The plan does not address the environmental costs of AI. Training and deploying large AI models requires vast computing resources, consuming electricity at a scale that exacerbates the UK’s already overstretched grid. The suggestion that small nuclear reactors</w:t>
      </w:r>
      <w:r>
        <w:rPr>
          <w:rStyle w:val="FootnoteReference"/>
          <w:rFonts w:ascii="BureauGrot Light" w:hAnsi="BureauGrot Light"/>
        </w:rPr>
        <w:footnoteReference w:id="68"/>
      </w:r>
      <w:r w:rsidRPr="0096019F">
        <w:rPr>
          <w:rFonts w:ascii="BureauGrot Light" w:hAnsi="BureauGrot Light"/>
        </w:rPr>
        <w:t xml:space="preserve"> will address these demands is not credible: such reactors are at least a decade from deployment.</w:t>
      </w:r>
      <w:r>
        <w:rPr>
          <w:rStyle w:val="FootnoteReference"/>
          <w:rFonts w:ascii="BureauGrot Light" w:hAnsi="BureauGrot Light"/>
        </w:rPr>
        <w:footnoteReference w:id="69"/>
      </w:r>
      <w:r w:rsidRPr="0096019F">
        <w:rPr>
          <w:rFonts w:ascii="BureauGrot Light" w:hAnsi="BureauGrot Light"/>
        </w:rPr>
        <w:t xml:space="preserve"> There is a real trade-off between scaling up AI compute at the pace Big Tech giants are demanding </w:t>
      </w:r>
      <w:r w:rsidRPr="0096019F">
        <w:rPr>
          <w:rFonts w:ascii="BureauGrot Light" w:hAnsi="BureauGrot Light"/>
        </w:rPr>
        <w:t>and meeting our Net Zero goals</w:t>
      </w:r>
      <w:r>
        <w:rPr>
          <w:rStyle w:val="FootnoteReference"/>
          <w:rFonts w:ascii="BureauGrot Light" w:hAnsi="BureauGrot Light"/>
        </w:rPr>
        <w:footnoteReference w:id="70"/>
      </w:r>
      <w:r w:rsidRPr="0096019F">
        <w:rPr>
          <w:rFonts w:ascii="BureauGrot Light" w:hAnsi="BureauGrot Light"/>
        </w:rPr>
        <w:t>, and the Government should prioritise the environment.</w:t>
      </w:r>
      <w:r>
        <w:t xml:space="preserve"> </w:t>
      </w:r>
      <w:r w:rsidRPr="0096019F">
        <w:rPr>
          <w:rFonts w:ascii="BureauGrot Light" w:hAnsi="BureauGrot Light"/>
        </w:rPr>
        <w:t xml:space="preserve">Ignoring </w:t>
      </w:r>
      <w:r>
        <w:rPr>
          <w:rFonts w:ascii="BureauGrot Light" w:hAnsi="BureauGrot Light"/>
        </w:rPr>
        <w:t>AI’s</w:t>
      </w:r>
      <w:r w:rsidRPr="0096019F">
        <w:rPr>
          <w:rFonts w:ascii="BureauGrot Light" w:hAnsi="BureauGrot Light"/>
        </w:rPr>
        <w:t xml:space="preserve"> environmental impacts not only undermines human rights but risks shifting costs onto future generations.</w:t>
      </w:r>
    </w:p>
    <w:p w:rsidR="00D25D19" w:rsidRPr="00A24300" w:rsidP="0036262B">
      <w:pPr>
        <w:jc w:val="both"/>
        <w:rPr>
          <w:rFonts w:ascii="BureauGrot Light" w:hAnsi="BureauGrot Light"/>
        </w:rPr>
      </w:pPr>
      <w:r w:rsidRPr="00A24300">
        <w:rPr>
          <w:rFonts w:ascii="BureauGrot Light" w:hAnsi="BureauGrot Light"/>
          <w:b/>
          <w:bCs/>
        </w:rPr>
        <w:t>Preparing UK society for any AI-related change</w:t>
      </w:r>
    </w:p>
    <w:p w:rsidR="00D25D19" w:rsidP="0036262B">
      <w:pPr>
        <w:pStyle w:val="ListParagraph"/>
        <w:numPr>
          <w:ilvl w:val="0"/>
          <w:numId w:val="35"/>
        </w:numPr>
        <w:jc w:val="both"/>
        <w:rPr>
          <w:rFonts w:ascii="BureauGrot Light" w:hAnsi="BureauGrot Light"/>
        </w:rPr>
      </w:pPr>
      <w:r w:rsidRPr="0096019F">
        <w:rPr>
          <w:rFonts w:ascii="BureauGrot Light" w:hAnsi="BureauGrot Light"/>
        </w:rPr>
        <w:t>The Government must ensure it is not only funding investments in the “AI opportunities” but is investing in responding to AI risks and harms. Susie Alegre, a technology and human rights barrister pointed to the Post Office IT scandal as a ‘reminder of the dangers of putting too much faith in technology without the resources for effective accountability.’</w:t>
      </w:r>
      <w:r>
        <w:rPr>
          <w:rStyle w:val="FootnoteReference"/>
          <w:rFonts w:ascii="BureauGrot Light" w:hAnsi="BureauGrot Light"/>
        </w:rPr>
        <w:footnoteReference w:id="71"/>
      </w:r>
    </w:p>
    <w:p w:rsidR="00D25D19" w:rsidP="0036262B">
      <w:pPr>
        <w:pStyle w:val="ListParagraph"/>
        <w:jc w:val="both"/>
        <w:rPr>
          <w:rFonts w:ascii="BureauGrot Light" w:hAnsi="BureauGrot Light"/>
        </w:rPr>
      </w:pPr>
    </w:p>
    <w:p w:rsidR="00D25D19" w:rsidRPr="00696D6C" w:rsidP="0036262B">
      <w:pPr>
        <w:pStyle w:val="ListParagraph"/>
        <w:numPr>
          <w:ilvl w:val="0"/>
          <w:numId w:val="35"/>
        </w:numPr>
        <w:jc w:val="both"/>
        <w:rPr>
          <w:rFonts w:ascii="BureauGrot Light" w:hAnsi="BureauGrot Light"/>
        </w:rPr>
      </w:pPr>
      <w:r w:rsidRPr="00696D6C">
        <w:rPr>
          <w:rFonts w:ascii="BureauGrot Light" w:hAnsi="BureauGrot Light"/>
        </w:rPr>
        <w:t xml:space="preserve">The plan suggests that the ‘risks from underinvesting and underpreparing seem much greater than the risks from the opposite.’ Liberty agrees – in relation to addressing AI harms and properly regulating the many uses of AI in the public and private sectors. </w:t>
      </w:r>
    </w:p>
    <w:p w:rsidR="00D25D19" w:rsidP="0036262B">
      <w:pPr>
        <w:jc w:val="both"/>
      </w:pPr>
    </w:p>
    <w:p w:rsidR="00D25D19" w:rsidRPr="003F65BD" w:rsidP="0036262B">
      <w:pPr>
        <w:jc w:val="both"/>
        <w:rPr>
          <w:rFonts w:ascii="BureauGrotCondensed" w:hAnsi="BureauGrotCondensed"/>
          <w:b/>
          <w:bCs/>
          <w:color w:val="9F814F"/>
          <w:sz w:val="28"/>
          <w:szCs w:val="28"/>
        </w:rPr>
      </w:pPr>
      <w:r w:rsidRPr="003F65BD">
        <w:rPr>
          <w:rFonts w:ascii="BureauGrotCondensed" w:hAnsi="BureauGrotCondensed"/>
          <w:b/>
          <w:bCs/>
          <w:color w:val="9F814F"/>
          <w:sz w:val="28"/>
          <w:szCs w:val="28"/>
        </w:rPr>
        <w:t>What would be needed in any future UK legislation to protect human rights?</w:t>
      </w:r>
    </w:p>
    <w:p w:rsidR="00D25D19" w:rsidRPr="003F65BD" w:rsidP="0036262B">
      <w:pPr>
        <w:numPr>
          <w:ilvl w:val="0"/>
          <w:numId w:val="2"/>
        </w:numPr>
        <w:jc w:val="both"/>
        <w:rPr>
          <w:rFonts w:ascii="BureauGrotCondensed" w:hAnsi="BureauGrotCondensed"/>
          <w:b/>
          <w:bCs/>
          <w:color w:val="9F814F"/>
          <w:sz w:val="28"/>
          <w:szCs w:val="28"/>
        </w:rPr>
      </w:pPr>
      <w:r w:rsidRPr="003F65BD">
        <w:rPr>
          <w:rFonts w:ascii="BureauGrotCondensed" w:hAnsi="BureauGrotCondensed"/>
          <w:b/>
          <w:bCs/>
          <w:color w:val="9F814F"/>
          <w:sz w:val="28"/>
          <w:szCs w:val="28"/>
        </w:rPr>
        <w:t>To what extent should the same human rights standards apply to private actors as public bodies when they use AI?</w:t>
      </w:r>
    </w:p>
    <w:p w:rsidR="00D25D19" w:rsidRPr="003F65BD" w:rsidP="0036262B">
      <w:pPr>
        <w:numPr>
          <w:ilvl w:val="0"/>
          <w:numId w:val="2"/>
        </w:numPr>
        <w:jc w:val="both"/>
        <w:rPr>
          <w:rFonts w:ascii="BureauGrotCondensed" w:hAnsi="BureauGrotCondensed"/>
          <w:b/>
          <w:bCs/>
          <w:color w:val="9F814F"/>
          <w:sz w:val="28"/>
          <w:szCs w:val="28"/>
        </w:rPr>
      </w:pPr>
      <w:r w:rsidRPr="003F65BD">
        <w:rPr>
          <w:rFonts w:ascii="BureauGrotCondensed" w:hAnsi="BureauGrotCondensed"/>
          <w:b/>
          <w:bCs/>
          <w:color w:val="9F814F"/>
          <w:sz w:val="28"/>
          <w:szCs w:val="28"/>
        </w:rPr>
        <w:t>To what extent might different kinds of AI technology require different regulatory approaches?</w:t>
      </w:r>
    </w:p>
    <w:p w:rsidR="00D25D19" w:rsidRPr="00A75276" w:rsidP="0036262B">
      <w:pPr>
        <w:jc w:val="both"/>
        <w:rPr>
          <w:rFonts w:ascii="BureauGrot Light" w:hAnsi="BureauGrot Light"/>
          <w:b/>
          <w:bCs/>
        </w:rPr>
      </w:pPr>
      <w:r w:rsidRPr="00A75276">
        <w:rPr>
          <w:rFonts w:ascii="BureauGrot Light" w:hAnsi="BureauGrot Light"/>
          <w:b/>
          <w:bCs/>
        </w:rPr>
        <w:t>Fortifying the UK’s regulatory approach</w:t>
      </w:r>
    </w:p>
    <w:p w:rsidR="00D25D19" w:rsidP="0036262B">
      <w:pPr>
        <w:pStyle w:val="ListParagraph"/>
        <w:numPr>
          <w:ilvl w:val="0"/>
          <w:numId w:val="35"/>
        </w:numPr>
        <w:jc w:val="both"/>
        <w:rPr>
          <w:rFonts w:ascii="BureauGrot Light" w:hAnsi="BureauGrot Light"/>
        </w:rPr>
      </w:pPr>
      <w:r w:rsidRPr="0027536E">
        <w:rPr>
          <w:rFonts w:ascii="BureauGrot Light" w:hAnsi="BureauGrot Light"/>
        </w:rPr>
        <w:t>Liberty believes the UK needs a regulatory framework that meets our moment by plugging gaps in the current regime and empowers regulators to flexibly and robustly address current and emerging AI harms.</w:t>
      </w:r>
    </w:p>
    <w:p w:rsidR="00D25D19" w:rsidP="000A3A09">
      <w:pPr>
        <w:pStyle w:val="ListParagraph"/>
        <w:jc w:val="both"/>
        <w:rPr>
          <w:rFonts w:ascii="BureauGrot Light" w:hAnsi="BureauGrot Light"/>
        </w:rPr>
      </w:pPr>
    </w:p>
    <w:p w:rsidR="00D25D19" w:rsidRPr="000A3A09" w:rsidP="0036262B">
      <w:pPr>
        <w:pStyle w:val="ListParagraph"/>
        <w:numPr>
          <w:ilvl w:val="0"/>
          <w:numId w:val="35"/>
        </w:numPr>
        <w:jc w:val="both"/>
        <w:rPr>
          <w:rFonts w:ascii="BureauGrot Light" w:hAnsi="BureauGrot Light"/>
        </w:rPr>
      </w:pPr>
      <w:r w:rsidRPr="000A3A09">
        <w:rPr>
          <w:rFonts w:ascii="BureauGrot Light" w:hAnsi="BureauGrot Light"/>
        </w:rPr>
        <w:t>The Government must tie together the fragmented regulatory landscape outlined above with a coherent regulatory framework. Where these legal protections have proved insufficient, they should be made more robust (for example, improving access to data underlying an automated decision). Where regulators have been under-resourced and unempowered, the Government should strengthen and enhance resourcing and regulatory powers. Where there are gaps in coverage and protection, the Government must legislate to address</w:t>
      </w:r>
      <w:r w:rsidRPr="000A3A09">
        <w:rPr>
          <w:rFonts w:ascii="BureauGrot Light" w:hAnsi="BureauGrot Light"/>
        </w:rPr>
        <w:t xml:space="preserve"> them. Voluntary commitments (such as the Algorithmic Transparency Recording Standard and the </w:t>
      </w:r>
      <w:r w:rsidRPr="000A3A09">
        <w:rPr>
          <w:rFonts w:ascii="BureauGrot Light" w:hAnsi="BureauGrot Light"/>
        </w:rPr>
        <w:t>Frontier AI Safety Commitments</w:t>
      </w:r>
      <w:r>
        <w:rPr>
          <w:rStyle w:val="FootnoteReference"/>
          <w:rFonts w:ascii="BureauGrot Light" w:hAnsi="BureauGrot Light"/>
        </w:rPr>
        <w:footnoteReference w:id="72"/>
      </w:r>
      <w:r w:rsidRPr="000A3A09">
        <w:rPr>
          <w:rFonts w:ascii="BureauGrot Light" w:hAnsi="BureauGrot Light"/>
        </w:rPr>
        <w:t xml:space="preserve">) should be put on statutory footing. Any development of compliance metrics and assurance methods must be led by regulators, not private companies.  </w:t>
      </w:r>
    </w:p>
    <w:p w:rsidR="00D25D19" w:rsidRPr="00583171" w:rsidP="0036262B">
      <w:pPr>
        <w:jc w:val="both"/>
        <w:rPr>
          <w:rFonts w:ascii="BureauGrot Light" w:hAnsi="BureauGrot Light"/>
          <w:b/>
          <w:bCs/>
        </w:rPr>
      </w:pPr>
      <w:r w:rsidRPr="4968A072">
        <w:rPr>
          <w:rFonts w:ascii="BureauGrot Light" w:hAnsi="BureauGrot Light"/>
          <w:b/>
          <w:bCs/>
        </w:rPr>
        <w:t>Lifecycle</w:t>
      </w:r>
      <w:r w:rsidRPr="00583171">
        <w:rPr>
          <w:rFonts w:ascii="BureauGrot Light" w:hAnsi="BureauGrot Light"/>
          <w:b/>
          <w:bCs/>
        </w:rPr>
        <w:t xml:space="preserve"> regulation</w:t>
      </w:r>
    </w:p>
    <w:p w:rsidR="00D25D19" w:rsidP="0036262B">
      <w:pPr>
        <w:pStyle w:val="ListParagraph"/>
        <w:numPr>
          <w:ilvl w:val="0"/>
          <w:numId w:val="35"/>
        </w:numPr>
        <w:jc w:val="both"/>
        <w:rPr>
          <w:rFonts w:ascii="BureauGrot Light" w:hAnsi="BureauGrot Light"/>
        </w:rPr>
      </w:pPr>
      <w:r w:rsidRPr="000A3A09">
        <w:rPr>
          <w:rFonts w:ascii="BureauGrot Light" w:hAnsi="BureauGrot Light"/>
        </w:rPr>
        <w:t>To properly address AI harms, the Government should take an end-to-end, or “lifecycle”, approach to AI regulation. This would involve regulating and enforcing how data is collected and stored, how model training processes are designed, development and testing, and continued monitoring through the AI’s deployment. There should be a responsible party at each stage of this process, who is accountable for ensuring that the system is rights-respecting and not causing harm. There should be transparency and disclo</w:t>
      </w:r>
      <w:r w:rsidRPr="000A3A09">
        <w:rPr>
          <w:rFonts w:ascii="BureauGrot Light" w:hAnsi="BureauGrot Light"/>
        </w:rPr>
        <w:t xml:space="preserve">sure duties on each of these parties to ensure their systems and regulatory compliance can be audited. Some of this can be achieved via current legal frameworks like UK GDPR, others will need new powers and bodies. </w:t>
      </w:r>
    </w:p>
    <w:p w:rsidR="00D25D19" w:rsidP="00B21481">
      <w:pPr>
        <w:pStyle w:val="ListParagraph"/>
        <w:jc w:val="both"/>
        <w:rPr>
          <w:rFonts w:ascii="BureauGrot Light" w:hAnsi="BureauGrot Light"/>
        </w:rPr>
      </w:pPr>
    </w:p>
    <w:p w:rsidR="00D25D19" w:rsidP="0036262B">
      <w:pPr>
        <w:pStyle w:val="ListParagraph"/>
        <w:numPr>
          <w:ilvl w:val="0"/>
          <w:numId w:val="35"/>
        </w:numPr>
        <w:jc w:val="both"/>
        <w:rPr>
          <w:rFonts w:ascii="BureauGrot Light" w:hAnsi="BureauGrot Light"/>
        </w:rPr>
      </w:pPr>
      <w:r w:rsidRPr="00B21481">
        <w:rPr>
          <w:rFonts w:ascii="BureauGrot Light" w:hAnsi="BureauGrot Light"/>
        </w:rPr>
        <w:t xml:space="preserve">As the Ada Lovelace Institute notes, post-market monitoring measures </w:t>
      </w:r>
      <w:r>
        <w:rPr>
          <w:rFonts w:ascii="BureauGrot Light" w:hAnsi="BureauGrot Light"/>
        </w:rPr>
        <w:t>are</w:t>
      </w:r>
      <w:r w:rsidRPr="00B21481">
        <w:rPr>
          <w:rFonts w:ascii="BureauGrot Light" w:hAnsi="BureauGrot Light"/>
        </w:rPr>
        <w:t xml:space="preserve"> essential to address AI harms. AI systems’ performance and behaviour can change with new data, and assurances of system performance in one context may not apply to another.</w:t>
      </w:r>
      <w:r>
        <w:rPr>
          <w:rStyle w:val="FootnoteReference"/>
          <w:rFonts w:ascii="BureauGrot Light" w:hAnsi="BureauGrot Light"/>
        </w:rPr>
        <w:footnoteReference w:id="73"/>
      </w:r>
      <w:r w:rsidRPr="00B21481">
        <w:rPr>
          <w:rFonts w:ascii="BureauGrot Light" w:hAnsi="BureauGrot Light"/>
        </w:rPr>
        <w:t xml:space="preserve"> </w:t>
      </w:r>
    </w:p>
    <w:p w:rsidR="00D25D19" w:rsidRPr="00B21481" w:rsidP="00B21481">
      <w:pPr>
        <w:pStyle w:val="ListParagraph"/>
        <w:rPr>
          <w:rFonts w:ascii="BureauGrot Light" w:hAnsi="BureauGrot Light"/>
        </w:rPr>
      </w:pPr>
    </w:p>
    <w:p w:rsidR="00D25D19" w:rsidRPr="00B21481" w:rsidP="0036262B">
      <w:pPr>
        <w:pStyle w:val="ListParagraph"/>
        <w:numPr>
          <w:ilvl w:val="0"/>
          <w:numId w:val="35"/>
        </w:numPr>
        <w:jc w:val="both"/>
        <w:rPr>
          <w:rFonts w:ascii="BureauGrot Light" w:hAnsi="BureauGrot Light"/>
        </w:rPr>
      </w:pPr>
      <w:r w:rsidRPr="00B21481">
        <w:rPr>
          <w:rFonts w:ascii="BureauGrot Light" w:hAnsi="BureauGrot Light"/>
        </w:rPr>
        <w:t xml:space="preserve">The AI Now Institute highlights the importance of regulating both the application of models and the foundation </w:t>
      </w:r>
      <w:r w:rsidRPr="00B21481">
        <w:rPr>
          <w:rFonts w:ascii="BureauGrot Light" w:hAnsi="BureauGrot Light"/>
        </w:rPr>
        <w:t>models</w:t>
      </w:r>
      <w:r w:rsidRPr="00B21481">
        <w:rPr>
          <w:rFonts w:ascii="BureauGrot Light" w:hAnsi="BureauGrot Light"/>
        </w:rPr>
        <w:t xml:space="preserve"> themselves. Their 2025 Landscape Report notes ‘Certain aspects of AI models will be best evaluated at the application stage: This is where pre-deployment testing and validation will give the most insight into the efficacy and safety of particular uses of AI.’</w:t>
      </w:r>
      <w:r>
        <w:rPr>
          <w:rStyle w:val="FootnoteReference"/>
          <w:rFonts w:ascii="BureauGrot Light" w:hAnsi="BureauGrot Light"/>
        </w:rPr>
        <w:footnoteReference w:id="74"/>
      </w:r>
      <w:r w:rsidRPr="00B21481">
        <w:rPr>
          <w:rFonts w:ascii="BureauGrot Light" w:hAnsi="BureauGrot Light"/>
        </w:rPr>
        <w:t xml:space="preserve"> However, foundation models and those constructing training databases have largely escaped scrutiny.</w:t>
      </w:r>
      <w:r>
        <w:rPr>
          <w:rStyle w:val="FootnoteReference"/>
          <w:rFonts w:ascii="BureauGrot Light" w:hAnsi="BureauGrot Light"/>
        </w:rPr>
        <w:footnoteReference w:id="75"/>
      </w:r>
      <w:r w:rsidRPr="00B21481">
        <w:rPr>
          <w:rFonts w:ascii="BureauGrot Light" w:hAnsi="BureauGrot Light"/>
        </w:rPr>
        <w:t xml:space="preserve"> They suggest that ‘introducing stronger accountability requirements at the foundation-model layer would motivate restructuring of the development practices, and potentially the operating model, of AI developers.’</w:t>
      </w:r>
      <w:r>
        <w:rPr>
          <w:rStyle w:val="FootnoteReference"/>
          <w:rFonts w:ascii="BureauGrot Light" w:hAnsi="BureauGrot Light"/>
        </w:rPr>
        <w:footnoteReference w:id="76"/>
      </w:r>
      <w:r>
        <w:rPr>
          <w:rFonts w:ascii="BureauGrot Light" w:hAnsi="BureauGrot Light"/>
        </w:rPr>
        <w:t xml:space="preserve"> </w:t>
      </w:r>
    </w:p>
    <w:p w:rsidR="00D25D19" w:rsidRPr="00112D98" w:rsidP="0036262B">
      <w:pPr>
        <w:jc w:val="both"/>
        <w:rPr>
          <w:rFonts w:ascii="BureauGrot Light" w:hAnsi="BureauGrot Light"/>
          <w:b/>
          <w:bCs/>
        </w:rPr>
      </w:pPr>
      <w:r w:rsidRPr="00112D98">
        <w:rPr>
          <w:rFonts w:ascii="BureauGrot Light" w:hAnsi="BureauGrot Light"/>
          <w:b/>
          <w:bCs/>
        </w:rPr>
        <w:t xml:space="preserve">Bright </w:t>
      </w:r>
      <w:r w:rsidRPr="009A28A0">
        <w:rPr>
          <w:rFonts w:ascii="BureauGrot Light" w:hAnsi="BureauGrot Light"/>
          <w:b/>
          <w:bCs/>
        </w:rPr>
        <w:t>l</w:t>
      </w:r>
      <w:r w:rsidRPr="00112D98">
        <w:rPr>
          <w:rFonts w:ascii="BureauGrot Light" w:hAnsi="BureauGrot Light"/>
          <w:b/>
          <w:bCs/>
        </w:rPr>
        <w:t>ines</w:t>
      </w:r>
      <w:r w:rsidRPr="009A28A0">
        <w:rPr>
          <w:rFonts w:ascii="BureauGrot Light" w:hAnsi="BureauGrot Light"/>
          <w:b/>
          <w:bCs/>
        </w:rPr>
        <w:t xml:space="preserve"> on</w:t>
      </w:r>
      <w:r w:rsidRPr="00112D98">
        <w:rPr>
          <w:rFonts w:ascii="BureauGrot Light" w:hAnsi="BureauGrot Light"/>
          <w:b/>
          <w:bCs/>
        </w:rPr>
        <w:t xml:space="preserve"> </w:t>
      </w:r>
      <w:r w:rsidRPr="009A28A0">
        <w:rPr>
          <w:rFonts w:ascii="BureauGrot Light" w:hAnsi="BureauGrot Light"/>
          <w:b/>
          <w:bCs/>
        </w:rPr>
        <w:t>h</w:t>
      </w:r>
      <w:r w:rsidRPr="00112D98">
        <w:rPr>
          <w:rFonts w:ascii="BureauGrot Light" w:hAnsi="BureauGrot Light"/>
          <w:b/>
          <w:bCs/>
        </w:rPr>
        <w:t>armful AI Uses</w:t>
      </w:r>
    </w:p>
    <w:p w:rsidR="00D25D19" w:rsidP="0036262B">
      <w:pPr>
        <w:pStyle w:val="ListParagraph"/>
        <w:numPr>
          <w:ilvl w:val="0"/>
          <w:numId w:val="35"/>
        </w:numPr>
        <w:jc w:val="both"/>
        <w:rPr>
          <w:rFonts w:ascii="BureauGrot Light" w:hAnsi="BureauGrot Light"/>
        </w:rPr>
      </w:pPr>
      <w:r w:rsidRPr="00F133A9">
        <w:rPr>
          <w:rFonts w:ascii="BureauGrot Light" w:hAnsi="BureauGrot Light"/>
        </w:rPr>
        <w:t>A rights-based approach to AI regulation requires the establishment of clear prohibitions—so-called “bright lines”—to prevent the most harmful uses. AI Now’s 2025 Landscape Report recommends outright bans on practices such as social scoring, emotion detection, the use of surveillance data to set wages or prices or to sell to third parties, and the generation of political or sexually explicit deepfakes.</w:t>
      </w:r>
      <w:r>
        <w:rPr>
          <w:rStyle w:val="FootnoteReference"/>
          <w:rFonts w:ascii="BureauGrot Light" w:hAnsi="BureauGrot Light"/>
        </w:rPr>
        <w:footnoteReference w:id="77"/>
      </w:r>
    </w:p>
    <w:p w:rsidR="00D25D19" w:rsidP="00F133A9">
      <w:pPr>
        <w:pStyle w:val="ListParagraph"/>
        <w:jc w:val="both"/>
        <w:rPr>
          <w:rFonts w:ascii="BureauGrot Light" w:hAnsi="BureauGrot Light"/>
        </w:rPr>
      </w:pPr>
    </w:p>
    <w:p w:rsidR="00D25D19" w:rsidP="0036262B">
      <w:pPr>
        <w:pStyle w:val="ListParagraph"/>
        <w:numPr>
          <w:ilvl w:val="0"/>
          <w:numId w:val="35"/>
        </w:numPr>
        <w:jc w:val="both"/>
        <w:rPr>
          <w:rFonts w:ascii="BureauGrot Light" w:hAnsi="BureauGrot Light"/>
        </w:rPr>
      </w:pPr>
      <w:r w:rsidRPr="00F133A9">
        <w:rPr>
          <w:rFonts w:ascii="BureauGrot Light" w:hAnsi="BureauGrot Light"/>
        </w:rPr>
        <w:t>The United Nations has reinforced these demands. In its 2021 report on The Right to Privacy in the Digital Age, the UN High Commissioner for Human Rights called for bans on AI applications that cannot comply with international human rights law, as well as moratoriums on high-risk systems until adequate safeguards are in place.</w:t>
      </w:r>
      <w:r>
        <w:rPr>
          <w:rStyle w:val="FootnoteReference"/>
          <w:rFonts w:ascii="BureauGrot Light" w:hAnsi="BureauGrot Light"/>
        </w:rPr>
        <w:footnoteReference w:id="78"/>
      </w:r>
      <w:r w:rsidRPr="00F133A9">
        <w:rPr>
          <w:rFonts w:ascii="BureauGrot Light" w:hAnsi="BureauGrot Light"/>
        </w:rPr>
        <w:t xml:space="preserve"> The report urged a moratorium on remote biometric recognition in public spaces until compliance with privacy standards, accuracy, and non-discrimination can be demonstrated. </w:t>
      </w:r>
    </w:p>
    <w:p w:rsidR="00D25D19" w:rsidRPr="00736AFE" w:rsidP="00736AFE">
      <w:pPr>
        <w:pStyle w:val="ListParagraph"/>
        <w:rPr>
          <w:rFonts w:ascii="BureauGrot Light" w:hAnsi="BureauGrot Light"/>
        </w:rPr>
      </w:pPr>
    </w:p>
    <w:p w:rsidR="00D25D19" w:rsidRPr="00736AFE" w:rsidP="0036262B">
      <w:pPr>
        <w:pStyle w:val="ListParagraph"/>
        <w:numPr>
          <w:ilvl w:val="0"/>
          <w:numId w:val="35"/>
        </w:numPr>
        <w:jc w:val="both"/>
        <w:rPr>
          <w:rFonts w:ascii="BureauGrot Light" w:hAnsi="BureauGrot Light"/>
        </w:rPr>
      </w:pPr>
      <w:r w:rsidRPr="00736AFE">
        <w:rPr>
          <w:rFonts w:ascii="BureauGrot Light" w:hAnsi="BureauGrot Light"/>
        </w:rPr>
        <w:t xml:space="preserve">Liberty agrees that there are some AI uses that are fundamentally incompatible with human rights and must be prohibited outright. </w:t>
      </w:r>
    </w:p>
    <w:p w:rsidR="00D25D19" w:rsidRPr="005E7FC7" w:rsidP="0036262B">
      <w:pPr>
        <w:jc w:val="both"/>
        <w:rPr>
          <w:rFonts w:ascii="BureauGrot Light" w:hAnsi="BureauGrot Light"/>
          <w:b/>
          <w:bCs/>
        </w:rPr>
      </w:pPr>
      <w:r w:rsidRPr="005E7FC7">
        <w:rPr>
          <w:rFonts w:ascii="BureauGrot Light" w:hAnsi="BureauGrot Light"/>
          <w:b/>
          <w:bCs/>
        </w:rPr>
        <w:t xml:space="preserve">Private companies </w:t>
      </w:r>
    </w:p>
    <w:p w:rsidR="00D25D19" w:rsidP="0036262B">
      <w:pPr>
        <w:pStyle w:val="ListParagraph"/>
        <w:numPr>
          <w:ilvl w:val="0"/>
          <w:numId w:val="35"/>
        </w:numPr>
        <w:jc w:val="both"/>
        <w:rPr>
          <w:rFonts w:ascii="BureauGrot Light" w:hAnsi="BureauGrot Light"/>
        </w:rPr>
      </w:pPr>
      <w:r w:rsidRPr="00790C1E">
        <w:rPr>
          <w:rFonts w:ascii="BureauGrot Light" w:hAnsi="BureauGrot Light"/>
        </w:rPr>
        <w:t xml:space="preserve">Private companies must abide by human rights standards and should be regulated accordingly. The Government has already begun to build the regulatory framework around what Big Tech can and cannot do via the Online Safety Act. This intervention to protect people from social media’s harms arguably came at least a decade too late. Liberty would urge the Government not to repeat the mistakes of the past and begin building protections from AI harms before more people are hurt by unregulated </w:t>
      </w:r>
      <w:r>
        <w:rPr>
          <w:rFonts w:ascii="BureauGrot Light" w:hAnsi="BureauGrot Light"/>
        </w:rPr>
        <w:t xml:space="preserve">(or badly regulated) </w:t>
      </w:r>
      <w:r w:rsidRPr="00790C1E">
        <w:rPr>
          <w:rFonts w:ascii="BureauGrot Light" w:hAnsi="BureauGrot Light"/>
        </w:rPr>
        <w:t xml:space="preserve">systems. </w:t>
      </w:r>
    </w:p>
    <w:p w:rsidR="00D25D19" w:rsidP="00D176C0">
      <w:pPr>
        <w:pStyle w:val="ListParagraph"/>
        <w:jc w:val="both"/>
        <w:rPr>
          <w:rFonts w:ascii="BureauGrot Light" w:hAnsi="BureauGrot Light"/>
        </w:rPr>
      </w:pPr>
    </w:p>
    <w:p w:rsidR="00D25D19" w:rsidP="0036262B">
      <w:pPr>
        <w:pStyle w:val="ListParagraph"/>
        <w:numPr>
          <w:ilvl w:val="0"/>
          <w:numId w:val="35"/>
        </w:numPr>
        <w:jc w:val="both"/>
        <w:rPr>
          <w:rFonts w:ascii="BureauGrot Light" w:hAnsi="BureauGrot Light"/>
        </w:rPr>
      </w:pPr>
      <w:r w:rsidRPr="00D176C0">
        <w:rPr>
          <w:rFonts w:ascii="BureauGrot Light" w:hAnsi="BureauGrot Light"/>
        </w:rPr>
        <w:t>This is particularly important in the context of the highly concentrated AI market. 55% of the world’s cloud computing capacity is now controlled by only two US companies.</w:t>
      </w:r>
      <w:r>
        <w:rPr>
          <w:rStyle w:val="FootnoteReference"/>
          <w:rFonts w:ascii="BureauGrot Light" w:hAnsi="BureauGrot Light"/>
        </w:rPr>
        <w:footnoteReference w:id="79"/>
      </w:r>
      <w:r w:rsidRPr="00D176C0">
        <w:rPr>
          <w:rFonts w:ascii="BureauGrot Light" w:hAnsi="BureauGrot Light"/>
        </w:rPr>
        <w:t xml:space="preserve"> Since 2022, Google, Amazon, Meta and Microsoft have been spending billions and leveraging their compute and data infrastructures to position themselves as essential suppliers within the tech ecosystem.</w:t>
      </w:r>
      <w:r>
        <w:rPr>
          <w:rStyle w:val="FootnoteReference"/>
          <w:rFonts w:ascii="BureauGrot Light" w:hAnsi="BureauGrot Light"/>
        </w:rPr>
        <w:footnoteReference w:id="80"/>
      </w:r>
      <w:r w:rsidRPr="00D176C0">
        <w:rPr>
          <w:rFonts w:ascii="BureauGrot Light" w:hAnsi="BureauGrot Light"/>
        </w:rPr>
        <w:t xml:space="preserve"> In 2025, it is virtually impossible for a startup to develop AI products without relying on resources provided by Big Tech.</w:t>
      </w:r>
      <w:r>
        <w:rPr>
          <w:rStyle w:val="FootnoteReference"/>
          <w:rFonts w:ascii="BureauGrot Light" w:hAnsi="BureauGrot Light"/>
        </w:rPr>
        <w:footnoteReference w:id="81"/>
      </w:r>
    </w:p>
    <w:p w:rsidR="00D25D19" w:rsidRPr="00D176C0" w:rsidP="00D176C0">
      <w:pPr>
        <w:pStyle w:val="ListParagraph"/>
        <w:rPr>
          <w:rFonts w:ascii="BureauGrot Light" w:hAnsi="BureauGrot Light"/>
        </w:rPr>
      </w:pPr>
    </w:p>
    <w:p w:rsidR="00D25D19" w:rsidRPr="00D176C0" w:rsidP="0036262B">
      <w:pPr>
        <w:pStyle w:val="ListParagraph"/>
        <w:numPr>
          <w:ilvl w:val="0"/>
          <w:numId w:val="35"/>
        </w:numPr>
        <w:jc w:val="both"/>
        <w:rPr>
          <w:rFonts w:ascii="BureauGrot Light" w:hAnsi="BureauGrot Light"/>
        </w:rPr>
      </w:pPr>
      <w:r w:rsidRPr="00D176C0">
        <w:rPr>
          <w:rFonts w:ascii="BureauGrot Light" w:hAnsi="BureauGrot Light"/>
        </w:rPr>
        <w:t xml:space="preserve">In a highly concentrated market, human rights abuse may be allowed to fester as consumers have few alternatives to the products provided by the oligopolistic companies. Where, in the messaging market, consumers may leave less privacy protective services in favour of one that offers end-to-end encryption, whether this is possible in the generative AI market remains to be seen. It is therefore even more important for Government to intervene to ensure human rights are protected by private companies. </w:t>
      </w:r>
    </w:p>
    <w:p w:rsidR="00D25D19" w:rsidRPr="004C1A02" w:rsidP="0036262B">
      <w:pPr>
        <w:jc w:val="both"/>
      </w:pPr>
    </w:p>
    <w:p w:rsidR="00D25D19" w:rsidRPr="0077547C" w:rsidP="0036262B">
      <w:pPr>
        <w:jc w:val="both"/>
        <w:rPr>
          <w:rFonts w:ascii="BureauGrotCondensed" w:hAnsi="BureauGrotCondensed"/>
          <w:b/>
          <w:bCs/>
          <w:color w:val="9F814F"/>
          <w:sz w:val="28"/>
          <w:szCs w:val="28"/>
        </w:rPr>
      </w:pPr>
      <w:r w:rsidRPr="0077547C">
        <w:rPr>
          <w:rFonts w:ascii="BureauGrotCondensed" w:hAnsi="BureauGrotCondensed"/>
          <w:b/>
          <w:bCs/>
          <w:color w:val="9F814F"/>
          <w:sz w:val="28"/>
          <w:szCs w:val="28"/>
        </w:rPr>
        <w:t>Who should be held accountable for breaches of human rights resulting from uses of AI, and on what basis?</w:t>
      </w:r>
    </w:p>
    <w:p w:rsidR="00D25D19" w:rsidRPr="0077547C" w:rsidP="0036262B">
      <w:pPr>
        <w:numPr>
          <w:ilvl w:val="0"/>
          <w:numId w:val="3"/>
        </w:numPr>
        <w:jc w:val="both"/>
        <w:rPr>
          <w:rFonts w:ascii="BureauGrotCondensed" w:hAnsi="BureauGrotCondensed"/>
          <w:b/>
          <w:bCs/>
          <w:color w:val="9F814F"/>
          <w:sz w:val="28"/>
          <w:szCs w:val="28"/>
        </w:rPr>
      </w:pPr>
      <w:r w:rsidRPr="0077547C">
        <w:rPr>
          <w:rFonts w:ascii="BureauGrotCondensed" w:hAnsi="BureauGrotCondensed"/>
          <w:b/>
          <w:bCs/>
          <w:color w:val="9F814F"/>
          <w:sz w:val="28"/>
          <w:szCs w:val="28"/>
        </w:rPr>
        <w:t>Where in the process of developing, deploying and using AI technologies should liability arise?</w:t>
      </w:r>
    </w:p>
    <w:p w:rsidR="00D25D19" w:rsidRPr="0077547C" w:rsidP="0036262B">
      <w:pPr>
        <w:numPr>
          <w:ilvl w:val="0"/>
          <w:numId w:val="3"/>
        </w:numPr>
        <w:jc w:val="both"/>
        <w:rPr>
          <w:rFonts w:ascii="BureauGrotCondensed" w:hAnsi="BureauGrotCondensed"/>
          <w:b/>
          <w:bCs/>
          <w:color w:val="9F814F"/>
          <w:sz w:val="28"/>
          <w:szCs w:val="28"/>
        </w:rPr>
      </w:pPr>
      <w:r w:rsidRPr="0077547C">
        <w:rPr>
          <w:rFonts w:ascii="BureauGrotCondensed" w:hAnsi="BureauGrotCondensed"/>
          <w:b/>
          <w:bCs/>
          <w:color w:val="9F814F"/>
          <w:sz w:val="28"/>
          <w:szCs w:val="28"/>
        </w:rPr>
        <w:t>What additional measures, if any, are needed to ensure that individuals have sufficient redress where they have suffered harm because of the use of AI?</w:t>
      </w:r>
    </w:p>
    <w:p w:rsidR="00D25D19" w:rsidRPr="0077547C" w:rsidP="0036262B">
      <w:pPr>
        <w:jc w:val="both"/>
        <w:rPr>
          <w:rFonts w:ascii="BureauGrot Light" w:hAnsi="BureauGrot Light"/>
          <w:b/>
          <w:bCs/>
        </w:rPr>
      </w:pPr>
      <w:r w:rsidRPr="0077547C">
        <w:rPr>
          <w:rFonts w:ascii="BureauGrot Light" w:hAnsi="BureauGrot Light"/>
          <w:b/>
          <w:bCs/>
        </w:rPr>
        <w:t>Transparency</w:t>
      </w:r>
    </w:p>
    <w:p w:rsidR="00D25D19" w:rsidP="0036262B">
      <w:pPr>
        <w:pStyle w:val="ListParagraph"/>
        <w:numPr>
          <w:ilvl w:val="0"/>
          <w:numId w:val="35"/>
        </w:numPr>
        <w:jc w:val="both"/>
        <w:rPr>
          <w:rFonts w:ascii="BureauGrot Light" w:hAnsi="BureauGrot Light"/>
        </w:rPr>
      </w:pPr>
      <w:r w:rsidRPr="001060AC">
        <w:rPr>
          <w:rFonts w:ascii="BureauGrot Light" w:hAnsi="BureauGrot Light"/>
        </w:rPr>
        <w:t xml:space="preserve">Transparency is essential to facilitate accountability and liability in AI systems. Both are also foundational pillars of any effective human rights redress mechanism for AI harms; people need to understand what information fed into a decision a system made about them and who is responsible for the harm caused. </w:t>
      </w:r>
    </w:p>
    <w:p w:rsidR="00D25D19" w:rsidP="00D92426">
      <w:pPr>
        <w:pStyle w:val="ListParagraph"/>
        <w:jc w:val="both"/>
        <w:rPr>
          <w:rFonts w:ascii="BureauGrot Light" w:hAnsi="BureauGrot Light"/>
        </w:rPr>
      </w:pPr>
    </w:p>
    <w:p w:rsidR="00D25D19" w:rsidRPr="00D92426" w:rsidP="0036262B">
      <w:pPr>
        <w:pStyle w:val="ListParagraph"/>
        <w:numPr>
          <w:ilvl w:val="0"/>
          <w:numId w:val="35"/>
        </w:numPr>
        <w:jc w:val="both"/>
        <w:rPr>
          <w:rFonts w:ascii="BureauGrot Light" w:hAnsi="BureauGrot Light"/>
        </w:rPr>
      </w:pPr>
      <w:r w:rsidRPr="00D92426">
        <w:rPr>
          <w:rFonts w:ascii="BureauGrot Light" w:hAnsi="BureauGrot Light"/>
        </w:rPr>
        <w:t>The Ada Lovelace Institute suggests that the Government should introduce ‘greater powers to request information of companies developing, deploying or using AI systems, and to compel those organisations to make that information more widely available when appropriate.’</w:t>
      </w:r>
      <w:r>
        <w:rPr>
          <w:rStyle w:val="FootnoteReference"/>
          <w:rFonts w:ascii="BureauGrot Light" w:hAnsi="BureauGrot Light"/>
        </w:rPr>
        <w:footnoteReference w:id="82"/>
      </w:r>
    </w:p>
    <w:p w:rsidR="00D25D19" w:rsidRPr="000D079E" w:rsidP="0036262B">
      <w:pPr>
        <w:jc w:val="both"/>
        <w:rPr>
          <w:rFonts w:ascii="BureauGrot Light" w:hAnsi="BureauGrot Light"/>
          <w:b/>
          <w:bCs/>
        </w:rPr>
      </w:pPr>
      <w:r w:rsidRPr="000D079E">
        <w:rPr>
          <w:rFonts w:ascii="BureauGrot Light" w:hAnsi="BureauGrot Light"/>
          <w:b/>
          <w:bCs/>
        </w:rPr>
        <w:t xml:space="preserve">Accountability </w:t>
      </w:r>
    </w:p>
    <w:p w:rsidR="00D25D19" w:rsidP="0036262B">
      <w:pPr>
        <w:pStyle w:val="ListParagraph"/>
        <w:numPr>
          <w:ilvl w:val="0"/>
          <w:numId w:val="35"/>
        </w:numPr>
        <w:jc w:val="both"/>
        <w:rPr>
          <w:rFonts w:ascii="BureauGrot Light" w:hAnsi="BureauGrot Light"/>
        </w:rPr>
      </w:pPr>
      <w:r w:rsidRPr="00D92426">
        <w:rPr>
          <w:rFonts w:ascii="BureauGrot Light" w:hAnsi="BureauGrot Light"/>
        </w:rPr>
        <w:t xml:space="preserve">The UK Government has already done world-leading work in building an AI accountability framework. Liberty recommends the Government build on this excellent work by clarifying the law on liability in AI systems. </w:t>
      </w:r>
    </w:p>
    <w:p w:rsidR="00D25D19" w:rsidP="00D92426">
      <w:pPr>
        <w:pStyle w:val="ListParagraph"/>
        <w:jc w:val="both"/>
        <w:rPr>
          <w:rFonts w:ascii="BureauGrot Light" w:hAnsi="BureauGrot Light"/>
        </w:rPr>
      </w:pPr>
    </w:p>
    <w:p w:rsidR="00D25D19" w:rsidP="0036262B">
      <w:pPr>
        <w:pStyle w:val="ListParagraph"/>
        <w:numPr>
          <w:ilvl w:val="0"/>
          <w:numId w:val="35"/>
        </w:numPr>
        <w:jc w:val="both"/>
        <w:rPr>
          <w:rFonts w:ascii="BureauGrot Light" w:hAnsi="BureauGrot Light"/>
        </w:rPr>
      </w:pPr>
      <w:r w:rsidRPr="00D92426">
        <w:rPr>
          <w:rFonts w:ascii="BureauGrot Light" w:hAnsi="BureauGrot Light"/>
        </w:rPr>
        <w:t>Liability should arise throughout the AI lifecycle. In all stages of an AI system’s design and deployment, it must be clear who bears responsibility for its operation.</w:t>
      </w:r>
      <w:r>
        <w:rPr>
          <w:rStyle w:val="FootnoteReference"/>
          <w:rFonts w:ascii="BureauGrot Light" w:hAnsi="BureauGrot Light"/>
        </w:rPr>
        <w:footnoteReference w:id="83"/>
      </w:r>
      <w:r w:rsidRPr="00D92426">
        <w:rPr>
          <w:rFonts w:ascii="BureauGrot Light" w:hAnsi="BureauGrot Light"/>
        </w:rPr>
        <w:t xml:space="preserve"> It must </w:t>
      </w:r>
      <w:r>
        <w:rPr>
          <w:rFonts w:ascii="BureauGrot Light" w:hAnsi="BureauGrot Light"/>
        </w:rPr>
        <w:t xml:space="preserve">also </w:t>
      </w:r>
      <w:r w:rsidRPr="00D92426">
        <w:rPr>
          <w:rFonts w:ascii="BureauGrot Light" w:hAnsi="BureauGrot Light"/>
        </w:rPr>
        <w:t>be clear where the developer of a system has responsibility, and where the procurer is responsible. The responsible individuals at each stage of the development and implementation process should be named. This will require those procuring AI systems to understand how they work so they can properly assess their risks and potential impacts.</w:t>
      </w:r>
    </w:p>
    <w:p w:rsidR="00D25D19" w:rsidRPr="001F7EAD" w:rsidP="001F7EAD">
      <w:pPr>
        <w:pStyle w:val="ListParagraph"/>
        <w:rPr>
          <w:rFonts w:ascii="BureauGrot Light" w:hAnsi="BureauGrot Light"/>
        </w:rPr>
      </w:pPr>
    </w:p>
    <w:p w:rsidR="00D25D19" w:rsidP="0036262B">
      <w:pPr>
        <w:pStyle w:val="ListParagraph"/>
        <w:numPr>
          <w:ilvl w:val="0"/>
          <w:numId w:val="35"/>
        </w:numPr>
        <w:jc w:val="both"/>
        <w:rPr>
          <w:rFonts w:ascii="BureauGrot Light" w:hAnsi="BureauGrot Light"/>
        </w:rPr>
      </w:pPr>
      <w:r w:rsidRPr="001F7EAD">
        <w:rPr>
          <w:rFonts w:ascii="BureauGrot Light" w:hAnsi="BureauGrot Light"/>
        </w:rPr>
        <w:t xml:space="preserve">The Government’s guidance on Ethics, Transparency, and Accountability Framework for Automated Decision-Making is an excellent start in regulating how public services should build accountability into their systems.  </w:t>
      </w:r>
    </w:p>
    <w:p w:rsidR="00D25D19" w:rsidRPr="001F7EAD" w:rsidP="001F7EAD">
      <w:pPr>
        <w:pStyle w:val="ListParagraph"/>
        <w:rPr>
          <w:rFonts w:ascii="BureauGrot Light" w:hAnsi="BureauGrot Light"/>
        </w:rPr>
      </w:pPr>
    </w:p>
    <w:p w:rsidR="00D25D19" w:rsidP="0036262B">
      <w:pPr>
        <w:pStyle w:val="ListParagraph"/>
        <w:numPr>
          <w:ilvl w:val="0"/>
          <w:numId w:val="35"/>
        </w:numPr>
        <w:jc w:val="both"/>
        <w:rPr>
          <w:rFonts w:ascii="BureauGrot Light" w:hAnsi="BureauGrot Light"/>
        </w:rPr>
      </w:pPr>
      <w:r w:rsidRPr="001F7EAD">
        <w:rPr>
          <w:rFonts w:ascii="BureauGrot Light" w:hAnsi="BureauGrot Light"/>
        </w:rPr>
        <w:t xml:space="preserve">Section three of the framework recommends: ‘Be clear who is responsible’. It adds, ‘Work on the assumption that every significant automated decision should be agreed by a minister and all major processes and services, subject to automation consideration, should have a senior </w:t>
      </w:r>
      <w:r w:rsidRPr="001F7EAD">
        <w:rPr>
          <w:rFonts w:ascii="BureauGrot Light" w:hAnsi="BureauGrot Light"/>
        </w:rPr>
        <w:t>owner.’</w:t>
      </w:r>
      <w:r>
        <w:rPr>
          <w:rStyle w:val="FootnoteReference"/>
          <w:rFonts w:ascii="BureauGrot Light" w:hAnsi="BureauGrot Light"/>
        </w:rPr>
        <w:footnoteReference w:id="84"/>
      </w:r>
      <w:r w:rsidRPr="001F7EAD">
        <w:rPr>
          <w:rFonts w:ascii="BureauGrot Light" w:hAnsi="BureauGrot Light"/>
        </w:rPr>
        <w:t xml:space="preserve"> The framework notes ‘the algorithm or system should be designed to be fully answerable and auditable.’</w:t>
      </w:r>
    </w:p>
    <w:p w:rsidR="00D25D19" w:rsidRPr="001F7EAD" w:rsidP="001F7EAD">
      <w:pPr>
        <w:pStyle w:val="ListParagraph"/>
        <w:rPr>
          <w:rFonts w:ascii="BureauGrot Light" w:hAnsi="BureauGrot Light"/>
        </w:rPr>
      </w:pPr>
    </w:p>
    <w:p w:rsidR="00D25D19" w:rsidRPr="001F7EAD" w:rsidP="0036262B">
      <w:pPr>
        <w:pStyle w:val="ListParagraph"/>
        <w:numPr>
          <w:ilvl w:val="0"/>
          <w:numId w:val="35"/>
        </w:numPr>
        <w:jc w:val="both"/>
        <w:rPr>
          <w:rFonts w:ascii="BureauGrot Light" w:hAnsi="BureauGrot Light"/>
        </w:rPr>
      </w:pPr>
      <w:r w:rsidRPr="001F7EAD">
        <w:rPr>
          <w:rFonts w:ascii="BureauGrot Light" w:hAnsi="BureauGrot Light"/>
        </w:rPr>
        <w:t xml:space="preserve">The guidance mandates the following practical steps for government departments: </w:t>
      </w:r>
    </w:p>
    <w:p w:rsidR="00D25D19" w:rsidRPr="000D079E" w:rsidP="001F7EAD">
      <w:pPr>
        <w:numPr>
          <w:ilvl w:val="0"/>
          <w:numId w:val="29"/>
        </w:numPr>
        <w:tabs>
          <w:tab w:val="clear" w:pos="720"/>
          <w:tab w:val="num" w:pos="1134"/>
        </w:tabs>
        <w:ind w:left="1134" w:hanging="567"/>
        <w:jc w:val="both"/>
        <w:rPr>
          <w:rFonts w:ascii="BureauGrot Light" w:hAnsi="BureauGrot Light"/>
        </w:rPr>
      </w:pPr>
      <w:r w:rsidRPr="000D079E">
        <w:rPr>
          <w:rFonts w:ascii="BureauGrot Light" w:hAnsi="BureauGrot Light"/>
        </w:rPr>
        <w:t>‘Give all major processes and services subject to automation consideration an assigned senior owner or senior process owner to drive accountability, with a coherent and whole-system understanding of the entire process or service. They are responsible for ensuring that the necessary mitigation and measures are taken so that the algorithm or system does not cause unintended harm. This should help ministers make an informed decision.’</w:t>
      </w:r>
      <w:r>
        <w:rPr>
          <w:rStyle w:val="FootnoteReference"/>
          <w:rFonts w:ascii="BureauGrot Light" w:hAnsi="BureauGrot Light"/>
        </w:rPr>
        <w:footnoteReference w:id="85"/>
      </w:r>
    </w:p>
    <w:p w:rsidR="00D25D19" w:rsidRPr="000D079E" w:rsidP="001F7EAD">
      <w:pPr>
        <w:numPr>
          <w:ilvl w:val="0"/>
          <w:numId w:val="29"/>
        </w:numPr>
        <w:tabs>
          <w:tab w:val="clear" w:pos="720"/>
          <w:tab w:val="num" w:pos="1134"/>
        </w:tabs>
        <w:ind w:left="1134" w:hanging="567"/>
        <w:jc w:val="both"/>
        <w:rPr>
          <w:rFonts w:ascii="BureauGrot Light" w:hAnsi="BureauGrot Light"/>
        </w:rPr>
      </w:pPr>
      <w:r w:rsidRPr="000D079E">
        <w:rPr>
          <w:rFonts w:ascii="BureauGrot Light" w:hAnsi="BureauGrot Light"/>
        </w:rPr>
        <w:t>‘Embed into existing governance processes where possible - it is not solely the responsibility of the Government Digital and Data profession.’</w:t>
      </w:r>
      <w:r>
        <w:rPr>
          <w:rStyle w:val="FootnoteReference"/>
          <w:rFonts w:ascii="BureauGrot Light" w:hAnsi="BureauGrot Light"/>
        </w:rPr>
        <w:footnoteReference w:id="86"/>
      </w:r>
    </w:p>
    <w:p w:rsidR="00D25D19" w:rsidP="0036262B">
      <w:pPr>
        <w:pStyle w:val="ListParagraph"/>
        <w:numPr>
          <w:ilvl w:val="0"/>
          <w:numId w:val="35"/>
        </w:numPr>
        <w:jc w:val="both"/>
        <w:rPr>
          <w:rFonts w:ascii="BureauGrot Light" w:hAnsi="BureauGrot Light"/>
        </w:rPr>
      </w:pPr>
      <w:r w:rsidRPr="00291486">
        <w:rPr>
          <w:rFonts w:ascii="BureauGrot Light" w:hAnsi="BureauGrot Light"/>
        </w:rPr>
        <w:t xml:space="preserve">This needs to be applied across the public sector, not just within Whitehall departments and it must be put on statutory footing. </w:t>
      </w:r>
    </w:p>
    <w:p w:rsidR="00D25D19" w:rsidP="00112218">
      <w:pPr>
        <w:pStyle w:val="ListParagraph"/>
        <w:jc w:val="both"/>
        <w:rPr>
          <w:rFonts w:ascii="BureauGrot Light" w:hAnsi="BureauGrot Light"/>
        </w:rPr>
      </w:pPr>
    </w:p>
    <w:p w:rsidR="00D25D19" w:rsidP="0036262B">
      <w:pPr>
        <w:pStyle w:val="ListParagraph"/>
        <w:numPr>
          <w:ilvl w:val="0"/>
          <w:numId w:val="35"/>
        </w:numPr>
        <w:jc w:val="both"/>
        <w:rPr>
          <w:rFonts w:ascii="BureauGrot Light" w:hAnsi="BureauGrot Light"/>
        </w:rPr>
      </w:pPr>
      <w:r>
        <w:rPr>
          <w:rFonts w:ascii="BureauGrot Light" w:hAnsi="BureauGrot Light"/>
        </w:rPr>
        <w:t>T</w:t>
      </w:r>
      <w:r w:rsidRPr="00112218">
        <w:rPr>
          <w:rFonts w:ascii="BureauGrot Light" w:hAnsi="BureauGrot Light"/>
        </w:rPr>
        <w:t xml:space="preserve">he Government must </w:t>
      </w:r>
      <w:r>
        <w:rPr>
          <w:rFonts w:ascii="BureauGrot Light" w:hAnsi="BureauGrot Light"/>
        </w:rPr>
        <w:t xml:space="preserve">then </w:t>
      </w:r>
      <w:r w:rsidRPr="00112218">
        <w:rPr>
          <w:rFonts w:ascii="BureauGrot Light" w:hAnsi="BureauGrot Light"/>
        </w:rPr>
        <w:t xml:space="preserve">go further and clarify the law around AI liability </w:t>
      </w:r>
      <w:r>
        <w:rPr>
          <w:rFonts w:ascii="BureauGrot Light" w:hAnsi="BureauGrot Light"/>
        </w:rPr>
        <w:t xml:space="preserve">in the private sector too </w:t>
      </w:r>
      <w:r w:rsidRPr="00112218">
        <w:rPr>
          <w:rFonts w:ascii="BureauGrot Light" w:hAnsi="BureauGrot Light"/>
        </w:rPr>
        <w:t xml:space="preserve">to provide people with a route of meaningful redress. Guidance is not sufficient. Pin-pointing who, throughout the AI lifecycle, has liability over an AI harm would incentivise data collectors, developers, and those implementing AI systems to </w:t>
      </w:r>
      <w:r w:rsidRPr="00112218">
        <w:rPr>
          <w:rFonts w:ascii="BureauGrot Light" w:hAnsi="BureauGrot Light"/>
        </w:rPr>
        <w:t>actually investigate</w:t>
      </w:r>
      <w:r w:rsidRPr="00112218">
        <w:rPr>
          <w:rFonts w:ascii="BureauGrot Light" w:hAnsi="BureauGrot Light"/>
        </w:rPr>
        <w:t xml:space="preserve"> and address any potential harms caused by their technology. The private sector should face harm liability</w:t>
      </w:r>
      <w:r>
        <w:rPr>
          <w:rFonts w:ascii="BureauGrot Light" w:hAnsi="BureauGrot Light"/>
        </w:rPr>
        <w:t xml:space="preserve"> </w:t>
      </w:r>
      <w:r w:rsidRPr="00112218">
        <w:rPr>
          <w:rFonts w:ascii="BureauGrot Light" w:hAnsi="BureauGrot Light"/>
        </w:rPr>
        <w:t xml:space="preserve">– not just public services. </w:t>
      </w:r>
    </w:p>
    <w:p w:rsidR="00D25D19" w:rsidRPr="00E2125D" w:rsidP="00E2125D">
      <w:pPr>
        <w:pStyle w:val="ListParagraph"/>
        <w:rPr>
          <w:rFonts w:ascii="BureauGrot Light" w:hAnsi="BureauGrot Light"/>
        </w:rPr>
      </w:pPr>
    </w:p>
    <w:p w:rsidR="00D25D19" w:rsidRPr="00E2125D" w:rsidP="00E2125D">
      <w:pPr>
        <w:pStyle w:val="ListParagraph"/>
        <w:numPr>
          <w:ilvl w:val="0"/>
          <w:numId w:val="35"/>
        </w:numPr>
        <w:jc w:val="both"/>
        <w:rPr>
          <w:rFonts w:ascii="BureauGrot Light" w:hAnsi="BureauGrot Light"/>
        </w:rPr>
      </w:pPr>
      <w:r w:rsidRPr="00E2125D">
        <w:rPr>
          <w:rFonts w:ascii="BureauGrot Light" w:hAnsi="BureauGrot Light"/>
        </w:rPr>
        <w:t>IBM’s accountability framework</w:t>
      </w:r>
      <w:r>
        <w:rPr>
          <w:rStyle w:val="FootnoteReference"/>
          <w:rFonts w:ascii="BureauGrot Light" w:hAnsi="BureauGrot Light"/>
        </w:rPr>
        <w:footnoteReference w:id="87"/>
      </w:r>
      <w:r w:rsidRPr="00E2125D">
        <w:rPr>
          <w:rFonts w:ascii="BureauGrot Light" w:hAnsi="BureauGrot Light"/>
        </w:rPr>
        <w:t xml:space="preserve"> includes four recommended actions which are illuminating</w:t>
      </w:r>
      <w:r>
        <w:rPr>
          <w:rFonts w:ascii="BureauGrot Light" w:hAnsi="BureauGrot Light"/>
        </w:rPr>
        <w:t xml:space="preserve"> here: </w:t>
      </w:r>
    </w:p>
    <w:p w:rsidR="00D25D19" w:rsidP="00521A39">
      <w:pPr>
        <w:pStyle w:val="ListParagraph"/>
        <w:ind w:left="1134"/>
        <w:jc w:val="both"/>
        <w:rPr>
          <w:rFonts w:ascii="BureauGrot Light" w:hAnsi="BureauGrot Light"/>
        </w:rPr>
      </w:pPr>
    </w:p>
    <w:p w:rsidR="00D25D19" w:rsidRPr="000D079E" w:rsidP="00E2125D">
      <w:pPr>
        <w:pStyle w:val="ListParagraph"/>
        <w:numPr>
          <w:ilvl w:val="0"/>
          <w:numId w:val="30"/>
        </w:numPr>
        <w:ind w:left="1134" w:hanging="567"/>
        <w:jc w:val="both"/>
        <w:rPr>
          <w:rFonts w:ascii="BureauGrot Light" w:hAnsi="BureauGrot Light"/>
        </w:rPr>
      </w:pPr>
      <w:r w:rsidRPr="000D079E">
        <w:rPr>
          <w:rFonts w:ascii="BureauGrot Light" w:hAnsi="BureauGrot Light"/>
        </w:rPr>
        <w:t>Make company policies clear and accessible to design and development teams so that no one is confused about issues of responsibility or accountability.</w:t>
      </w:r>
    </w:p>
    <w:p w:rsidR="00D25D19" w:rsidRPr="000D079E" w:rsidP="00E2125D">
      <w:pPr>
        <w:pStyle w:val="ListParagraph"/>
        <w:numPr>
          <w:ilvl w:val="0"/>
          <w:numId w:val="30"/>
        </w:numPr>
        <w:ind w:left="1134" w:hanging="567"/>
        <w:jc w:val="both"/>
        <w:rPr>
          <w:rFonts w:ascii="BureauGrot Light" w:hAnsi="BureauGrot Light"/>
        </w:rPr>
      </w:pPr>
      <w:r w:rsidRPr="000D079E">
        <w:rPr>
          <w:rFonts w:ascii="BureauGrot Light" w:hAnsi="BureauGrot Light"/>
        </w:rPr>
        <w:t>Understand where the responsibility of the company/software ends. You ma</w:t>
      </w:r>
      <w:r>
        <w:rPr>
          <w:rFonts w:ascii="BureauGrot Light" w:hAnsi="BureauGrot Light"/>
        </w:rPr>
        <w:t xml:space="preserve">y </w:t>
      </w:r>
      <w:r w:rsidRPr="000D079E">
        <w:rPr>
          <w:rFonts w:ascii="BureauGrot Light" w:hAnsi="BureauGrot Light"/>
        </w:rPr>
        <w:t>not have control over how data or a tool will be used by a client.</w:t>
      </w:r>
    </w:p>
    <w:p w:rsidR="00D25D19" w:rsidRPr="000D079E" w:rsidP="00E2125D">
      <w:pPr>
        <w:pStyle w:val="ListParagraph"/>
        <w:numPr>
          <w:ilvl w:val="0"/>
          <w:numId w:val="30"/>
        </w:numPr>
        <w:ind w:left="1134" w:hanging="567"/>
        <w:jc w:val="both"/>
        <w:rPr>
          <w:rFonts w:ascii="BureauGrot Light" w:hAnsi="BureauGrot Light"/>
        </w:rPr>
      </w:pPr>
      <w:r w:rsidRPr="000D079E">
        <w:rPr>
          <w:rFonts w:ascii="BureauGrot Light" w:hAnsi="BureauGrot Light"/>
        </w:rPr>
        <w:t xml:space="preserve">Keep detailed records of your design processes and decision making. Determine a strategy for keeping records during the design and development process to encourage best practices and encourage iteration. </w:t>
      </w:r>
    </w:p>
    <w:p w:rsidR="00D25D19" w:rsidP="0036262B">
      <w:pPr>
        <w:pStyle w:val="ListParagraph"/>
        <w:numPr>
          <w:ilvl w:val="0"/>
          <w:numId w:val="30"/>
        </w:numPr>
        <w:ind w:left="1134" w:hanging="567"/>
        <w:jc w:val="both"/>
        <w:rPr>
          <w:rFonts w:ascii="BureauGrot Light" w:hAnsi="BureauGrot Light"/>
        </w:rPr>
      </w:pPr>
      <w:r w:rsidRPr="000D079E">
        <w:rPr>
          <w:rFonts w:ascii="BureauGrot Light" w:hAnsi="BureauGrot Light"/>
        </w:rPr>
        <w:t>Understand national and international laws, regulations, and guidelines that your AI may have to work within.</w:t>
      </w:r>
    </w:p>
    <w:p w:rsidR="00D25D19" w:rsidRPr="00521A39" w:rsidP="00521A39">
      <w:pPr>
        <w:pStyle w:val="ListParagraph"/>
        <w:ind w:left="1134"/>
        <w:jc w:val="both"/>
        <w:rPr>
          <w:rFonts w:ascii="BureauGrot Light" w:hAnsi="BureauGrot Light"/>
        </w:rPr>
      </w:pPr>
    </w:p>
    <w:p w:rsidR="00D25D19" w:rsidP="0036262B">
      <w:pPr>
        <w:pStyle w:val="ListParagraph"/>
        <w:numPr>
          <w:ilvl w:val="0"/>
          <w:numId w:val="35"/>
        </w:numPr>
        <w:jc w:val="both"/>
        <w:rPr>
          <w:rFonts w:ascii="BureauGrot Light" w:hAnsi="BureauGrot Light"/>
        </w:rPr>
      </w:pPr>
      <w:r w:rsidRPr="00521A39">
        <w:rPr>
          <w:rFonts w:ascii="BureauGrot Light" w:hAnsi="BureauGrot Light"/>
        </w:rPr>
        <w:t xml:space="preserve">Forthcoming AI regulation should include responsibilities to keep detailed records of design processes and decision making for regulatory audit. It should also impose safety-by-design throughout the AI lifecycle. </w:t>
      </w:r>
    </w:p>
    <w:p w:rsidR="00D25D19" w:rsidP="00521A39">
      <w:pPr>
        <w:pStyle w:val="ListParagraph"/>
        <w:jc w:val="both"/>
        <w:rPr>
          <w:rFonts w:ascii="BureauGrot Light" w:hAnsi="BureauGrot Light"/>
        </w:rPr>
      </w:pPr>
    </w:p>
    <w:p w:rsidR="00D25D19" w:rsidP="0036262B">
      <w:pPr>
        <w:pStyle w:val="ListParagraph"/>
        <w:numPr>
          <w:ilvl w:val="0"/>
          <w:numId w:val="35"/>
        </w:numPr>
        <w:jc w:val="both"/>
        <w:rPr>
          <w:rFonts w:ascii="BureauGrot Light" w:hAnsi="BureauGrot Light"/>
        </w:rPr>
      </w:pPr>
      <w:r w:rsidRPr="00521A39">
        <w:rPr>
          <w:rFonts w:ascii="BureauGrot Light" w:hAnsi="BureauGrot Light"/>
          <w:b/>
          <w:bCs/>
        </w:rPr>
        <w:t>Complaints</w:t>
      </w:r>
      <w:r w:rsidRPr="00521A39">
        <w:rPr>
          <w:rFonts w:ascii="BureauGrot Light" w:hAnsi="BureauGrot Light"/>
        </w:rPr>
        <w:t xml:space="preserve">: People adversely affected by an AI system need to know how to complain and to whom. They need to be confident that their complaint will </w:t>
      </w:r>
      <w:r w:rsidRPr="00521A39">
        <w:rPr>
          <w:rFonts w:ascii="BureauGrot Light" w:hAnsi="BureauGrot Light"/>
        </w:rPr>
        <w:t>actually be</w:t>
      </w:r>
      <w:r w:rsidRPr="00521A39">
        <w:rPr>
          <w:rFonts w:ascii="BureauGrot Light" w:hAnsi="BureauGrot Light"/>
        </w:rPr>
        <w:t xml:space="preserve"> addressed and in a timely manner.</w:t>
      </w:r>
      <w:r>
        <w:rPr>
          <w:rStyle w:val="FootnoteReference"/>
          <w:rFonts w:ascii="BureauGrot Light" w:hAnsi="BureauGrot Light"/>
        </w:rPr>
        <w:footnoteReference w:id="88"/>
      </w:r>
      <w:r w:rsidRPr="00521A39">
        <w:rPr>
          <w:rFonts w:ascii="BureauGrot Light" w:hAnsi="BureauGrot Light"/>
        </w:rPr>
        <w:t xml:space="preserve"> An effective complaints system will require transparency</w:t>
      </w:r>
      <w:r>
        <w:rPr>
          <w:rFonts w:ascii="BureauGrot Light" w:hAnsi="BureauGrot Light"/>
        </w:rPr>
        <w:t>, funding</w:t>
      </w:r>
      <w:r w:rsidRPr="00521A39">
        <w:rPr>
          <w:rFonts w:ascii="BureauGrot Light" w:hAnsi="BureauGrot Light"/>
        </w:rPr>
        <w:t xml:space="preserve"> and explainability. Complainants will need sufficient information about the decision-making process to understand how a decision affecting them was made and the role of the AI system there.</w:t>
      </w:r>
      <w:r>
        <w:rPr>
          <w:rStyle w:val="FootnoteReference"/>
          <w:rFonts w:ascii="BureauGrot Light" w:hAnsi="BureauGrot Light"/>
        </w:rPr>
        <w:footnoteReference w:id="89"/>
      </w:r>
      <w:r w:rsidRPr="00521A39">
        <w:rPr>
          <w:rFonts w:ascii="BureauGrot Light" w:hAnsi="BureauGrot Light"/>
        </w:rPr>
        <w:t xml:space="preserve"> </w:t>
      </w:r>
    </w:p>
    <w:p w:rsidR="00D25D19" w:rsidRPr="00521A39" w:rsidP="00521A39">
      <w:pPr>
        <w:pStyle w:val="ListParagraph"/>
        <w:rPr>
          <w:rFonts w:ascii="BureauGrot Light" w:hAnsi="BureauGrot Light"/>
        </w:rPr>
      </w:pPr>
    </w:p>
    <w:p w:rsidR="00D25D19" w:rsidRPr="00521A39" w:rsidP="0036262B">
      <w:pPr>
        <w:pStyle w:val="ListParagraph"/>
        <w:numPr>
          <w:ilvl w:val="0"/>
          <w:numId w:val="35"/>
        </w:numPr>
        <w:jc w:val="both"/>
        <w:rPr>
          <w:rFonts w:ascii="BureauGrot Light" w:hAnsi="BureauGrot Light"/>
        </w:rPr>
      </w:pPr>
      <w:r w:rsidRPr="00521A39">
        <w:rPr>
          <w:rFonts w:ascii="BureauGrot Light" w:hAnsi="BureauGrot Light"/>
        </w:rPr>
        <w:t xml:space="preserve">Some sectors in which AI is used have formal mechanisms for redress. For example, people harmed by AI’s use in financial services will be able to complain to the Financial Ombudsman. Others will have no easy route to redress. An ombudsman-style model for people impacted by an AI product, service, or decision is an important mechanism for redress. This should complement our suggestion for the Government to examine and then close the existing regulatory gaps in the current framework. </w:t>
      </w:r>
    </w:p>
    <w:p w:rsidR="00D25D19" w:rsidP="0036262B">
      <w:pPr>
        <w:jc w:val="both"/>
        <w:rPr>
          <w:rFonts w:ascii="BureauGrotCondensed" w:hAnsi="BureauGrotCondensed"/>
          <w:b/>
          <w:bCs/>
          <w:color w:val="9F814F"/>
          <w:sz w:val="28"/>
          <w:szCs w:val="28"/>
        </w:rPr>
      </w:pPr>
    </w:p>
    <w:p w:rsidR="00D25D19" w:rsidRPr="00EA64FC" w:rsidP="0036262B">
      <w:pPr>
        <w:jc w:val="both"/>
        <w:rPr>
          <w:rFonts w:ascii="BureauGrotCondensed" w:hAnsi="BureauGrotCondensed"/>
          <w:b/>
          <w:bCs/>
          <w:color w:val="9F814F"/>
          <w:sz w:val="28"/>
          <w:szCs w:val="28"/>
        </w:rPr>
      </w:pPr>
      <w:r w:rsidRPr="00EA64FC">
        <w:rPr>
          <w:rFonts w:ascii="BureauGrotCondensed" w:hAnsi="BureauGrotCondensed"/>
          <w:b/>
          <w:bCs/>
          <w:color w:val="9F814F"/>
          <w:sz w:val="28"/>
          <w:szCs w:val="28"/>
        </w:rPr>
        <w:t>How might regulation match the pace of AI technology development, such as the emergence of agentic AI, to ensure that human rights are preserved as technology continues to develop?</w:t>
      </w:r>
    </w:p>
    <w:p w:rsidR="00D25D19" w:rsidP="0036262B">
      <w:pPr>
        <w:pStyle w:val="ListParagraph"/>
        <w:numPr>
          <w:ilvl w:val="0"/>
          <w:numId w:val="35"/>
        </w:numPr>
        <w:jc w:val="both"/>
        <w:rPr>
          <w:rFonts w:ascii="BureauGrot Light" w:hAnsi="BureauGrot Light"/>
        </w:rPr>
      </w:pPr>
      <w:r w:rsidRPr="009E222C">
        <w:rPr>
          <w:rFonts w:ascii="BureauGrot Light" w:hAnsi="BureauGrot Light"/>
        </w:rPr>
        <w:t>To some extent, it is inevitable that governance of new technology is retroactive. The sector’s pace of change and dynamism compared with the slow, consultative process of regulating means the regulation will lag.</w:t>
      </w:r>
    </w:p>
    <w:p w:rsidR="00D25D19" w:rsidP="009E222C">
      <w:pPr>
        <w:pStyle w:val="ListParagraph"/>
        <w:jc w:val="both"/>
        <w:rPr>
          <w:rFonts w:ascii="BureauGrot Light" w:hAnsi="BureauGrot Light"/>
        </w:rPr>
      </w:pPr>
    </w:p>
    <w:p w:rsidR="00D25D19" w:rsidP="0036262B">
      <w:pPr>
        <w:pStyle w:val="ListParagraph"/>
        <w:numPr>
          <w:ilvl w:val="0"/>
          <w:numId w:val="35"/>
        </w:numPr>
        <w:jc w:val="both"/>
        <w:rPr>
          <w:rFonts w:ascii="BureauGrot Light" w:hAnsi="BureauGrot Light"/>
        </w:rPr>
      </w:pPr>
      <w:r w:rsidRPr="009E222C">
        <w:rPr>
          <w:rFonts w:ascii="BureauGrot Light" w:hAnsi="BureauGrot Light"/>
        </w:rPr>
        <w:t>Tech researcher Hugo Neuille identifies two key issues with regulation’s ability to keep pace with AI innovation: model unpredictability and tech companies’ concentrated power. On the first point, AI systems ‘are inherently unpredictable, with capabilities often emerging unexpectedly during their operation. These systems may eventually function as complex computational entities, evolving beyond the sum of their components and defying traditional methods of control or oversight.’ On the second, where governm</w:t>
      </w:r>
      <w:r w:rsidRPr="009E222C">
        <w:rPr>
          <w:rFonts w:ascii="BureauGrot Light" w:hAnsi="BureauGrot Light"/>
        </w:rPr>
        <w:t>ent were deeply involved in funding and developing prior tech advancements like the internet, the development of AI systems has been done almost exclusively in the private sector. The result is ‘a stark decoupling of innovation from governance, with regulators perpetually playing catch-up’.</w:t>
      </w:r>
      <w:r>
        <w:rPr>
          <w:rStyle w:val="FootnoteReference"/>
          <w:rFonts w:ascii="BureauGrot Light" w:hAnsi="BureauGrot Light"/>
        </w:rPr>
        <w:footnoteReference w:id="90"/>
      </w:r>
    </w:p>
    <w:p w:rsidR="00D25D19" w:rsidRPr="00C9665A" w:rsidP="00C9665A">
      <w:pPr>
        <w:pStyle w:val="ListParagraph"/>
        <w:rPr>
          <w:rFonts w:ascii="BureauGrot Light" w:hAnsi="BureauGrot Light"/>
        </w:rPr>
      </w:pPr>
    </w:p>
    <w:p w:rsidR="00D25D19" w:rsidRPr="00C9665A" w:rsidP="0036262B">
      <w:pPr>
        <w:pStyle w:val="ListParagraph"/>
        <w:numPr>
          <w:ilvl w:val="0"/>
          <w:numId w:val="35"/>
        </w:numPr>
        <w:jc w:val="both"/>
        <w:rPr>
          <w:rFonts w:ascii="BureauGrot Light" w:hAnsi="BureauGrot Light"/>
        </w:rPr>
      </w:pPr>
      <w:r w:rsidRPr="00C9665A">
        <w:rPr>
          <w:rFonts w:ascii="BureauGrot Light" w:hAnsi="BureauGrot Light"/>
        </w:rPr>
        <w:t xml:space="preserve">It is Government’s job to re-link tech research and governance. </w:t>
      </w:r>
      <w:r w:rsidRPr="00C9665A">
        <w:rPr>
          <w:rFonts w:ascii="BureauGrot Light" w:hAnsi="BureauGrot Light"/>
        </w:rPr>
        <w:t>Neuille</w:t>
      </w:r>
      <w:r w:rsidRPr="00C9665A">
        <w:rPr>
          <w:rFonts w:ascii="BureauGrot Light" w:hAnsi="BureauGrot Light"/>
        </w:rPr>
        <w:t xml:space="preserve"> suggests that AI safety institutes can be helpful here. Thomas Schneider, AI Chair of Council of Europe’s Committee on AI, recommends ‘Digital governance must develop in</w:t>
      </w:r>
      <w:r w:rsidRPr="00C9665A">
        <w:rPr>
          <w:rFonts w:ascii="Calibri" w:hAnsi="Calibri" w:cs="Calibri"/>
        </w:rPr>
        <w:t> </w:t>
      </w:r>
      <w:r w:rsidRPr="00C9665A">
        <w:rPr>
          <w:rFonts w:ascii="BureauGrot Light" w:hAnsi="BureauGrot Light"/>
        </w:rPr>
        <w:t xml:space="preserve">smaller and faster steps, perhaps through regulatory </w:t>
      </w:r>
      <w:r w:rsidRPr="00C9665A">
        <w:rPr>
          <w:rFonts w:ascii="BureauGrot Light" w:hAnsi="BureauGrot Light" w:cs="BureauGrot Light"/>
        </w:rPr>
        <w:t>‘</w:t>
      </w:r>
      <w:r w:rsidRPr="00C9665A">
        <w:rPr>
          <w:rFonts w:ascii="BureauGrot Light" w:hAnsi="BureauGrot Light"/>
        </w:rPr>
        <w:t>updates</w:t>
      </w:r>
      <w:r w:rsidRPr="00C9665A">
        <w:rPr>
          <w:rFonts w:ascii="BureauGrot Light" w:hAnsi="BureauGrot Light" w:cs="BureauGrot Light"/>
        </w:rPr>
        <w:t>’</w:t>
      </w:r>
      <w:r w:rsidRPr="00C9665A">
        <w:rPr>
          <w:rFonts w:ascii="BureauGrot Light" w:hAnsi="BureauGrot Light"/>
        </w:rPr>
        <w:t xml:space="preserve"> or</w:t>
      </w:r>
      <w:r w:rsidRPr="00C9665A">
        <w:rPr>
          <w:rFonts w:ascii="Calibri" w:hAnsi="Calibri" w:cs="Calibri"/>
        </w:rPr>
        <w:t> </w:t>
      </w:r>
      <w:r w:rsidRPr="00C9665A">
        <w:rPr>
          <w:rFonts w:ascii="BureauGrot Light" w:hAnsi="BureauGrot Light" w:cs="BureauGrot Light"/>
        </w:rPr>
        <w:t>‘</w:t>
      </w:r>
      <w:r w:rsidRPr="00C9665A">
        <w:rPr>
          <w:rFonts w:ascii="BureauGrot Light" w:hAnsi="BureauGrot Light"/>
        </w:rPr>
        <w:t>releases</w:t>
      </w:r>
      <w:r w:rsidRPr="00C9665A">
        <w:rPr>
          <w:rFonts w:ascii="BureauGrot Light" w:hAnsi="BureauGrot Light" w:cs="BureauGrot Light"/>
        </w:rPr>
        <w:t>’</w:t>
      </w:r>
      <w:r w:rsidRPr="00C9665A">
        <w:rPr>
          <w:rFonts w:ascii="Calibri" w:hAnsi="Calibri" w:cs="Calibri"/>
        </w:rPr>
        <w:t> </w:t>
      </w:r>
      <w:r w:rsidRPr="00C9665A">
        <w:rPr>
          <w:rFonts w:ascii="BureauGrot Light" w:hAnsi="BureauGrot Light" w:cs="BureauGrot Light"/>
        </w:rPr>
        <w:t>–</w:t>
      </w:r>
      <w:r w:rsidRPr="00C9665A">
        <w:rPr>
          <w:rFonts w:ascii="BureauGrot Light" w:hAnsi="BureauGrot Light"/>
        </w:rPr>
        <w:t xml:space="preserve"> similar to</w:t>
      </w:r>
      <w:r w:rsidRPr="00C9665A">
        <w:rPr>
          <w:rFonts w:ascii="Calibri" w:hAnsi="Calibri" w:cs="Calibri"/>
        </w:rPr>
        <w:t> </w:t>
      </w:r>
      <w:r w:rsidRPr="00C9665A">
        <w:rPr>
          <w:rFonts w:ascii="BureauGrot Light" w:hAnsi="BureauGrot Light"/>
        </w:rPr>
        <w:t>those seen in</w:t>
      </w:r>
      <w:r w:rsidRPr="00C9665A">
        <w:rPr>
          <w:rFonts w:ascii="Calibri" w:hAnsi="Calibri" w:cs="Calibri"/>
        </w:rPr>
        <w:t> </w:t>
      </w:r>
      <w:r w:rsidRPr="00C9665A">
        <w:rPr>
          <w:rFonts w:ascii="BureauGrot Light" w:hAnsi="BureauGrot Light"/>
        </w:rPr>
        <w:t>software</w:t>
      </w:r>
      <w:r w:rsidRPr="00C9665A">
        <w:rPr>
          <w:rFonts w:ascii="Calibri" w:hAnsi="Calibri" w:cs="Calibri"/>
        </w:rPr>
        <w:t> </w:t>
      </w:r>
      <w:r w:rsidRPr="00C9665A">
        <w:rPr>
          <w:rFonts w:ascii="BureauGrot Light" w:hAnsi="BureauGrot Light" w:cs="BureauGrot Light"/>
        </w:rPr>
        <w:t>–</w:t>
      </w:r>
      <w:r w:rsidRPr="00C9665A">
        <w:rPr>
          <w:rFonts w:ascii="BureauGrot Light" w:hAnsi="BureauGrot Light"/>
        </w:rPr>
        <w:t xml:space="preserve"> that react to</w:t>
      </w:r>
      <w:r w:rsidRPr="00C9665A">
        <w:rPr>
          <w:rFonts w:ascii="Calibri" w:hAnsi="Calibri" w:cs="Calibri"/>
        </w:rPr>
        <w:t> </w:t>
      </w:r>
      <w:r w:rsidRPr="00C9665A">
        <w:rPr>
          <w:rFonts w:ascii="BureauGrot Light" w:hAnsi="BureauGrot Light"/>
        </w:rPr>
        <w:t>technical developments immediately.’</w:t>
      </w:r>
      <w:r>
        <w:rPr>
          <w:rStyle w:val="FootnoteReference"/>
          <w:rFonts w:ascii="BureauGrot Light" w:hAnsi="BureauGrot Light"/>
        </w:rPr>
        <w:footnoteReference w:id="91"/>
      </w:r>
      <w:r w:rsidRPr="00C9665A">
        <w:rPr>
          <w:rFonts w:ascii="BureauGrot Light" w:hAnsi="BureauGrot Light"/>
        </w:rPr>
        <w:t xml:space="preserve"> Whether this is possible in our parliamentary legislative tradition seems suspect, but it does point towards an iterative approach to regulating which will be important in the UK.</w:t>
      </w:r>
    </w:p>
    <w:p w:rsidR="00D25D19" w:rsidP="0036262B">
      <w:pPr>
        <w:jc w:val="both"/>
        <w:rPr>
          <w:rFonts w:ascii="BureauGrotCondensed" w:hAnsi="BureauGrotCondensed"/>
          <w:b/>
          <w:bCs/>
          <w:color w:val="9F814F"/>
          <w:sz w:val="28"/>
          <w:szCs w:val="28"/>
        </w:rPr>
      </w:pPr>
    </w:p>
    <w:p w:rsidR="00D25D19" w:rsidRPr="0080449E" w:rsidP="0036262B">
      <w:pPr>
        <w:jc w:val="both"/>
        <w:rPr>
          <w:rFonts w:ascii="BureauGrotCondensed" w:hAnsi="BureauGrotCondensed"/>
          <w:b/>
          <w:bCs/>
          <w:color w:val="9F814F"/>
          <w:sz w:val="28"/>
          <w:szCs w:val="28"/>
        </w:rPr>
      </w:pPr>
      <w:r w:rsidRPr="0080449E">
        <w:rPr>
          <w:rFonts w:ascii="BureauGrotCondensed" w:hAnsi="BureauGrotCondensed"/>
          <w:b/>
          <w:bCs/>
          <w:color w:val="9F814F"/>
          <w:sz w:val="28"/>
          <w:szCs w:val="28"/>
        </w:rPr>
        <w:t>How could regulation take account of the international nature of AI? How could it address the potential consequences for human rights in the UK of the malign use of AI by regimes in other countries?</w:t>
      </w:r>
    </w:p>
    <w:p w:rsidR="00D25D19" w:rsidP="0036262B">
      <w:pPr>
        <w:pStyle w:val="ListParagraph"/>
        <w:numPr>
          <w:ilvl w:val="0"/>
          <w:numId w:val="35"/>
        </w:numPr>
        <w:jc w:val="both"/>
        <w:rPr>
          <w:rFonts w:ascii="BureauGrot Light" w:hAnsi="BureauGrot Light"/>
        </w:rPr>
      </w:pPr>
      <w:r w:rsidRPr="00D33D0C">
        <w:rPr>
          <w:rFonts w:ascii="BureauGrot Light" w:hAnsi="BureauGrot Light"/>
        </w:rPr>
        <w:t xml:space="preserve">This is a particularly challenging geopolitical moment in which to be facing these cross-border challenges. To meaningfully address the challenges and harms AI creates, we need an effective global governance system and multi-lateral cooperation. </w:t>
      </w:r>
      <w:r w:rsidRPr="00D33D0C">
        <w:rPr>
          <w:rFonts w:ascii="BureauGrot Light" w:hAnsi="BureauGrot Light"/>
        </w:rPr>
        <w:t>Yet,</w:t>
      </w:r>
      <w:r w:rsidRPr="00D33D0C">
        <w:rPr>
          <w:rFonts w:ascii="BureauGrot Light" w:hAnsi="BureauGrot Light"/>
        </w:rPr>
        <w:t xml:space="preserve"> we are in a moment where such institutions are under threat. </w:t>
      </w:r>
    </w:p>
    <w:p w:rsidR="00D25D19" w:rsidP="00D33D0C">
      <w:pPr>
        <w:pStyle w:val="ListParagraph"/>
        <w:jc w:val="both"/>
        <w:rPr>
          <w:rFonts w:ascii="BureauGrot Light" w:hAnsi="BureauGrot Light"/>
        </w:rPr>
      </w:pPr>
    </w:p>
    <w:p w:rsidR="00D25D19" w:rsidP="0036262B">
      <w:pPr>
        <w:pStyle w:val="ListParagraph"/>
        <w:numPr>
          <w:ilvl w:val="0"/>
          <w:numId w:val="35"/>
        </w:numPr>
        <w:ind w:left="709" w:hanging="425"/>
        <w:jc w:val="both"/>
        <w:rPr>
          <w:rFonts w:ascii="BureauGrot Light" w:hAnsi="BureauGrot Light"/>
        </w:rPr>
      </w:pPr>
      <w:r w:rsidRPr="00D33D0C">
        <w:rPr>
          <w:rFonts w:ascii="BureauGrot Light" w:hAnsi="BureauGrot Light"/>
        </w:rPr>
        <w:t xml:space="preserve">However, this is also an issue we have faced many times before. In a globalised economic system, corporations whose products are purchased and used in many different countries are adept at meeting different regulatory requirements in different markets. Global AI companies are perfectly capable of doing the same. Just as the Big Tech companies of the 1990s and 2000s began as small, scrappy start-ups and scaled up with large legal, compliance, and policy teams to </w:t>
      </w:r>
      <w:r>
        <w:rPr>
          <w:rFonts w:ascii="BureauGrot Light" w:hAnsi="BureauGrot Light"/>
        </w:rPr>
        <w:t xml:space="preserve">adhere to </w:t>
      </w:r>
      <w:r w:rsidRPr="00D33D0C">
        <w:rPr>
          <w:rFonts w:ascii="BureauGrot Light" w:hAnsi="BureauGrot Light"/>
        </w:rPr>
        <w:t>growing regulatory regimes, AI companies can do the same. Additionally, given that the largest AI companies are mostly the established, pre-existing largest global tech companies – or are start-ups supported by those companies – this step is easier.</w:t>
      </w:r>
    </w:p>
    <w:p w:rsidR="00D25D19" w:rsidRPr="00163372" w:rsidP="00163372">
      <w:pPr>
        <w:pStyle w:val="ListParagraph"/>
        <w:rPr>
          <w:rFonts w:ascii="BureauGrot Light" w:hAnsi="BureauGrot Light"/>
        </w:rPr>
      </w:pPr>
    </w:p>
    <w:p w:rsidR="00D25D19" w:rsidP="0036262B">
      <w:pPr>
        <w:pStyle w:val="ListParagraph"/>
        <w:numPr>
          <w:ilvl w:val="0"/>
          <w:numId w:val="35"/>
        </w:numPr>
        <w:ind w:left="709" w:hanging="425"/>
        <w:jc w:val="both"/>
        <w:rPr>
          <w:rFonts w:ascii="BureauGrot Light" w:hAnsi="BureauGrot Light"/>
        </w:rPr>
      </w:pPr>
      <w:r w:rsidRPr="00163372">
        <w:rPr>
          <w:rFonts w:ascii="BureauGrot Light" w:hAnsi="BureauGrot Light"/>
        </w:rPr>
        <w:t xml:space="preserve">Therefore, the Government should focus on AI’s uses in the UK and the specific risks to UK persons. Focusing regulation on the harmful ways in which AI is used on people in the UK, and the ways in which those systems are built, is the best approach. Whilst these systems might be developed in the US or China, it is essential that people have domestic remedies to harms that occur in the UK. </w:t>
      </w:r>
    </w:p>
    <w:p w:rsidR="00D25D19" w:rsidRPr="0079658B" w:rsidP="0079658B">
      <w:pPr>
        <w:pStyle w:val="ListParagraph"/>
        <w:rPr>
          <w:rFonts w:ascii="BureauGrot Light" w:hAnsi="BureauGrot Light"/>
        </w:rPr>
      </w:pPr>
    </w:p>
    <w:p w:rsidR="00D25D19" w:rsidRPr="0079658B" w:rsidP="0036262B">
      <w:pPr>
        <w:pStyle w:val="ListParagraph"/>
        <w:numPr>
          <w:ilvl w:val="0"/>
          <w:numId w:val="35"/>
        </w:numPr>
        <w:ind w:left="709" w:hanging="425"/>
        <w:jc w:val="both"/>
        <w:rPr>
          <w:rFonts w:ascii="BureauGrot Light" w:hAnsi="BureauGrot Light"/>
        </w:rPr>
      </w:pPr>
      <w:r>
        <w:rPr>
          <w:rFonts w:ascii="BureauGrot Light" w:hAnsi="BureauGrot Light"/>
        </w:rPr>
        <w:t>I</w:t>
      </w:r>
      <w:r w:rsidRPr="0079658B">
        <w:rPr>
          <w:rFonts w:ascii="BureauGrot Light" w:hAnsi="BureauGrot Light"/>
        </w:rPr>
        <w:t xml:space="preserve">t is also essential that the UK Government remains highly engaged in international, multi-lateral processes related to AI. </w:t>
      </w:r>
    </w:p>
    <w:p w:rsidR="00D25D19" w:rsidRPr="004C1A02" w:rsidP="0036262B">
      <w:pPr>
        <w:jc w:val="both"/>
      </w:pPr>
    </w:p>
    <w:p w:rsidR="00D25D19" w:rsidRPr="00750DCA" w:rsidP="0036262B">
      <w:pPr>
        <w:jc w:val="both"/>
        <w:rPr>
          <w:rFonts w:ascii="BureauGrotCondensed" w:hAnsi="BureauGrotCondensed"/>
          <w:b/>
          <w:bCs/>
          <w:color w:val="9F814F"/>
          <w:sz w:val="28"/>
          <w:szCs w:val="28"/>
        </w:rPr>
      </w:pPr>
      <w:r w:rsidRPr="00750DCA">
        <w:rPr>
          <w:rFonts w:ascii="BureauGrotCondensed" w:hAnsi="BureauGrotCondensed"/>
          <w:b/>
          <w:bCs/>
          <w:color w:val="9F814F"/>
          <w:sz w:val="28"/>
          <w:szCs w:val="28"/>
        </w:rPr>
        <w:t>How much difference will the Council of Europe Framework Convention on Artificial Intelligence and Human Rights, Democracy and the Rule of Law make to the protection of human rights in the UK?</w:t>
      </w:r>
    </w:p>
    <w:p w:rsidR="00D25D19" w:rsidP="0036262B">
      <w:pPr>
        <w:pStyle w:val="ListParagraph"/>
        <w:numPr>
          <w:ilvl w:val="0"/>
          <w:numId w:val="35"/>
        </w:numPr>
        <w:ind w:hanging="436"/>
        <w:jc w:val="both"/>
        <w:rPr>
          <w:rFonts w:ascii="BureauGrot Light" w:hAnsi="BureauGrot Light"/>
        </w:rPr>
      </w:pPr>
      <w:r w:rsidRPr="00EB058F">
        <w:rPr>
          <w:rFonts w:ascii="BureauGrot Light" w:hAnsi="BureauGrot Light"/>
        </w:rPr>
        <w:t xml:space="preserve">Liberty welcomes the Council of Europe Framework Convention on Artificial Intelligence and Human Rights, Democracy and the Rule of Law as an important milestone and a valuable first step. In a landscape dominated by hype and claims of perpetual growth, steps to create an international, shared standard for AI governance based on human rights are extremely positive. Liberty also welcomes the Convention’s lifecycle approach to human rights protections. </w:t>
      </w:r>
    </w:p>
    <w:p w:rsidR="00D25D19" w:rsidP="00E10A79">
      <w:pPr>
        <w:pStyle w:val="ListParagraph"/>
        <w:jc w:val="both"/>
        <w:rPr>
          <w:rFonts w:ascii="BureauGrot Light" w:hAnsi="BureauGrot Light"/>
        </w:rPr>
      </w:pPr>
    </w:p>
    <w:p w:rsidR="00D25D19" w:rsidP="0036262B">
      <w:pPr>
        <w:pStyle w:val="ListParagraph"/>
        <w:numPr>
          <w:ilvl w:val="0"/>
          <w:numId w:val="35"/>
        </w:numPr>
        <w:ind w:hanging="436"/>
        <w:jc w:val="both"/>
        <w:rPr>
          <w:rFonts w:ascii="BureauGrot Light" w:hAnsi="BureauGrot Light"/>
        </w:rPr>
      </w:pPr>
      <w:r w:rsidRPr="00E10A79">
        <w:rPr>
          <w:rFonts w:ascii="BureauGrot Light" w:hAnsi="BureauGrot Light"/>
        </w:rPr>
        <w:t xml:space="preserve">Whether it will have a meaningful impact on human rights protections in the UK will depend on the extent to which the Government integrates it into cross-cutting policy and legislative work on AI, and their appetite for applying it to the private sector. There are some key limitations in the Convention which may limit its broader impact in reducing AI harms. </w:t>
      </w:r>
    </w:p>
    <w:p w:rsidR="00D25D19" w:rsidRPr="00AE7C2B" w:rsidP="00AE7C2B">
      <w:pPr>
        <w:pStyle w:val="ListParagraph"/>
        <w:rPr>
          <w:rFonts w:ascii="BureauGrot Light" w:hAnsi="BureauGrot Light"/>
        </w:rPr>
      </w:pPr>
    </w:p>
    <w:p w:rsidR="00D25D19" w:rsidP="0036262B">
      <w:pPr>
        <w:pStyle w:val="ListParagraph"/>
        <w:numPr>
          <w:ilvl w:val="0"/>
          <w:numId w:val="35"/>
        </w:numPr>
        <w:ind w:hanging="436"/>
        <w:jc w:val="both"/>
        <w:rPr>
          <w:rFonts w:ascii="BureauGrot Light" w:hAnsi="BureauGrot Light"/>
        </w:rPr>
      </w:pPr>
      <w:r w:rsidRPr="00AE7C2B">
        <w:rPr>
          <w:rFonts w:ascii="BureauGrot Light" w:hAnsi="BureauGrot Light"/>
        </w:rPr>
        <w:t xml:space="preserve">However, if the Government chose to put the framework at the heart of their approach to AI, it could have a meaningful impact on the protection of human rights in the UK. Liberty would therefore suggest that the Government put the Convention on statutory footing as part of its forthcoming AI Bill and use it as the basis for further policy work on AI. </w:t>
      </w:r>
    </w:p>
    <w:p w:rsidR="00D25D19" w:rsidRPr="00AE7C2B" w:rsidP="00AE7C2B">
      <w:pPr>
        <w:pStyle w:val="ListParagraph"/>
        <w:rPr>
          <w:rFonts w:ascii="BureauGrot Light" w:hAnsi="BureauGrot Light"/>
          <w:b/>
          <w:bCs/>
        </w:rPr>
      </w:pPr>
    </w:p>
    <w:p w:rsidR="00D25D19" w:rsidP="0036262B">
      <w:pPr>
        <w:pStyle w:val="ListParagraph"/>
        <w:numPr>
          <w:ilvl w:val="0"/>
          <w:numId w:val="35"/>
        </w:numPr>
        <w:ind w:hanging="436"/>
        <w:jc w:val="both"/>
        <w:rPr>
          <w:rFonts w:ascii="BureauGrot Light" w:hAnsi="BureauGrot Light"/>
        </w:rPr>
      </w:pPr>
      <w:r w:rsidRPr="00AE7C2B">
        <w:rPr>
          <w:rFonts w:ascii="BureauGrot Light" w:hAnsi="BureauGrot Light"/>
          <w:b/>
          <w:bCs/>
        </w:rPr>
        <w:t xml:space="preserve">Enforcement mechanisms: </w:t>
      </w:r>
      <w:r w:rsidRPr="00AE7C2B">
        <w:rPr>
          <w:rFonts w:ascii="BureauGrot Light" w:hAnsi="BureauGrot Light"/>
        </w:rPr>
        <w:t xml:space="preserve">Despite its ‘legally binding’ status, the Convention does not have enforcement mechanisms, undermining the strength of its protections. Liberty would therefore suggest that the Government should provide domestic mechanisms to enforce the Convention in a future AI Bill. </w:t>
      </w:r>
    </w:p>
    <w:p w:rsidR="00D25D19" w:rsidRPr="00AE7C2B" w:rsidP="00AE7C2B">
      <w:pPr>
        <w:pStyle w:val="ListParagraph"/>
        <w:rPr>
          <w:rFonts w:ascii="BureauGrot Light" w:hAnsi="BureauGrot Light"/>
          <w:b/>
          <w:bCs/>
        </w:rPr>
      </w:pPr>
    </w:p>
    <w:p w:rsidR="00D25D19" w:rsidP="0036262B">
      <w:pPr>
        <w:pStyle w:val="ListParagraph"/>
        <w:numPr>
          <w:ilvl w:val="0"/>
          <w:numId w:val="35"/>
        </w:numPr>
        <w:ind w:hanging="436"/>
        <w:jc w:val="both"/>
        <w:rPr>
          <w:rFonts w:ascii="BureauGrot Light" w:hAnsi="BureauGrot Light"/>
        </w:rPr>
      </w:pPr>
      <w:r w:rsidRPr="00AE7C2B">
        <w:rPr>
          <w:rFonts w:ascii="BureauGrot Light" w:hAnsi="BureauGrot Light"/>
          <w:b/>
          <w:bCs/>
        </w:rPr>
        <w:t xml:space="preserve">Sign-posts, not rights: </w:t>
      </w:r>
      <w:r w:rsidRPr="00AE7C2B">
        <w:rPr>
          <w:rFonts w:ascii="BureauGrot Light" w:hAnsi="BureauGrot Light"/>
        </w:rPr>
        <w:t>Cian Murphy’s analysis of the Convention noted it is more ‘an agreement to act than an action itself. It is not, for example, directly comparable to the ECHR, which sets out specific rights – […] rather, it broadly affirms existing ones, such as “non-discrimination” (Article 17), “persons with disabilities” and “children” (Article 18), and “privacy and personal data protection” (Article 11). These are more signposts than directives.’</w:t>
      </w:r>
      <w:r>
        <w:rPr>
          <w:rStyle w:val="FootnoteReference"/>
          <w:rFonts w:ascii="BureauGrot Light" w:hAnsi="BureauGrot Light"/>
        </w:rPr>
        <w:footnoteReference w:id="92"/>
      </w:r>
      <w:r w:rsidRPr="00AE7C2B">
        <w:rPr>
          <w:rFonts w:ascii="BureauGrot Light" w:hAnsi="BureauGrot Light"/>
        </w:rPr>
        <w:t xml:space="preserve"> However, it is useful to see these existing rights placed in the context of AI. </w:t>
      </w:r>
    </w:p>
    <w:p w:rsidR="00D25D19" w:rsidRPr="00AE7C2B" w:rsidP="00AE7C2B">
      <w:pPr>
        <w:pStyle w:val="ListParagraph"/>
        <w:rPr>
          <w:rFonts w:ascii="BureauGrot Light" w:hAnsi="BureauGrot Light"/>
          <w:b/>
          <w:bCs/>
        </w:rPr>
      </w:pPr>
    </w:p>
    <w:p w:rsidR="00D25D19" w:rsidP="0036262B">
      <w:pPr>
        <w:pStyle w:val="ListParagraph"/>
        <w:numPr>
          <w:ilvl w:val="0"/>
          <w:numId w:val="35"/>
        </w:numPr>
        <w:ind w:hanging="436"/>
        <w:jc w:val="both"/>
        <w:rPr>
          <w:rFonts w:ascii="BureauGrot Light" w:hAnsi="BureauGrot Light"/>
        </w:rPr>
      </w:pPr>
      <w:r w:rsidRPr="00AE7C2B">
        <w:rPr>
          <w:rFonts w:ascii="BureauGrot Light" w:hAnsi="BureauGrot Light"/>
          <w:b/>
          <w:bCs/>
        </w:rPr>
        <w:t xml:space="preserve">Private sector coverage: </w:t>
      </w:r>
      <w:r w:rsidRPr="00AE7C2B">
        <w:rPr>
          <w:rFonts w:ascii="BureauGrot Light" w:hAnsi="BureauGrot Light"/>
        </w:rPr>
        <w:t xml:space="preserve">The Convention backed away from full applicability to the private sector. Whilst it does cover government use of private sector technologies, it does not subject non-state private sector activity to the same broad human rights commitments. Instead, it allows countries to choose to apply the Convention to private sector activities within their own boundaries. It is essential that the UK Government does so. </w:t>
      </w:r>
    </w:p>
    <w:p w:rsidR="00D25D19" w:rsidRPr="00AE7C2B" w:rsidP="00AE7C2B">
      <w:pPr>
        <w:pStyle w:val="ListParagraph"/>
        <w:rPr>
          <w:rFonts w:ascii="BureauGrot Light" w:hAnsi="BureauGrot Light"/>
          <w:b/>
          <w:bCs/>
        </w:rPr>
      </w:pPr>
    </w:p>
    <w:p w:rsidR="00D25D19" w:rsidP="0036262B">
      <w:pPr>
        <w:pStyle w:val="ListParagraph"/>
        <w:numPr>
          <w:ilvl w:val="0"/>
          <w:numId w:val="35"/>
        </w:numPr>
        <w:ind w:hanging="436"/>
        <w:jc w:val="both"/>
        <w:rPr>
          <w:rFonts w:ascii="BureauGrot Light" w:hAnsi="BureauGrot Light"/>
        </w:rPr>
      </w:pPr>
      <w:r w:rsidRPr="00AE7C2B">
        <w:rPr>
          <w:rFonts w:ascii="BureauGrot Light" w:hAnsi="BureauGrot Light"/>
          <w:b/>
          <w:bCs/>
        </w:rPr>
        <w:t xml:space="preserve">National security loopholes: </w:t>
      </w:r>
      <w:r w:rsidRPr="00AE7C2B">
        <w:rPr>
          <w:rFonts w:ascii="BureauGrot Light" w:hAnsi="BureauGrot Light"/>
        </w:rPr>
        <w:t>The Convention also included some key loopholes which will limit its efficacy. Parties are ‘not required to apply this convention to activities within the lifecycle of artificial intelligence systems related to the protection of its national security interests’ and ‘matters relating to national defence do not fall within scope of this Convention’. Carving out both national security and defence from the Convention seriously undermines its human rights protections. Indeed, Liberty knows that most governments’</w:t>
      </w:r>
      <w:r w:rsidRPr="00AE7C2B">
        <w:rPr>
          <w:rFonts w:ascii="BureauGrot Light" w:hAnsi="BureauGrot Light"/>
        </w:rPr>
        <w:t xml:space="preserve"> human rights abuses occur under the guise of national security. Whilst the ECHR qualifies some of its protections in the interests of public safety, it does not carve national security and defence out of its scope. The Convention should have taken the same approach. </w:t>
      </w:r>
    </w:p>
    <w:p w:rsidR="00D25D19" w:rsidRPr="00AE7C2B" w:rsidP="00AE7C2B">
      <w:pPr>
        <w:pStyle w:val="ListParagraph"/>
        <w:rPr>
          <w:rFonts w:ascii="BureauGrot Light" w:hAnsi="BureauGrot Light"/>
          <w:b/>
          <w:bCs/>
        </w:rPr>
      </w:pPr>
    </w:p>
    <w:p w:rsidR="00D25D19" w:rsidP="0036262B">
      <w:pPr>
        <w:pStyle w:val="ListParagraph"/>
        <w:numPr>
          <w:ilvl w:val="0"/>
          <w:numId w:val="35"/>
        </w:numPr>
        <w:ind w:hanging="436"/>
        <w:jc w:val="both"/>
        <w:rPr>
          <w:rFonts w:ascii="BureauGrot Light" w:hAnsi="BureauGrot Light"/>
        </w:rPr>
      </w:pPr>
      <w:r w:rsidRPr="4968A072">
        <w:rPr>
          <w:rFonts w:ascii="BureauGrot Light" w:hAnsi="BureauGrot Light"/>
          <w:b/>
          <w:bCs/>
        </w:rPr>
        <w:t>Research &amp;Development</w:t>
      </w:r>
      <w:r w:rsidRPr="00AE7C2B">
        <w:rPr>
          <w:rFonts w:ascii="BureauGrot Light" w:hAnsi="BureauGrot Light"/>
          <w:b/>
          <w:bCs/>
        </w:rPr>
        <w:t xml:space="preserve">: </w:t>
      </w:r>
      <w:r w:rsidRPr="00AE7C2B">
        <w:rPr>
          <w:rFonts w:ascii="BureauGrot Light" w:hAnsi="BureauGrot Light"/>
        </w:rPr>
        <w:t>The Convention also carves out research and development activities, which further limits its protections. A true ‘lifecycle’ approach to AI human rights analysis would include the research stage in its scope.</w:t>
      </w:r>
    </w:p>
    <w:p w:rsidR="00D25D19" w:rsidRPr="00AE7C2B" w:rsidP="00AE7C2B">
      <w:pPr>
        <w:pStyle w:val="ListParagraph"/>
        <w:rPr>
          <w:rFonts w:ascii="BureauGrot Light" w:hAnsi="BureauGrot Light"/>
          <w:b/>
          <w:bCs/>
        </w:rPr>
      </w:pPr>
    </w:p>
    <w:p w:rsidR="00D25D19" w:rsidP="0036262B">
      <w:pPr>
        <w:pStyle w:val="ListParagraph"/>
        <w:numPr>
          <w:ilvl w:val="0"/>
          <w:numId w:val="35"/>
        </w:numPr>
        <w:ind w:hanging="436"/>
        <w:jc w:val="both"/>
        <w:rPr>
          <w:rFonts w:ascii="BureauGrot Light" w:hAnsi="BureauGrot Light"/>
        </w:rPr>
      </w:pPr>
      <w:r w:rsidRPr="00AE7C2B">
        <w:rPr>
          <w:rFonts w:ascii="BureauGrot Light" w:hAnsi="BureauGrot Light"/>
          <w:b/>
          <w:bCs/>
        </w:rPr>
        <w:t xml:space="preserve">Next steps: </w:t>
      </w:r>
      <w:r w:rsidRPr="00AE7C2B">
        <w:rPr>
          <w:rFonts w:ascii="BureauGrot Light" w:hAnsi="BureauGrot Light"/>
        </w:rPr>
        <w:t>The Convention does not target the democratic deficit at the heart of AI’s human rights risks. Gina Neff’s commentary on the Biden White House’s Executive Order mandating a coordinated federal response to AI seems to apply here too: ‘while this policy leadership was helpful, it could not check the market power of the companies building AI tools. Nor did these measures put in place binding regulations that ensure that AI tools are accountable to public oversight.’</w:t>
      </w:r>
      <w:r>
        <w:rPr>
          <w:rStyle w:val="FootnoteReference"/>
          <w:rFonts w:ascii="BureauGrot Light" w:hAnsi="BureauGrot Light"/>
        </w:rPr>
        <w:footnoteReference w:id="93"/>
      </w:r>
    </w:p>
    <w:p w:rsidR="00D25D19" w:rsidRPr="00AE7C2B" w:rsidP="00AE7C2B">
      <w:pPr>
        <w:pStyle w:val="ListParagraph"/>
        <w:rPr>
          <w:rFonts w:ascii="BureauGrot Light" w:hAnsi="BureauGrot Light"/>
        </w:rPr>
      </w:pPr>
    </w:p>
    <w:p w:rsidR="00D25D19" w:rsidP="0036262B">
      <w:pPr>
        <w:pStyle w:val="ListParagraph"/>
        <w:numPr>
          <w:ilvl w:val="0"/>
          <w:numId w:val="35"/>
        </w:numPr>
        <w:ind w:hanging="436"/>
        <w:jc w:val="both"/>
        <w:rPr>
          <w:rFonts w:ascii="BureauGrot Light" w:hAnsi="BureauGrot Light"/>
        </w:rPr>
      </w:pPr>
      <w:r w:rsidRPr="00AE7C2B">
        <w:rPr>
          <w:rFonts w:ascii="BureauGrot Light" w:hAnsi="BureauGrot Light"/>
        </w:rPr>
        <w:t xml:space="preserve">However, if the Government were to take the Convention as the foundation of their approach to AI, it could use domestic legislation to help create those regulations that would make this tech accountable to democratic oversight. </w:t>
      </w:r>
    </w:p>
    <w:p w:rsidR="007424B0" w:rsidRPr="00ED0727" w:rsidP="00ED0727">
      <w:pPr>
        <w:pStyle w:val="ListParagraph"/>
        <w:rPr>
          <w:rFonts w:ascii="BureauGrot Light" w:hAnsi="BureauGrot Light"/>
        </w:rPr>
      </w:pPr>
    </w:p>
    <w:p w:rsidR="007424B0" w:rsidRPr="003F5AA8" w:rsidP="00ED0727">
      <w:pPr>
        <w:pStyle w:val="whitespace-normal"/>
        <w:spacing w:line="360" w:lineRule="auto"/>
        <w:rPr>
          <w:rFonts w:ascii="Arial" w:hAnsi="Arial" w:cs="Arial"/>
        </w:rPr>
      </w:pPr>
      <w:r w:rsidRPr="00E829B3">
        <w:rPr>
          <w:rFonts w:asciiTheme="minorHAnsi" w:hAnsiTheme="minorHAnsi" w:cstheme="minorHAnsi"/>
          <w:b/>
          <w:bCs/>
          <w:i/>
          <w:iCs/>
        </w:rPr>
        <w:t>(Sept 2025)</w:t>
      </w:r>
    </w:p>
    <w:p w:rsidR="007424B0" w:rsidRPr="00ED0727" w:rsidP="00ED0727">
      <w:pPr>
        <w:jc w:val="both"/>
        <w:rPr>
          <w:rFonts w:ascii="BureauGrot Light" w:hAnsi="BureauGrot Light"/>
        </w:rPr>
      </w:pPr>
    </w:p>
    <w:p w:rsidR="00D25D19" w:rsidRPr="004C1A02" w:rsidP="0036262B">
      <w:pPr>
        <w:jc w:val="both"/>
      </w:pPr>
    </w:p>
    <w:p w:rsidR="00D25D19"/>
    <w:sectPr w:rsidSect="00F9587C">
      <w:footerReference w:type="default" r:id="rId10"/>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ureauGrot Light">
    <w:altName w:val="Calibri"/>
    <w:panose1 w:val="00000000000000000000"/>
    <w:charset w:val="00"/>
    <w:family w:val="moder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BureauGrotCondensed">
    <w:altName w:val="Calibri"/>
    <w:panose1 w:val="00000000000000000000"/>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62250235"/>
      <w:docPartObj>
        <w:docPartGallery w:val="Page Numbers (Bottom of Page)"/>
        <w:docPartUnique/>
      </w:docPartObj>
    </w:sdtPr>
    <w:sdtEndPr>
      <w:rPr>
        <w:noProof/>
      </w:rPr>
    </w:sdtEndPr>
    <w:sdtContent>
      <w:p w:rsidR="00D25D1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D25D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424B0" w:rsidP="0036262B">
      <w:pPr>
        <w:spacing w:after="0" w:line="240" w:lineRule="auto"/>
      </w:pPr>
      <w:r>
        <w:separator/>
      </w:r>
    </w:p>
  </w:footnote>
  <w:footnote w:type="continuationSeparator" w:id="1">
    <w:p w:rsidR="007424B0" w:rsidP="0036262B">
      <w:pPr>
        <w:spacing w:after="0" w:line="240" w:lineRule="auto"/>
      </w:pPr>
      <w:r>
        <w:continuationSeparator/>
      </w:r>
    </w:p>
  </w:footnote>
  <w:footnote w:id="2">
    <w:p w:rsidR="00D25D19" w:rsidRPr="00D50A9C" w:rsidP="0036262B">
      <w:pPr>
        <w:pStyle w:val="FootnoteText"/>
        <w:rPr>
          <w:rFonts w:ascii="BureauGrot Light" w:hAnsi="BureauGrot Light"/>
        </w:rPr>
      </w:pPr>
      <w:r w:rsidRPr="00D50A9C">
        <w:rPr>
          <w:rStyle w:val="FootnoteReference"/>
          <w:rFonts w:ascii="BureauGrot Light" w:hAnsi="BureauGrot Light"/>
        </w:rPr>
        <w:footnoteRef/>
      </w:r>
      <w:r w:rsidRPr="00D50A9C">
        <w:rPr>
          <w:rFonts w:ascii="BureauGrot Light" w:hAnsi="BureauGrot Light"/>
        </w:rPr>
        <w:t xml:space="preserve"> Gina Neff, ‘What we all need to know about AI’, Oxford Internet Institute, 25 March 2020, accessed 14 August 2025. </w:t>
      </w:r>
    </w:p>
  </w:footnote>
  <w:footnote w:id="3">
    <w:p w:rsidR="00D25D19" w:rsidRPr="00D50A9C" w:rsidP="0036262B">
      <w:pPr>
        <w:pStyle w:val="FootnoteText"/>
        <w:rPr>
          <w:rFonts w:ascii="BureauGrot Light" w:hAnsi="BureauGrot Light"/>
        </w:rPr>
      </w:pPr>
      <w:r w:rsidRPr="00D50A9C">
        <w:rPr>
          <w:rStyle w:val="FootnoteReference"/>
          <w:rFonts w:ascii="BureauGrot Light" w:hAnsi="BureauGrot Light"/>
        </w:rPr>
        <w:footnoteRef/>
      </w:r>
      <w:r w:rsidRPr="00D50A9C">
        <w:rPr>
          <w:rFonts w:ascii="BureauGrot Light" w:hAnsi="BureauGrot Light"/>
        </w:rPr>
        <w:t xml:space="preserve"> Access Now, ‘Human rights in the age of artificial intelligence’, Access Now website, 2018, accessed 28 August 2025. </w:t>
      </w:r>
    </w:p>
  </w:footnote>
  <w:footnote w:id="4">
    <w:p w:rsidR="00D25D19" w:rsidRPr="004C1A02" w:rsidP="0036262B">
      <w:pPr>
        <w:pStyle w:val="FootnoteText"/>
      </w:pPr>
      <w:r w:rsidRPr="00D50A9C">
        <w:rPr>
          <w:rStyle w:val="FootnoteReference"/>
          <w:rFonts w:ascii="BureauGrot Light" w:hAnsi="BureauGrot Light"/>
        </w:rPr>
        <w:footnoteRef/>
      </w:r>
      <w:r w:rsidRPr="00D50A9C">
        <w:rPr>
          <w:rFonts w:ascii="BureauGrot Light" w:hAnsi="BureauGrot Light"/>
        </w:rPr>
        <w:t xml:space="preserve"> Zeynep Tufekci, ‘A move, some news, and a new essay on privacy and technology in post-Roe America’, The Insight newsletter, 19 May 2022, accessed 14 August 2025. </w:t>
      </w:r>
    </w:p>
  </w:footnote>
  <w:footnote w:id="5">
    <w:p w:rsidR="00D25D19" w:rsidRPr="00D50A9C" w:rsidP="0036262B">
      <w:pPr>
        <w:pStyle w:val="FootnoteText"/>
        <w:rPr>
          <w:rFonts w:ascii="BureauGrot Light" w:hAnsi="BureauGrot Light"/>
        </w:rPr>
      </w:pPr>
      <w:r w:rsidRPr="00D50A9C">
        <w:rPr>
          <w:rStyle w:val="FootnoteReference"/>
          <w:rFonts w:ascii="BureauGrot Light" w:hAnsi="BureauGrot Light"/>
        </w:rPr>
        <w:footnoteRef/>
      </w:r>
      <w:r w:rsidRPr="00D50A9C">
        <w:rPr>
          <w:rFonts w:ascii="BureauGrot Light" w:hAnsi="BureauGrot Light"/>
        </w:rPr>
        <w:t xml:space="preserve"> Kiran Stacey, ‘Technology secretary Peter Kyle asks ChatGPT for science and media advice’, The Guardian, 13 March 2025, accessed 27 August 2025. </w:t>
      </w:r>
    </w:p>
  </w:footnote>
  <w:footnote w:id="6">
    <w:p w:rsidR="00D25D19" w:rsidP="0036262B">
      <w:pPr>
        <w:pStyle w:val="FootnoteText"/>
      </w:pPr>
      <w:r w:rsidRPr="00D50A9C">
        <w:rPr>
          <w:rStyle w:val="FootnoteReference"/>
          <w:rFonts w:ascii="BureauGrot Light" w:hAnsi="BureauGrot Light"/>
        </w:rPr>
        <w:footnoteRef/>
      </w:r>
      <w:r w:rsidRPr="00D50A9C">
        <w:rPr>
          <w:rFonts w:ascii="BureauGrot Light" w:hAnsi="BureauGrot Light"/>
        </w:rPr>
        <w:t xml:space="preserve"> Ibid.</w:t>
      </w:r>
      <w:r>
        <w:t xml:space="preserve"> </w:t>
      </w:r>
    </w:p>
  </w:footnote>
  <w:footnote w:id="7">
    <w:p w:rsidR="00D25D19" w:rsidRPr="00D50A9C" w:rsidP="0036262B">
      <w:pPr>
        <w:pStyle w:val="FootnoteText"/>
        <w:rPr>
          <w:rFonts w:ascii="BureauGrot Light" w:hAnsi="BureauGrot Light"/>
        </w:rPr>
      </w:pPr>
      <w:r w:rsidRPr="00D50A9C">
        <w:rPr>
          <w:rStyle w:val="FootnoteReference"/>
          <w:rFonts w:ascii="BureauGrot Light" w:hAnsi="BureauGrot Light"/>
        </w:rPr>
        <w:footnoteRef/>
      </w:r>
      <w:r w:rsidRPr="00D50A9C">
        <w:rPr>
          <w:rFonts w:ascii="BureauGrot Light" w:hAnsi="BureauGrot Light"/>
        </w:rPr>
        <w:t xml:space="preserve"> Ami Fields-Meyer and Janet Haven, ‘AI’s Alarming Trend Toward Illiberalism’, Foreign Policy, 31 October 2024, accessed 27 August 2025. </w:t>
      </w:r>
    </w:p>
  </w:footnote>
  <w:footnote w:id="8">
    <w:p w:rsidR="00D25D19" w:rsidRPr="00D50A9C" w:rsidP="0036262B">
      <w:pPr>
        <w:pStyle w:val="FootnoteText"/>
        <w:rPr>
          <w:rFonts w:ascii="BureauGrot Light" w:hAnsi="BureauGrot Light"/>
        </w:rPr>
      </w:pPr>
      <w:r w:rsidRPr="00D50A9C">
        <w:rPr>
          <w:rStyle w:val="FootnoteReference"/>
          <w:rFonts w:ascii="BureauGrot Light" w:hAnsi="BureauGrot Light"/>
        </w:rPr>
        <w:footnoteRef/>
      </w:r>
      <w:r w:rsidRPr="00D50A9C">
        <w:rPr>
          <w:rFonts w:ascii="BureauGrot Light" w:hAnsi="BureauGrot Light"/>
        </w:rPr>
        <w:t xml:space="preserve"> ENNHRI, ‘Key human rights challenges of AI’, ENNHRI website, accessed 20 August 2025. </w:t>
      </w:r>
    </w:p>
  </w:footnote>
  <w:footnote w:id="9">
    <w:p w:rsidR="00D25D19" w:rsidRPr="00D50A9C" w:rsidP="0036262B">
      <w:pPr>
        <w:pStyle w:val="FootnoteText"/>
        <w:rPr>
          <w:rFonts w:ascii="BureauGrot Light" w:hAnsi="BureauGrot Light"/>
          <w:b/>
          <w:bCs/>
        </w:rPr>
      </w:pPr>
      <w:r w:rsidRPr="00D50A9C">
        <w:rPr>
          <w:rStyle w:val="FootnoteReference"/>
          <w:rFonts w:ascii="BureauGrot Light" w:hAnsi="BureauGrot Light"/>
        </w:rPr>
        <w:footnoteRef/>
      </w:r>
      <w:r w:rsidRPr="00D50A9C">
        <w:rPr>
          <w:rFonts w:ascii="BureauGrot Light" w:hAnsi="BureauGrot Light"/>
        </w:rPr>
        <w:t xml:space="preserve"> Annual report of the United Nations High Commissioner for Human Rights and reports of the Office of the High Commissioner and the Secretary-General, ‘The right to privacy in the digital age’, Human Rights Council 48</w:t>
      </w:r>
      <w:r w:rsidRPr="00D50A9C">
        <w:rPr>
          <w:rFonts w:ascii="BureauGrot Light" w:hAnsi="BureauGrot Light"/>
          <w:vertAlign w:val="superscript"/>
        </w:rPr>
        <w:t>th</w:t>
      </w:r>
      <w:r w:rsidRPr="00D50A9C">
        <w:rPr>
          <w:rFonts w:ascii="BureauGrot Light" w:hAnsi="BureauGrot Light"/>
        </w:rPr>
        <w:t xml:space="preserve"> Session, September 2021.</w:t>
      </w:r>
      <w:r w:rsidRPr="00D50A9C">
        <w:rPr>
          <w:rFonts w:ascii="BureauGrot Light" w:hAnsi="BureauGrot Light"/>
          <w:b/>
          <w:bCs/>
        </w:rPr>
        <w:t xml:space="preserve"> </w:t>
      </w:r>
    </w:p>
  </w:footnote>
  <w:footnote w:id="10">
    <w:p w:rsidR="00D25D19" w:rsidRPr="004C1A02" w:rsidP="0036262B">
      <w:pPr>
        <w:pStyle w:val="FootnoteText"/>
      </w:pPr>
      <w:r w:rsidRPr="00D50A9C">
        <w:rPr>
          <w:rStyle w:val="FootnoteReference"/>
          <w:rFonts w:ascii="BureauGrot Light" w:hAnsi="BureauGrot Light"/>
        </w:rPr>
        <w:footnoteRef/>
      </w:r>
      <w:r w:rsidRPr="00D50A9C">
        <w:rPr>
          <w:rFonts w:ascii="BureauGrot Light" w:hAnsi="BureauGrot Light"/>
        </w:rPr>
        <w:t xml:space="preserve"> Ibid.</w:t>
      </w:r>
    </w:p>
  </w:footnote>
  <w:footnote w:id="11">
    <w:p w:rsidR="00D25D19" w:rsidRPr="00EF0A1D" w:rsidP="0036262B">
      <w:pPr>
        <w:pStyle w:val="FootnoteText"/>
        <w:rPr>
          <w:rFonts w:ascii="BureauGrot Light" w:hAnsi="BureauGrot Light"/>
        </w:rPr>
      </w:pPr>
      <w:r w:rsidRPr="00EF0A1D">
        <w:rPr>
          <w:rStyle w:val="FootnoteReference"/>
          <w:rFonts w:ascii="BureauGrot Light" w:hAnsi="BureauGrot Light"/>
        </w:rPr>
        <w:footnoteRef/>
      </w:r>
      <w:r w:rsidRPr="00EF0A1D">
        <w:rPr>
          <w:rFonts w:ascii="BureauGrot Light" w:hAnsi="BureauGrot Light"/>
        </w:rPr>
        <w:t xml:space="preserve"> Ron Wyden, ‘How women’s phones became a tool for abortion surveillance’, MSNBC Opinion, 3 November 2024, accessed 20 August 2025. </w:t>
      </w:r>
    </w:p>
  </w:footnote>
  <w:footnote w:id="12">
    <w:p w:rsidR="00D25D19" w:rsidRPr="00EF0A1D" w:rsidP="0036262B">
      <w:pPr>
        <w:pStyle w:val="FootnoteText"/>
        <w:rPr>
          <w:rFonts w:ascii="BureauGrot Light" w:hAnsi="BureauGrot Light"/>
        </w:rPr>
      </w:pPr>
      <w:r w:rsidRPr="00EF0A1D">
        <w:rPr>
          <w:rStyle w:val="FootnoteReference"/>
          <w:rFonts w:ascii="BureauGrot Light" w:hAnsi="BureauGrot Light"/>
        </w:rPr>
        <w:footnoteRef/>
      </w:r>
      <w:r w:rsidRPr="00EF0A1D">
        <w:rPr>
          <w:rFonts w:ascii="BureauGrot Light" w:hAnsi="BureauGrot Light"/>
        </w:rPr>
        <w:t xml:space="preserve"> Vikram Dodd, ‘UK use of predictive policing is racist and should be banned, says Amnesty’, The Guardian, 19 February 2025, accessed 20 August 2025. </w:t>
      </w:r>
    </w:p>
  </w:footnote>
  <w:footnote w:id="13">
    <w:p w:rsidR="00D25D19" w:rsidRPr="00EF0A1D" w:rsidP="0036262B">
      <w:pPr>
        <w:pStyle w:val="FootnoteText"/>
        <w:rPr>
          <w:rFonts w:ascii="BureauGrot Light" w:hAnsi="BureauGrot Light"/>
        </w:rPr>
      </w:pPr>
      <w:r w:rsidRPr="00EF0A1D">
        <w:rPr>
          <w:rStyle w:val="FootnoteReference"/>
          <w:rFonts w:ascii="BureauGrot Light" w:hAnsi="BureauGrot Light"/>
        </w:rPr>
        <w:footnoteRef/>
      </w:r>
      <w:r w:rsidRPr="00EF0A1D">
        <w:rPr>
          <w:rFonts w:ascii="BureauGrot Light" w:hAnsi="BureauGrot Light"/>
        </w:rPr>
        <w:t xml:space="preserve"> UNHCHR, ‘The right to privacy in the digital age’.</w:t>
      </w:r>
    </w:p>
  </w:footnote>
  <w:footnote w:id="14">
    <w:p w:rsidR="00D25D19" w:rsidRPr="00EF0A1D" w:rsidP="0036262B">
      <w:pPr>
        <w:pStyle w:val="FootnoteText"/>
        <w:rPr>
          <w:rFonts w:ascii="BureauGrot Light" w:hAnsi="BureauGrot Light"/>
        </w:rPr>
      </w:pPr>
      <w:r w:rsidRPr="00EF0A1D">
        <w:rPr>
          <w:rStyle w:val="FootnoteReference"/>
          <w:rFonts w:ascii="BureauGrot Light" w:hAnsi="BureauGrot Light"/>
        </w:rPr>
        <w:footnoteRef/>
      </w:r>
      <w:r w:rsidRPr="00EF0A1D">
        <w:rPr>
          <w:rFonts w:ascii="BureauGrot Light" w:hAnsi="BureauGrot Light"/>
        </w:rPr>
        <w:t xml:space="preserve"> </w:t>
      </w:r>
      <w:r w:rsidRPr="00EF0A1D">
        <w:rPr>
          <w:rFonts w:ascii="BureauGrot Light" w:hAnsi="BureauGrot Light"/>
          <w:sz w:val="18"/>
          <w:szCs w:val="18"/>
        </w:rPr>
        <w:t>Danny Shaw, ‘Windrush: Home Office admits data breach in compensation scheme’, BBC News, 8 April 2019.</w:t>
      </w:r>
    </w:p>
  </w:footnote>
  <w:footnote w:id="15">
    <w:p w:rsidR="00D25D19" w:rsidRPr="00EF0A1D" w:rsidP="0036262B">
      <w:pPr>
        <w:pStyle w:val="FootnoteText"/>
        <w:rPr>
          <w:rFonts w:ascii="BureauGrot Light" w:hAnsi="BureauGrot Light"/>
        </w:rPr>
      </w:pPr>
      <w:r w:rsidRPr="00EF0A1D">
        <w:rPr>
          <w:rStyle w:val="FootnoteReference"/>
          <w:rFonts w:ascii="BureauGrot Light" w:hAnsi="BureauGrot Light"/>
        </w:rPr>
        <w:footnoteRef/>
      </w:r>
      <w:r w:rsidRPr="00EF0A1D">
        <w:rPr>
          <w:rFonts w:ascii="BureauGrot Light" w:hAnsi="BureauGrot Light"/>
        </w:rPr>
        <w:t xml:space="preserve"> Ross Hawkins, ‘Brexit: Home Office sorry for EU citizen data breach’, BBC News, 11 April 2019.</w:t>
      </w:r>
    </w:p>
  </w:footnote>
  <w:footnote w:id="16">
    <w:p w:rsidR="00D25D19" w:rsidRPr="004C1A02" w:rsidP="0036262B">
      <w:pPr>
        <w:pStyle w:val="FootnoteText"/>
      </w:pPr>
      <w:r w:rsidRPr="00EF0A1D">
        <w:rPr>
          <w:rStyle w:val="FootnoteReference"/>
          <w:rFonts w:ascii="BureauGrot Light" w:hAnsi="BureauGrot Light"/>
        </w:rPr>
        <w:footnoteRef/>
      </w:r>
      <w:r w:rsidRPr="00EF0A1D">
        <w:rPr>
          <w:rFonts w:ascii="BureauGrot Light" w:hAnsi="BureauGrot Light"/>
        </w:rPr>
        <w:t xml:space="preserve"> </w:t>
      </w:r>
      <w:r w:rsidRPr="00EF0A1D">
        <w:rPr>
          <w:rFonts w:ascii="BureauGrot Light" w:hAnsi="BureauGrot Light"/>
          <w:sz w:val="18"/>
          <w:szCs w:val="18"/>
        </w:rPr>
        <w:t>Resecurity</w:t>
      </w:r>
      <w:r w:rsidRPr="00EF0A1D">
        <w:rPr>
          <w:rFonts w:ascii="BureauGrot Light" w:hAnsi="BureauGrot Light"/>
          <w:sz w:val="18"/>
          <w:szCs w:val="18"/>
        </w:rPr>
        <w:t xml:space="preserve">, ‘PII Belonging </w:t>
      </w:r>
      <w:r w:rsidRPr="00EF0A1D">
        <w:rPr>
          <w:rFonts w:ascii="BureauGrot Light" w:hAnsi="BureauGrot Light"/>
          <w:sz w:val="18"/>
          <w:szCs w:val="18"/>
        </w:rPr>
        <w:t>To</w:t>
      </w:r>
      <w:r w:rsidRPr="00EF0A1D">
        <w:rPr>
          <w:rFonts w:ascii="BureauGrot Light" w:hAnsi="BureauGrot Light"/>
          <w:sz w:val="18"/>
          <w:szCs w:val="18"/>
        </w:rPr>
        <w:t xml:space="preserve"> Indian Citizens Including Their Aadhaar IDs, Offered </w:t>
      </w:r>
      <w:r w:rsidRPr="00EF0A1D">
        <w:rPr>
          <w:rFonts w:ascii="BureauGrot Light" w:hAnsi="BureauGrot Light"/>
          <w:sz w:val="18"/>
          <w:szCs w:val="18"/>
        </w:rPr>
        <w:t>For</w:t>
      </w:r>
      <w:r w:rsidRPr="00EF0A1D">
        <w:rPr>
          <w:rFonts w:ascii="BureauGrot Light" w:hAnsi="BureauGrot Light"/>
          <w:sz w:val="18"/>
          <w:szCs w:val="18"/>
        </w:rPr>
        <w:t xml:space="preserve"> Sale </w:t>
      </w:r>
      <w:r w:rsidRPr="00EF0A1D">
        <w:rPr>
          <w:rFonts w:ascii="BureauGrot Light" w:hAnsi="BureauGrot Light"/>
          <w:sz w:val="18"/>
          <w:szCs w:val="18"/>
        </w:rPr>
        <w:t>On</w:t>
      </w:r>
      <w:r w:rsidRPr="00EF0A1D">
        <w:rPr>
          <w:rFonts w:ascii="BureauGrot Light" w:hAnsi="BureauGrot Light"/>
          <w:sz w:val="18"/>
          <w:szCs w:val="18"/>
        </w:rPr>
        <w:t xml:space="preserve"> </w:t>
      </w:r>
      <w:r w:rsidRPr="00EF0A1D">
        <w:rPr>
          <w:rFonts w:ascii="BureauGrot Light" w:hAnsi="BureauGrot Light"/>
          <w:sz w:val="18"/>
          <w:szCs w:val="18"/>
        </w:rPr>
        <w:t>The</w:t>
      </w:r>
      <w:r w:rsidRPr="00EF0A1D">
        <w:rPr>
          <w:rFonts w:ascii="BureauGrot Light" w:hAnsi="BureauGrot Light"/>
          <w:sz w:val="18"/>
          <w:szCs w:val="18"/>
        </w:rPr>
        <w:t xml:space="preserve"> Dark Web’, </w:t>
      </w:r>
      <w:r w:rsidRPr="00EF0A1D">
        <w:rPr>
          <w:rFonts w:ascii="BureauGrot Light" w:hAnsi="BureauGrot Light"/>
          <w:sz w:val="18"/>
          <w:szCs w:val="18"/>
        </w:rPr>
        <w:t>Resecurity</w:t>
      </w:r>
      <w:r w:rsidRPr="00EF0A1D">
        <w:rPr>
          <w:rFonts w:ascii="BureauGrot Light" w:hAnsi="BureauGrot Light"/>
          <w:sz w:val="18"/>
          <w:szCs w:val="18"/>
        </w:rPr>
        <w:t xml:space="preserve"> website, 2023</w:t>
      </w:r>
    </w:p>
  </w:footnote>
  <w:footnote w:id="17">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UNHCHR, ‘The right to privacy in the digital age’.</w:t>
      </w:r>
    </w:p>
  </w:footnote>
  <w:footnote w:id="18">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Ibid.</w:t>
      </w:r>
    </w:p>
  </w:footnote>
  <w:footnote w:id="19">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Anna Gutowska, ‘What are AI agents?’, IBM Think, accessed 20 August 2025. </w:t>
      </w:r>
    </w:p>
  </w:footnote>
  <w:footnote w:id="20">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OpenAI, ‘Introducing Operator’, OpenAI website, 23 January 2025, accessed 20 August 2025. </w:t>
      </w:r>
    </w:p>
  </w:footnote>
  <w:footnote w:id="21">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Meredith Whittaker quoted in AI Now Institute, ‘Artificial Power: 2025 Landscape Report’, 3 June 2025, accessed 20 August 2025. </w:t>
      </w:r>
    </w:p>
  </w:footnote>
  <w:footnote w:id="22">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AI Now, ‘Landscape Report’. </w:t>
      </w:r>
    </w:p>
  </w:footnote>
  <w:footnote w:id="23">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Ibid.</w:t>
      </w:r>
    </w:p>
  </w:footnote>
  <w:footnote w:id="24">
    <w:p w:rsidR="00D25D19" w:rsidRPr="004C1A02" w:rsidP="0036262B">
      <w:pPr>
        <w:pStyle w:val="FootnoteText"/>
      </w:pPr>
      <w:r w:rsidRPr="00A6563E">
        <w:rPr>
          <w:rStyle w:val="FootnoteReference"/>
          <w:rFonts w:ascii="BureauGrot Light" w:hAnsi="BureauGrot Light"/>
        </w:rPr>
        <w:footnoteRef/>
      </w:r>
      <w:r w:rsidRPr="00A6563E">
        <w:rPr>
          <w:rFonts w:ascii="BureauGrot Light" w:hAnsi="BureauGrot Light"/>
        </w:rPr>
        <w:t xml:space="preserve"> Damien Desfontaines, ‘Five things privacy experts know about AI’, Ted is writing things blog, 13 January 2025, accessed 20 August 2025.</w:t>
      </w:r>
      <w:r w:rsidRPr="004C1A02">
        <w:t xml:space="preserve"> </w:t>
      </w:r>
    </w:p>
  </w:footnote>
  <w:footnote w:id="25">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European Convention on Human Rights.</w:t>
      </w:r>
    </w:p>
  </w:footnote>
  <w:footnote w:id="26">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Equality Act 2010. </w:t>
      </w:r>
    </w:p>
  </w:footnote>
  <w:footnote w:id="27">
    <w:p w:rsidR="00D25D19" w:rsidRPr="004C1A02" w:rsidP="0036262B">
      <w:pPr>
        <w:pStyle w:val="FootnoteText"/>
      </w:pPr>
      <w:r w:rsidRPr="00A6563E">
        <w:rPr>
          <w:rStyle w:val="FootnoteReference"/>
          <w:rFonts w:ascii="BureauGrot Light" w:hAnsi="BureauGrot Light"/>
        </w:rPr>
        <w:footnoteRef/>
      </w:r>
      <w:r w:rsidRPr="00A6563E">
        <w:rPr>
          <w:rFonts w:ascii="BureauGrot Light" w:hAnsi="BureauGrot Light"/>
        </w:rPr>
        <w:t xml:space="preserve"> UNHCHR, ‘The right to privacy in the digital age’.</w:t>
      </w:r>
    </w:p>
  </w:footnote>
  <w:footnote w:id="28">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Amnesty International UK, ‘Automated Racism: How police data and algorithms code discrimination into policing’, Amnesty International UK website, February 2025, accessed 20 August 2025. </w:t>
      </w:r>
    </w:p>
  </w:footnote>
  <w:footnote w:id="29">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Marion Oswald, Jamie Grace, Sheena Urwin and Geoffrey Barnes, ‘Algorithmic risk assessment policing models: Lessons from the Durham Constabulary HART model’, Information and Communications Technology Law, 3 April 2018.</w:t>
      </w:r>
    </w:p>
  </w:footnote>
  <w:footnote w:id="30">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Ibid.</w:t>
      </w:r>
    </w:p>
  </w:footnote>
  <w:footnote w:id="31">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Big Brother Watch, ‘A closer look at Experian big data and artificial intelligence in Durham police’, Big Brother Watch website, 6 April 2018, accessed 20 August 2025.</w:t>
      </w:r>
    </w:p>
  </w:footnote>
  <w:footnote w:id="32">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Robert Booth, ‘DWP algorithm wrongly flags 200,000 people for possible fraud and error’, The Guardian, 23 June 2024, accessed 20 August 2025. </w:t>
      </w:r>
    </w:p>
  </w:footnote>
  <w:footnote w:id="33">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Foxglove, ‘Case update: DWP boss admits there is bias in algorithm targeting disabled people for benefit fraud investigations’, Foxglove website, 12 February 2024, accessed 20 August 2025. </w:t>
      </w:r>
    </w:p>
  </w:footnote>
  <w:footnote w:id="34">
    <w:p w:rsidR="00D25D19" w:rsidRPr="004C1A02" w:rsidP="0036262B">
      <w:pPr>
        <w:pStyle w:val="FootnoteText"/>
      </w:pPr>
      <w:r w:rsidRPr="00A6563E">
        <w:rPr>
          <w:rStyle w:val="FootnoteReference"/>
          <w:rFonts w:ascii="BureauGrot Light" w:hAnsi="BureauGrot Light"/>
        </w:rPr>
        <w:footnoteRef/>
      </w:r>
      <w:r w:rsidRPr="00A6563E">
        <w:rPr>
          <w:rFonts w:ascii="BureauGrot Light" w:hAnsi="BureauGrot Light"/>
        </w:rPr>
        <w:t xml:space="preserve"> Neil Couling, ‘Oral Evidence: DWP’s Annual Report and Accounts 2022-23’, Work and Pensions Committee, 10 January 2024, accessed 20 August 2025.</w:t>
      </w:r>
      <w:r w:rsidRPr="004C1A02">
        <w:t xml:space="preserve"> </w:t>
      </w:r>
    </w:p>
  </w:footnote>
  <w:footnote w:id="35">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Privacy International, ‘PI alerts regulator about use of algorithms by the UK Government and their impact on migrants’, PI website, 15 August 2025, accessed 20 August 2025. </w:t>
      </w:r>
    </w:p>
  </w:footnote>
  <w:footnote w:id="36">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Cabinet Office, ‘Find out how algorithmic tools are used in public organisations’, Gov.uk, accessed 27 August 2025. </w:t>
      </w:r>
    </w:p>
  </w:footnote>
  <w:footnote w:id="37">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Article 8, Universal Declaration of Human Rights </w:t>
      </w:r>
    </w:p>
  </w:footnote>
  <w:footnote w:id="38">
    <w:p w:rsidR="00D25D19" w:rsidRPr="004C1A02" w:rsidP="0036262B">
      <w:pPr>
        <w:pStyle w:val="FootnoteText"/>
      </w:pPr>
      <w:r w:rsidRPr="00A6563E">
        <w:rPr>
          <w:rStyle w:val="FootnoteReference"/>
          <w:rFonts w:ascii="BureauGrot Light" w:hAnsi="BureauGrot Light"/>
        </w:rPr>
        <w:footnoteRef/>
      </w:r>
      <w:r w:rsidRPr="00A6563E">
        <w:rPr>
          <w:rFonts w:ascii="BureauGrot Light" w:hAnsi="BureauGrot Light"/>
        </w:rPr>
        <w:t xml:space="preserve"> Kate Jones, ‘AI governance and human rights’, Chatham House, 10 January 2023, accessed 21 August 2025.</w:t>
      </w:r>
    </w:p>
  </w:footnote>
  <w:footnote w:id="39">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Sycamore Collective, ‘How can the UK strengthen the role of people and communities in “Sovereign AI”?’, Sycamore Collective website, 29 July 2025, accessed 28 August 2025. </w:t>
      </w:r>
    </w:p>
  </w:footnote>
  <w:footnote w:id="40">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Ibid. </w:t>
      </w:r>
    </w:p>
  </w:footnote>
  <w:footnote w:id="41">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w:t>
      </w:r>
      <w:r>
        <w:rPr>
          <w:rFonts w:ascii="BureauGrot Light" w:hAnsi="BureauGrot Light"/>
        </w:rPr>
        <w:t>Ibid.</w:t>
      </w:r>
      <w:r w:rsidRPr="00A6563E">
        <w:rPr>
          <w:rFonts w:ascii="BureauGrot Light" w:hAnsi="BureauGrot Light"/>
        </w:rPr>
        <w:t xml:space="preserve"> </w:t>
      </w:r>
    </w:p>
  </w:footnote>
  <w:footnote w:id="42">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Ibid. </w:t>
      </w:r>
    </w:p>
  </w:footnote>
  <w:footnote w:id="43">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Ada Lovelace Institute, ‘Regulating AI in the UK’</w:t>
      </w:r>
    </w:p>
  </w:footnote>
  <w:footnote w:id="44">
    <w:p w:rsidR="00D25D19" w:rsidRPr="004C1A02" w:rsidP="0036262B">
      <w:pPr>
        <w:pStyle w:val="FootnoteText"/>
      </w:pPr>
      <w:r w:rsidRPr="00A6563E">
        <w:rPr>
          <w:rStyle w:val="FootnoteReference"/>
          <w:rFonts w:ascii="BureauGrot Light" w:hAnsi="BureauGrot Light"/>
        </w:rPr>
        <w:footnoteRef/>
      </w:r>
      <w:r w:rsidRPr="00A6563E">
        <w:rPr>
          <w:rFonts w:ascii="BureauGrot Light" w:hAnsi="BureauGrot Light"/>
        </w:rPr>
        <w:t xml:space="preserve"> Ibid.</w:t>
      </w:r>
    </w:p>
  </w:footnote>
  <w:footnote w:id="45">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Alex Lawrence-Archer &amp; Ravi Naik, ‘Analysis: Effective protection against AI harms’, AWO, July 2023, accessed 13 August 2025.</w:t>
      </w:r>
    </w:p>
  </w:footnote>
  <w:footnote w:id="46">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Ibid.</w:t>
      </w:r>
    </w:p>
  </w:footnote>
  <w:footnote w:id="47">
    <w:p w:rsidR="00D25D19" w:rsidRPr="004C1A02" w:rsidP="0036262B">
      <w:pPr>
        <w:pStyle w:val="FootnoteText"/>
      </w:pPr>
      <w:r w:rsidRPr="00A6563E">
        <w:rPr>
          <w:rStyle w:val="FootnoteReference"/>
          <w:rFonts w:ascii="BureauGrot Light" w:hAnsi="BureauGrot Light"/>
        </w:rPr>
        <w:footnoteRef/>
      </w:r>
      <w:r w:rsidRPr="00A6563E">
        <w:rPr>
          <w:rFonts w:ascii="BureauGrot Light" w:hAnsi="BureauGrot Light"/>
        </w:rPr>
        <w:t xml:space="preserve"> Ibid.</w:t>
      </w:r>
    </w:p>
  </w:footnote>
  <w:footnote w:id="48">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AWO, ‘Analysis’. </w:t>
      </w:r>
    </w:p>
  </w:footnote>
  <w:footnote w:id="49">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Ibid.</w:t>
      </w:r>
    </w:p>
  </w:footnote>
  <w:footnote w:id="50">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David Erdos, ‘Towards Effective Supervisory Oversight? Analysing UK Regulatory Enforcement of Data Protection and Electronic Privacy Rights and the Government’s Statutory Reform Plans’, University of Cambridge Faculty of Law Research Paper No. 16, 2022.</w:t>
      </w:r>
    </w:p>
  </w:footnote>
  <w:footnote w:id="51">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AWO, ‘Analysis’. </w:t>
      </w:r>
    </w:p>
  </w:footnote>
  <w:footnote w:id="52">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AWO.</w:t>
      </w:r>
    </w:p>
  </w:footnote>
  <w:footnote w:id="53">
    <w:p w:rsidR="00D25D19" w:rsidRPr="004C1A02" w:rsidP="0036262B">
      <w:pPr>
        <w:pStyle w:val="FootnoteText"/>
      </w:pPr>
      <w:r w:rsidRPr="00A6563E">
        <w:rPr>
          <w:rStyle w:val="FootnoteReference"/>
          <w:rFonts w:ascii="BureauGrot Light" w:hAnsi="BureauGrot Light"/>
        </w:rPr>
        <w:footnoteRef/>
      </w:r>
      <w:r w:rsidRPr="00A6563E">
        <w:rPr>
          <w:rFonts w:ascii="BureauGrot Light" w:hAnsi="BureauGrot Light"/>
        </w:rPr>
        <w:t xml:space="preserve"> Ibid.</w:t>
      </w:r>
    </w:p>
  </w:footnote>
  <w:footnote w:id="54">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AWO.</w:t>
      </w:r>
    </w:p>
  </w:footnote>
  <w:footnote w:id="55">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Ibid.</w:t>
      </w:r>
    </w:p>
  </w:footnote>
  <w:footnote w:id="56">
    <w:p w:rsidR="00D25D19" w:rsidRPr="004C1A02" w:rsidP="0036262B">
      <w:pPr>
        <w:pStyle w:val="FootnoteText"/>
      </w:pPr>
      <w:r w:rsidRPr="00A6563E">
        <w:rPr>
          <w:rStyle w:val="FootnoteReference"/>
          <w:rFonts w:ascii="BureauGrot Light" w:hAnsi="BureauGrot Light"/>
        </w:rPr>
        <w:footnoteRef/>
      </w:r>
      <w:r w:rsidRPr="00A6563E">
        <w:rPr>
          <w:rFonts w:ascii="BureauGrot Light" w:hAnsi="BureauGrot Light"/>
        </w:rPr>
        <w:t xml:space="preserve"> Ibid.</w:t>
      </w:r>
    </w:p>
  </w:footnote>
  <w:footnote w:id="57">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Kate Whannel, ‘Government expands police use of facial recognition vans’, BBC News, 13 August 2025, accessed 27 August 2025. </w:t>
      </w:r>
    </w:p>
  </w:footnote>
  <w:footnote w:id="58">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Charlotte Edwards, ‘Human rights regulator criticises Met’s use of facial recognition cameras’, BBC News, 20 August 2025, accessed 27 August 2025. </w:t>
      </w:r>
    </w:p>
  </w:footnote>
  <w:footnote w:id="59">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Ibid.</w:t>
      </w:r>
    </w:p>
  </w:footnote>
  <w:footnote w:id="60">
    <w:p w:rsidR="00D25D19" w:rsidP="0036262B">
      <w:pPr>
        <w:pStyle w:val="FootnoteText"/>
      </w:pPr>
      <w:r w:rsidRPr="00A6563E">
        <w:rPr>
          <w:rStyle w:val="FootnoteReference"/>
          <w:rFonts w:ascii="BureauGrot Light" w:hAnsi="BureauGrot Light"/>
        </w:rPr>
        <w:footnoteRef/>
      </w:r>
      <w:r w:rsidRPr="00A6563E">
        <w:rPr>
          <w:rFonts w:ascii="BureauGrot Light" w:hAnsi="BureauGrot Light"/>
        </w:rPr>
        <w:t xml:space="preserve"> Ada Lovelace Institute, ‘Regulating AI’.</w:t>
      </w:r>
      <w:r>
        <w:t xml:space="preserve"> </w:t>
      </w:r>
    </w:p>
  </w:footnote>
  <w:footnote w:id="61">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Sir Keir Starmer, ‘Prime Minister sets out blueprint to turbocharge AI’, gov.uk, 12 January 2025, accessed 22 August 2025.</w:t>
      </w:r>
    </w:p>
  </w:footnote>
  <w:footnote w:id="62">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Gina Neff, ‘Does the UK need an AI Act?’, The New Statesman, 13 June 2025, accessed 27 August 2025. </w:t>
      </w:r>
    </w:p>
  </w:footnote>
  <w:footnote w:id="63">
    <w:p w:rsidR="00D25D19" w:rsidRPr="004C1A02" w:rsidP="0036262B">
      <w:pPr>
        <w:pStyle w:val="FootnoteText"/>
      </w:pPr>
      <w:r w:rsidRPr="00A6563E">
        <w:rPr>
          <w:rStyle w:val="FootnoteReference"/>
          <w:rFonts w:ascii="BureauGrot Light" w:hAnsi="BureauGrot Light"/>
        </w:rPr>
        <w:footnoteRef/>
      </w:r>
      <w:r w:rsidRPr="00A6563E">
        <w:rPr>
          <w:rFonts w:ascii="BureauGrot Light" w:hAnsi="BureauGrot Light"/>
        </w:rPr>
        <w:t xml:space="preserve"> Matt Clifford, ‘Independent report: AI Opportunities Action Plan’, gov.uk, 12 January 2025, accessed 22 August 2025.</w:t>
      </w:r>
      <w:r w:rsidRPr="004C1A02">
        <w:t xml:space="preserve"> </w:t>
      </w:r>
    </w:p>
  </w:footnote>
  <w:footnote w:id="64">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Lucas Amin and Peter Geoghan, ‘Palantir’s NHS data platform rejected by most hospitals’, Democracy for Sale, 13 May 2025, accessed 22 August 2025.</w:t>
      </w:r>
    </w:p>
  </w:footnote>
  <w:footnote w:id="65">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Ibid.</w:t>
      </w:r>
    </w:p>
  </w:footnote>
  <w:footnote w:id="66">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Ibid.</w:t>
      </w:r>
    </w:p>
  </w:footnote>
  <w:footnote w:id="67">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Clifford, ‘AI Opportunities Action Plan’.</w:t>
      </w:r>
    </w:p>
  </w:footnote>
  <w:footnote w:id="68">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Robert Booth, ‘Mainlined into UK’s veins: Labour announces huge public rollout of AI’, The Guardian, 12 January 2025, accessed 27 August 2025.</w:t>
      </w:r>
    </w:p>
  </w:footnote>
  <w:footnote w:id="69">
    <w:p w:rsidR="00D25D19" w:rsidRPr="00A6563E" w:rsidP="0036262B">
      <w:pPr>
        <w:pStyle w:val="FootnoteText"/>
        <w:rPr>
          <w:rFonts w:ascii="BureauGrot Light" w:hAnsi="BureauGrot Light"/>
        </w:rPr>
      </w:pPr>
      <w:r w:rsidRPr="00A6563E">
        <w:rPr>
          <w:rStyle w:val="FootnoteReference"/>
          <w:rFonts w:ascii="BureauGrot Light" w:hAnsi="BureauGrot Light"/>
        </w:rPr>
        <w:footnoteRef/>
      </w:r>
      <w:r w:rsidRPr="00A6563E">
        <w:rPr>
          <w:rFonts w:ascii="BureauGrot Light" w:hAnsi="BureauGrot Light"/>
        </w:rPr>
        <w:t xml:space="preserve"> Luke Barr, ‘British Gas owner mulls mini-nuke challenge to Rolls-Royce’, The Telegraph, 27 July 2025, accessed 27 August 2025.</w:t>
      </w:r>
    </w:p>
  </w:footnote>
  <w:footnote w:id="70">
    <w:p w:rsidR="00D25D19" w:rsidP="0036262B">
      <w:pPr>
        <w:pStyle w:val="FootnoteText"/>
      </w:pPr>
      <w:r w:rsidRPr="00A6563E">
        <w:rPr>
          <w:rStyle w:val="FootnoteReference"/>
          <w:rFonts w:ascii="BureauGrot Light" w:hAnsi="BureauGrot Light"/>
        </w:rPr>
        <w:footnoteRef/>
      </w:r>
      <w:r w:rsidRPr="00A6563E">
        <w:rPr>
          <w:rFonts w:ascii="BureauGrot Light" w:hAnsi="BureauGrot Light"/>
        </w:rPr>
        <w:t xml:space="preserve"> Szu Ping Chan and James Titcomb, ‘Miliband clashes with Starmer over net zero project’, The Telegraph, 27 August 2025, accessed 27 August 2025.</w:t>
      </w:r>
      <w:r>
        <w:t xml:space="preserve"> </w:t>
      </w:r>
    </w:p>
  </w:footnote>
  <w:footnote w:id="71">
    <w:p w:rsidR="00D25D19" w:rsidRPr="00736876" w:rsidP="0036262B">
      <w:pPr>
        <w:pStyle w:val="FootnoteText"/>
        <w:rPr>
          <w:rFonts w:ascii="BureauGrot Light" w:hAnsi="BureauGrot Light"/>
        </w:rPr>
      </w:pPr>
      <w:r w:rsidRPr="00736876">
        <w:rPr>
          <w:rStyle w:val="FootnoteReference"/>
          <w:rFonts w:ascii="BureauGrot Light" w:hAnsi="BureauGrot Light"/>
        </w:rPr>
        <w:footnoteRef/>
      </w:r>
      <w:r w:rsidRPr="00736876">
        <w:rPr>
          <w:rFonts w:ascii="BureauGrot Light" w:hAnsi="BureauGrot Light"/>
        </w:rPr>
        <w:t xml:space="preserve"> Booth, ‘Mainlined into UK’s </w:t>
      </w:r>
      <w:r w:rsidRPr="00736876">
        <w:rPr>
          <w:rFonts w:ascii="BureauGrot Light" w:hAnsi="BureauGrot Light"/>
        </w:rPr>
        <w:t>veins’</w:t>
      </w:r>
      <w:r w:rsidRPr="00736876">
        <w:rPr>
          <w:rFonts w:ascii="BureauGrot Light" w:hAnsi="BureauGrot Light"/>
        </w:rPr>
        <w:t xml:space="preserve">. </w:t>
      </w:r>
    </w:p>
  </w:footnote>
  <w:footnote w:id="72">
    <w:p w:rsidR="00D25D19" w:rsidRPr="00736876" w:rsidP="0036262B">
      <w:pPr>
        <w:pStyle w:val="FootnoteText"/>
        <w:rPr>
          <w:rFonts w:ascii="BureauGrot Light" w:hAnsi="BureauGrot Light"/>
        </w:rPr>
      </w:pPr>
      <w:r w:rsidRPr="00736876">
        <w:rPr>
          <w:rStyle w:val="FootnoteReference"/>
          <w:rFonts w:ascii="BureauGrot Light" w:hAnsi="BureauGrot Light"/>
        </w:rPr>
        <w:footnoteRef/>
      </w:r>
      <w:r w:rsidRPr="00736876">
        <w:rPr>
          <w:rFonts w:ascii="BureauGrot Light" w:hAnsi="BureauGrot Light"/>
        </w:rPr>
        <w:t xml:space="preserve"> Department for Science, Innovation, and Technology, ‘Frontier AI Safety Commitments, AI Seoul Summit 2024’, Gov.uk, 7 February 2025, 27 August 2025. </w:t>
      </w:r>
    </w:p>
  </w:footnote>
  <w:footnote w:id="73">
    <w:p w:rsidR="00D25D19" w:rsidRPr="00736876" w:rsidP="0036262B">
      <w:pPr>
        <w:pStyle w:val="FootnoteText"/>
        <w:rPr>
          <w:rFonts w:ascii="BureauGrot Light" w:hAnsi="BureauGrot Light"/>
        </w:rPr>
      </w:pPr>
      <w:r w:rsidRPr="00736876">
        <w:rPr>
          <w:rStyle w:val="FootnoteReference"/>
          <w:rFonts w:ascii="BureauGrot Light" w:hAnsi="BureauGrot Light"/>
        </w:rPr>
        <w:footnoteRef/>
      </w:r>
      <w:r w:rsidRPr="00736876">
        <w:rPr>
          <w:rFonts w:ascii="BureauGrot Light" w:hAnsi="BureauGrot Light"/>
        </w:rPr>
        <w:t xml:space="preserve"> Julia Smakman and Matt Davies, ‘New rules? Lessons for AI regulation from the governance of other high-tech sectors’, Ada Lovelace Institute, 31 October 2024, accessed 27 August 2025. </w:t>
      </w:r>
    </w:p>
  </w:footnote>
  <w:footnote w:id="74">
    <w:p w:rsidR="00D25D19" w:rsidRPr="00736876" w:rsidP="0036262B">
      <w:pPr>
        <w:pStyle w:val="FootnoteText"/>
        <w:rPr>
          <w:rFonts w:ascii="BureauGrot Light" w:hAnsi="BureauGrot Light"/>
        </w:rPr>
      </w:pPr>
      <w:r w:rsidRPr="00736876">
        <w:rPr>
          <w:rStyle w:val="FootnoteReference"/>
          <w:rFonts w:ascii="BureauGrot Light" w:hAnsi="BureauGrot Light"/>
        </w:rPr>
        <w:footnoteRef/>
      </w:r>
      <w:r w:rsidRPr="00736876">
        <w:rPr>
          <w:rFonts w:ascii="BureauGrot Light" w:hAnsi="BureauGrot Light"/>
        </w:rPr>
        <w:t xml:space="preserve"> AI Now Institute, ‘Artificial Power: 2025 Landscape Report’, 3 June 2025, accessed 27 August 2025.</w:t>
      </w:r>
    </w:p>
  </w:footnote>
  <w:footnote w:id="75">
    <w:p w:rsidR="00D25D19" w:rsidRPr="00736876" w:rsidP="0036262B">
      <w:pPr>
        <w:pStyle w:val="FootnoteText"/>
        <w:rPr>
          <w:rFonts w:ascii="BureauGrot Light" w:hAnsi="BureauGrot Light"/>
        </w:rPr>
      </w:pPr>
      <w:r w:rsidRPr="00736876">
        <w:rPr>
          <w:rStyle w:val="FootnoteReference"/>
          <w:rFonts w:ascii="BureauGrot Light" w:hAnsi="BureauGrot Light"/>
        </w:rPr>
        <w:footnoteRef/>
      </w:r>
      <w:r w:rsidRPr="00736876">
        <w:rPr>
          <w:rFonts w:ascii="BureauGrot Light" w:hAnsi="BureauGrot Light"/>
        </w:rPr>
        <w:t xml:space="preserve"> Ibid. </w:t>
      </w:r>
    </w:p>
  </w:footnote>
  <w:footnote w:id="76">
    <w:p w:rsidR="00D25D19" w:rsidRPr="00736876" w:rsidP="0036262B">
      <w:pPr>
        <w:pStyle w:val="FootnoteText"/>
        <w:rPr>
          <w:rFonts w:ascii="BureauGrot Light" w:hAnsi="BureauGrot Light"/>
        </w:rPr>
      </w:pPr>
      <w:r w:rsidRPr="00736876">
        <w:rPr>
          <w:rStyle w:val="FootnoteReference"/>
          <w:rFonts w:ascii="BureauGrot Light" w:hAnsi="BureauGrot Light"/>
        </w:rPr>
        <w:footnoteRef/>
      </w:r>
      <w:r w:rsidRPr="00736876">
        <w:rPr>
          <w:rFonts w:ascii="BureauGrot Light" w:hAnsi="BureauGrot Light"/>
        </w:rPr>
        <w:t xml:space="preserve"> Ibid.</w:t>
      </w:r>
    </w:p>
  </w:footnote>
  <w:footnote w:id="77">
    <w:p w:rsidR="00D25D19" w:rsidP="0036262B">
      <w:pPr>
        <w:pStyle w:val="FootnoteText"/>
      </w:pPr>
      <w:r w:rsidRPr="00736876">
        <w:rPr>
          <w:rStyle w:val="FootnoteReference"/>
          <w:rFonts w:ascii="BureauGrot Light" w:hAnsi="BureauGrot Light"/>
        </w:rPr>
        <w:footnoteRef/>
      </w:r>
      <w:r w:rsidRPr="00736876">
        <w:rPr>
          <w:rFonts w:ascii="BureauGrot Light" w:hAnsi="BureauGrot Light"/>
        </w:rPr>
        <w:t xml:space="preserve"> The Government is outlawing the creation of sexually explicit deepfake images via the Crime and Policing Bill, currently in the Lords.</w:t>
      </w:r>
    </w:p>
  </w:footnote>
  <w:footnote w:id="78">
    <w:p w:rsidR="00D25D19" w:rsidRPr="00736876" w:rsidP="0036262B">
      <w:pPr>
        <w:pStyle w:val="FootnoteText"/>
        <w:rPr>
          <w:rFonts w:ascii="BureauGrot Light" w:hAnsi="BureauGrot Light"/>
        </w:rPr>
      </w:pPr>
      <w:r w:rsidRPr="00736876">
        <w:rPr>
          <w:rStyle w:val="FootnoteReference"/>
          <w:rFonts w:ascii="BureauGrot Light" w:hAnsi="BureauGrot Light"/>
        </w:rPr>
        <w:footnoteRef/>
      </w:r>
      <w:r w:rsidRPr="00736876">
        <w:rPr>
          <w:rFonts w:ascii="BureauGrot Light" w:hAnsi="BureauGrot Light"/>
        </w:rPr>
        <w:t xml:space="preserve"> OHCHR, ‘The right to privacy in the digital age: report’, OHCHR website, 15 September 2021, accessed 20 August 2025. </w:t>
      </w:r>
    </w:p>
  </w:footnote>
  <w:footnote w:id="79">
    <w:p w:rsidR="00D25D19" w:rsidRPr="00736876" w:rsidP="0036262B">
      <w:pPr>
        <w:pStyle w:val="FootnoteText"/>
        <w:rPr>
          <w:rFonts w:ascii="BureauGrot Light" w:hAnsi="BureauGrot Light"/>
        </w:rPr>
      </w:pPr>
      <w:r w:rsidRPr="00736876">
        <w:rPr>
          <w:rStyle w:val="FootnoteReference"/>
          <w:rFonts w:ascii="BureauGrot Light" w:hAnsi="BureauGrot Light"/>
        </w:rPr>
        <w:footnoteRef/>
      </w:r>
      <w:r w:rsidRPr="00736876">
        <w:rPr>
          <w:rFonts w:ascii="BureauGrot Light" w:hAnsi="BureauGrot Light"/>
        </w:rPr>
        <w:t xml:space="preserve"> Gina Neff, ‘Can Democracy Survive AI?’, </w:t>
      </w:r>
      <w:r w:rsidRPr="00736876">
        <w:rPr>
          <w:rFonts w:ascii="BureauGrot Light" w:hAnsi="BureauGrot Light"/>
        </w:rPr>
        <w:t>Sociologica</w:t>
      </w:r>
      <w:r w:rsidRPr="00736876">
        <w:rPr>
          <w:rFonts w:ascii="BureauGrot Light" w:hAnsi="BureauGrot Light"/>
        </w:rPr>
        <w:t xml:space="preserve"> V.18 N.3, 22 January 2025, accessed 26 August 2025. </w:t>
      </w:r>
    </w:p>
  </w:footnote>
  <w:footnote w:id="80">
    <w:p w:rsidR="00D25D19" w:rsidRPr="00736876" w:rsidP="0036262B">
      <w:pPr>
        <w:pStyle w:val="FootnoteText"/>
        <w:rPr>
          <w:rFonts w:ascii="BureauGrot Light" w:hAnsi="BureauGrot Light"/>
        </w:rPr>
      </w:pPr>
      <w:r w:rsidRPr="00736876">
        <w:rPr>
          <w:rStyle w:val="FootnoteReference"/>
          <w:rFonts w:ascii="BureauGrot Light" w:hAnsi="BureauGrot Light"/>
        </w:rPr>
        <w:footnoteRef/>
      </w:r>
      <w:r w:rsidRPr="00736876">
        <w:rPr>
          <w:rFonts w:ascii="BureauGrot Light" w:hAnsi="BureauGrot Light"/>
        </w:rPr>
        <w:t xml:space="preserve"> Jack Corrigan, ‘AI Monopolies Are Coming. Now’s the Time to Stop Them’, Tech Policy Press, 29 May 2025, accessed 27 August 2025. </w:t>
      </w:r>
    </w:p>
  </w:footnote>
  <w:footnote w:id="81">
    <w:p w:rsidR="00D25D19" w:rsidP="0036262B">
      <w:pPr>
        <w:pStyle w:val="FootnoteText"/>
      </w:pPr>
      <w:r w:rsidRPr="00736876">
        <w:rPr>
          <w:rStyle w:val="FootnoteReference"/>
          <w:rFonts w:ascii="BureauGrot Light" w:hAnsi="BureauGrot Light"/>
        </w:rPr>
        <w:footnoteRef/>
      </w:r>
      <w:r w:rsidRPr="00736876">
        <w:rPr>
          <w:rFonts w:ascii="BureauGrot Light" w:hAnsi="BureauGrot Light"/>
        </w:rPr>
        <w:t xml:space="preserve"> Ibid.</w:t>
      </w:r>
      <w:r>
        <w:t xml:space="preserve"> </w:t>
      </w:r>
    </w:p>
  </w:footnote>
  <w:footnote w:id="82">
    <w:p w:rsidR="00D25D19" w:rsidRPr="00736876" w:rsidP="0036262B">
      <w:pPr>
        <w:pStyle w:val="FootnoteText"/>
        <w:rPr>
          <w:rFonts w:ascii="BureauGrot Light" w:hAnsi="BureauGrot Light"/>
        </w:rPr>
      </w:pPr>
      <w:r w:rsidRPr="00736876">
        <w:rPr>
          <w:rStyle w:val="FootnoteReference"/>
          <w:rFonts w:ascii="BureauGrot Light" w:hAnsi="BureauGrot Light"/>
        </w:rPr>
        <w:footnoteRef/>
      </w:r>
      <w:r w:rsidRPr="00736876">
        <w:rPr>
          <w:rFonts w:ascii="BureauGrot Light" w:hAnsi="BureauGrot Light"/>
        </w:rPr>
        <w:t xml:space="preserve"> Ada Lovelace, ‘Regulating AI in the UK’. </w:t>
      </w:r>
    </w:p>
  </w:footnote>
  <w:footnote w:id="83">
    <w:p w:rsidR="00D25D19" w:rsidRPr="00736876" w:rsidP="0036262B">
      <w:pPr>
        <w:pStyle w:val="FootnoteText"/>
        <w:rPr>
          <w:rFonts w:ascii="BureauGrot Light" w:hAnsi="BureauGrot Light"/>
        </w:rPr>
      </w:pPr>
      <w:r w:rsidRPr="00736876">
        <w:rPr>
          <w:rStyle w:val="FootnoteReference"/>
          <w:rFonts w:ascii="BureauGrot Light" w:hAnsi="BureauGrot Light"/>
        </w:rPr>
        <w:footnoteRef/>
      </w:r>
      <w:r w:rsidRPr="00736876">
        <w:rPr>
          <w:rFonts w:ascii="BureauGrot Light" w:hAnsi="BureauGrot Light"/>
        </w:rPr>
        <w:t xml:space="preserve"> Kate Jones, ‘AI governance’.</w:t>
      </w:r>
    </w:p>
  </w:footnote>
  <w:footnote w:id="84">
    <w:p w:rsidR="00D25D19" w:rsidRPr="004C1A02" w:rsidP="0036262B">
      <w:pPr>
        <w:pStyle w:val="FootnoteText"/>
      </w:pPr>
      <w:r w:rsidRPr="00736876">
        <w:rPr>
          <w:rStyle w:val="FootnoteReference"/>
          <w:rFonts w:ascii="BureauGrot Light" w:hAnsi="BureauGrot Light"/>
        </w:rPr>
        <w:footnoteRef/>
      </w:r>
      <w:r w:rsidRPr="00736876">
        <w:rPr>
          <w:rFonts w:ascii="BureauGrot Light" w:hAnsi="BureauGrot Light"/>
        </w:rPr>
        <w:t xml:space="preserve"> Department for Science, Innovation and Technology, ‘Guidance: Ethics, Transparency and Accountability Framework for Automated Decision-Making’, Gov.uk, 29 November 2023, accessed 26 August 2025.</w:t>
      </w:r>
      <w:r w:rsidRPr="004C1A02">
        <w:t xml:space="preserve"> </w:t>
      </w:r>
    </w:p>
  </w:footnote>
  <w:footnote w:id="85">
    <w:p w:rsidR="00D25D19" w:rsidRPr="004C1A02" w:rsidP="0036262B">
      <w:pPr>
        <w:pStyle w:val="FootnoteText"/>
      </w:pPr>
      <w:r w:rsidRPr="004C1A02">
        <w:rPr>
          <w:rStyle w:val="FootnoteReference"/>
        </w:rPr>
        <w:footnoteRef/>
      </w:r>
      <w:r w:rsidRPr="004C1A02">
        <w:t xml:space="preserve"> </w:t>
      </w:r>
      <w:r>
        <w:t>DSIT, ‘Guidance’</w:t>
      </w:r>
      <w:r w:rsidRPr="004C1A02">
        <w:t xml:space="preserve">. </w:t>
      </w:r>
    </w:p>
  </w:footnote>
  <w:footnote w:id="86">
    <w:p w:rsidR="00D25D19" w:rsidRPr="004C1A02" w:rsidP="0036262B">
      <w:pPr>
        <w:pStyle w:val="FootnoteText"/>
      </w:pPr>
      <w:r w:rsidRPr="004C1A02">
        <w:rPr>
          <w:rStyle w:val="FootnoteReference"/>
        </w:rPr>
        <w:footnoteRef/>
      </w:r>
      <w:r w:rsidRPr="004C1A02">
        <w:t xml:space="preserve"> Ibid.</w:t>
      </w:r>
    </w:p>
  </w:footnote>
  <w:footnote w:id="87">
    <w:p w:rsidR="00D25D19" w:rsidRPr="004C1A02" w:rsidP="0036262B">
      <w:pPr>
        <w:pStyle w:val="FootnoteText"/>
      </w:pPr>
      <w:r w:rsidRPr="004C1A02">
        <w:rPr>
          <w:rStyle w:val="FootnoteReference"/>
        </w:rPr>
        <w:footnoteRef/>
      </w:r>
      <w:r w:rsidRPr="004C1A02">
        <w:t xml:space="preserve"> IBM Design for AI, ‘Accountability’, IBM.com, accessed 26 August 2025. </w:t>
      </w:r>
    </w:p>
  </w:footnote>
  <w:footnote w:id="88">
    <w:p w:rsidR="00D25D19" w:rsidRPr="003F06FD" w:rsidP="0036262B">
      <w:pPr>
        <w:pStyle w:val="FootnoteText"/>
        <w:rPr>
          <w:rFonts w:ascii="BureauGrot Light" w:hAnsi="BureauGrot Light"/>
        </w:rPr>
      </w:pPr>
      <w:r w:rsidRPr="003F06FD">
        <w:rPr>
          <w:rStyle w:val="FootnoteReference"/>
          <w:rFonts w:ascii="BureauGrot Light" w:hAnsi="BureauGrot Light"/>
        </w:rPr>
        <w:footnoteRef/>
      </w:r>
      <w:r w:rsidRPr="003F06FD">
        <w:rPr>
          <w:rFonts w:ascii="BureauGrot Light" w:hAnsi="BureauGrot Light"/>
        </w:rPr>
        <w:t xml:space="preserve"> Ada Lovelace Institute, ‘Regulating AI’.</w:t>
      </w:r>
    </w:p>
  </w:footnote>
  <w:footnote w:id="89">
    <w:p w:rsidR="00D25D19" w:rsidRPr="003F06FD" w:rsidP="0036262B">
      <w:pPr>
        <w:pStyle w:val="FootnoteText"/>
        <w:rPr>
          <w:rFonts w:ascii="BureauGrot Light" w:hAnsi="BureauGrot Light"/>
        </w:rPr>
      </w:pPr>
      <w:r w:rsidRPr="003F06FD">
        <w:rPr>
          <w:rStyle w:val="FootnoteReference"/>
          <w:rFonts w:ascii="BureauGrot Light" w:hAnsi="BureauGrot Light"/>
        </w:rPr>
        <w:footnoteRef/>
      </w:r>
      <w:r w:rsidRPr="003F06FD">
        <w:rPr>
          <w:rFonts w:ascii="BureauGrot Light" w:hAnsi="BureauGrot Light"/>
        </w:rPr>
        <w:t xml:space="preserve"> Ibid.</w:t>
      </w:r>
    </w:p>
  </w:footnote>
  <w:footnote w:id="90">
    <w:p w:rsidR="00D25D19" w:rsidRPr="003F06FD" w:rsidP="0036262B">
      <w:pPr>
        <w:pStyle w:val="FootnoteText"/>
        <w:rPr>
          <w:rFonts w:ascii="BureauGrot Light" w:hAnsi="BureauGrot Light"/>
        </w:rPr>
      </w:pPr>
      <w:r w:rsidRPr="003F06FD">
        <w:rPr>
          <w:rStyle w:val="FootnoteReference"/>
          <w:rFonts w:ascii="BureauGrot Light" w:hAnsi="BureauGrot Light"/>
        </w:rPr>
        <w:footnoteRef/>
      </w:r>
      <w:r w:rsidRPr="003F06FD">
        <w:rPr>
          <w:rFonts w:ascii="BureauGrot Light" w:hAnsi="BureauGrot Light"/>
        </w:rPr>
        <w:t xml:space="preserve"> Hugo Neuille, </w:t>
      </w:r>
      <w:r w:rsidRPr="003F06FD">
        <w:rPr>
          <w:rFonts w:ascii="BureauGrot Light" w:hAnsi="BureauGrot Light"/>
        </w:rPr>
        <w:t>‘”The</w:t>
      </w:r>
      <w:r w:rsidRPr="003F06FD">
        <w:rPr>
          <w:rFonts w:ascii="BureauGrot Light" w:hAnsi="BureauGrot Light"/>
        </w:rPr>
        <w:t xml:space="preserve"> Chicken or The Egg” of AI regulation’, Tech Policy Press, 22 January 2025, accessed 26 August 2025.</w:t>
      </w:r>
    </w:p>
  </w:footnote>
  <w:footnote w:id="91">
    <w:p w:rsidR="00D25D19" w:rsidP="0036262B">
      <w:pPr>
        <w:pStyle w:val="FootnoteText"/>
      </w:pPr>
      <w:r w:rsidRPr="003F06FD">
        <w:rPr>
          <w:rStyle w:val="FootnoteReference"/>
          <w:rFonts w:ascii="BureauGrot Light" w:hAnsi="BureauGrot Light"/>
        </w:rPr>
        <w:footnoteRef/>
      </w:r>
      <w:r w:rsidRPr="003F06FD">
        <w:rPr>
          <w:rFonts w:ascii="BureauGrot Light" w:hAnsi="BureauGrot Light"/>
        </w:rPr>
        <w:t xml:space="preserve"> Thomas Schneider, ‘Regulation AI and digital technologies – what the new Council of Europe convention can contribute’ Chatham House, June 2024, accessed 26 August 2025.</w:t>
      </w:r>
    </w:p>
  </w:footnote>
  <w:footnote w:id="92">
    <w:p w:rsidR="00D25D19" w:rsidRPr="003F06FD" w:rsidP="0036262B">
      <w:pPr>
        <w:pStyle w:val="FootnoteText"/>
        <w:rPr>
          <w:rFonts w:ascii="BureauGrot Light" w:hAnsi="BureauGrot Light"/>
        </w:rPr>
      </w:pPr>
      <w:r w:rsidRPr="003F06FD">
        <w:rPr>
          <w:rStyle w:val="FootnoteReference"/>
          <w:rFonts w:ascii="BureauGrot Light" w:hAnsi="BureauGrot Light"/>
        </w:rPr>
        <w:footnoteRef/>
      </w:r>
      <w:r w:rsidRPr="003F06FD">
        <w:rPr>
          <w:rFonts w:ascii="BureauGrot Light" w:hAnsi="BureauGrot Light"/>
        </w:rPr>
        <w:t xml:space="preserve"> Cian Murphy, ‘The Artificial Intelligence Framework Convention: What Impact on Human Rights?’, Doughty Street Chambers, 12 September 2024, accessed 26 August 2025. </w:t>
      </w:r>
    </w:p>
  </w:footnote>
  <w:footnote w:id="93">
    <w:p w:rsidR="00D25D19" w:rsidRPr="003F06FD" w:rsidP="0036262B">
      <w:pPr>
        <w:pStyle w:val="FootnoteText"/>
        <w:rPr>
          <w:rFonts w:ascii="BureauGrot Light" w:hAnsi="BureauGrot Light"/>
        </w:rPr>
      </w:pPr>
      <w:r w:rsidRPr="003F06FD">
        <w:rPr>
          <w:rStyle w:val="FootnoteReference"/>
          <w:rFonts w:ascii="BureauGrot Light" w:hAnsi="BureauGrot Light"/>
        </w:rPr>
        <w:footnoteRef/>
      </w:r>
      <w:r w:rsidRPr="003F06FD">
        <w:rPr>
          <w:rFonts w:ascii="BureauGrot Light" w:hAnsi="BureauGrot Light"/>
        </w:rPr>
        <w:t xml:space="preserve"> Gina Neff, ‘Can Democracy Survive AI?’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A86EB2"/>
    <w:multiLevelType w:val="hybridMultilevel"/>
    <w:tmpl w:val="E7485562"/>
    <w:lvl w:ilvl="0">
      <w:start w:val="2"/>
      <w:numFmt w:val="bullet"/>
      <w:lvlText w:val=""/>
      <w:lvlJc w:val="left"/>
      <w:pPr>
        <w:ind w:left="720" w:hanging="360"/>
      </w:pPr>
      <w:rPr>
        <w:rFonts w:ascii="Wingdings" w:hAnsi="Wingding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3BE48A4"/>
    <w:multiLevelType w:val="hybridMultilevel"/>
    <w:tmpl w:val="E7F683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3CF4FB1"/>
    <w:multiLevelType w:val="hybridMultilevel"/>
    <w:tmpl w:val="144628A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05C2034E"/>
    <w:multiLevelType w:val="multilevel"/>
    <w:tmpl w:val="CE74C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89A2167"/>
    <w:multiLevelType w:val="hybridMultilevel"/>
    <w:tmpl w:val="3C366022"/>
    <w:lvl w:ilvl="0">
      <w:start w:val="1"/>
      <w:numFmt w:val="bullet"/>
      <w:lvlText w:val=""/>
      <w:lvlJc w:val="left"/>
      <w:pPr>
        <w:ind w:left="774" w:hanging="360"/>
      </w:pPr>
      <w:rPr>
        <w:rFonts w:ascii="Symbol" w:hAnsi="Symbol" w:hint="default"/>
      </w:rPr>
    </w:lvl>
    <w:lvl w:ilvl="1" w:tentative="1">
      <w:start w:val="1"/>
      <w:numFmt w:val="bullet"/>
      <w:lvlText w:val="o"/>
      <w:lvlJc w:val="left"/>
      <w:pPr>
        <w:ind w:left="1494" w:hanging="360"/>
      </w:pPr>
      <w:rPr>
        <w:rFonts w:ascii="Courier New" w:hAnsi="Courier New" w:cs="Courier New" w:hint="default"/>
      </w:rPr>
    </w:lvl>
    <w:lvl w:ilvl="2" w:tentative="1">
      <w:start w:val="1"/>
      <w:numFmt w:val="bullet"/>
      <w:lvlText w:val=""/>
      <w:lvlJc w:val="left"/>
      <w:pPr>
        <w:ind w:left="2214" w:hanging="360"/>
      </w:pPr>
      <w:rPr>
        <w:rFonts w:ascii="Wingdings" w:hAnsi="Wingdings" w:hint="default"/>
      </w:rPr>
    </w:lvl>
    <w:lvl w:ilvl="3" w:tentative="1">
      <w:start w:val="1"/>
      <w:numFmt w:val="bullet"/>
      <w:lvlText w:val=""/>
      <w:lvlJc w:val="left"/>
      <w:pPr>
        <w:ind w:left="2934" w:hanging="360"/>
      </w:pPr>
      <w:rPr>
        <w:rFonts w:ascii="Symbol" w:hAnsi="Symbol" w:hint="default"/>
      </w:rPr>
    </w:lvl>
    <w:lvl w:ilvl="4" w:tentative="1">
      <w:start w:val="1"/>
      <w:numFmt w:val="bullet"/>
      <w:lvlText w:val="o"/>
      <w:lvlJc w:val="left"/>
      <w:pPr>
        <w:ind w:left="3654" w:hanging="360"/>
      </w:pPr>
      <w:rPr>
        <w:rFonts w:ascii="Courier New" w:hAnsi="Courier New" w:cs="Courier New" w:hint="default"/>
      </w:rPr>
    </w:lvl>
    <w:lvl w:ilvl="5" w:tentative="1">
      <w:start w:val="1"/>
      <w:numFmt w:val="bullet"/>
      <w:lvlText w:val=""/>
      <w:lvlJc w:val="left"/>
      <w:pPr>
        <w:ind w:left="4374" w:hanging="360"/>
      </w:pPr>
      <w:rPr>
        <w:rFonts w:ascii="Wingdings" w:hAnsi="Wingdings" w:hint="default"/>
      </w:rPr>
    </w:lvl>
    <w:lvl w:ilvl="6" w:tentative="1">
      <w:start w:val="1"/>
      <w:numFmt w:val="bullet"/>
      <w:lvlText w:val=""/>
      <w:lvlJc w:val="left"/>
      <w:pPr>
        <w:ind w:left="5094" w:hanging="360"/>
      </w:pPr>
      <w:rPr>
        <w:rFonts w:ascii="Symbol" w:hAnsi="Symbol" w:hint="default"/>
      </w:rPr>
    </w:lvl>
    <w:lvl w:ilvl="7" w:tentative="1">
      <w:start w:val="1"/>
      <w:numFmt w:val="bullet"/>
      <w:lvlText w:val="o"/>
      <w:lvlJc w:val="left"/>
      <w:pPr>
        <w:ind w:left="5814" w:hanging="360"/>
      </w:pPr>
      <w:rPr>
        <w:rFonts w:ascii="Courier New" w:hAnsi="Courier New" w:cs="Courier New" w:hint="default"/>
      </w:rPr>
    </w:lvl>
    <w:lvl w:ilvl="8" w:tentative="1">
      <w:start w:val="1"/>
      <w:numFmt w:val="bullet"/>
      <w:lvlText w:val=""/>
      <w:lvlJc w:val="left"/>
      <w:pPr>
        <w:ind w:left="6534" w:hanging="360"/>
      </w:pPr>
      <w:rPr>
        <w:rFonts w:ascii="Wingdings" w:hAnsi="Wingdings" w:hint="default"/>
      </w:rPr>
    </w:lvl>
  </w:abstractNum>
  <w:abstractNum w:abstractNumId="5">
    <w:nsid w:val="0D577EC3"/>
    <w:multiLevelType w:val="hybridMultilevel"/>
    <w:tmpl w:val="BFC810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3BA0960"/>
    <w:multiLevelType w:val="hybridMultilevel"/>
    <w:tmpl w:val="A5EE3F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5464973"/>
    <w:multiLevelType w:val="hybridMultilevel"/>
    <w:tmpl w:val="98C6942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665535F"/>
    <w:multiLevelType w:val="hybridMultilevel"/>
    <w:tmpl w:val="3E908E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73A52DB"/>
    <w:multiLevelType w:val="multilevel"/>
    <w:tmpl w:val="D7C06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7BB050F"/>
    <w:multiLevelType w:val="hybridMultilevel"/>
    <w:tmpl w:val="375C2BA6"/>
    <w:lvl w:ilvl="0">
      <w:start w:val="1"/>
      <w:numFmt w:val="decimal"/>
      <w:lvlText w:val="%1."/>
      <w:lvlJc w:val="left"/>
      <w:pPr>
        <w:ind w:left="720" w:hanging="360"/>
      </w:pPr>
      <w:rPr>
        <w:rFonts w:ascii="BureauGrot Light" w:hAnsi="BureauGrot Light"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84A0DC3"/>
    <w:multiLevelType w:val="hybridMultilevel"/>
    <w:tmpl w:val="672673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195626BF"/>
    <w:multiLevelType w:val="hybridMultilevel"/>
    <w:tmpl w:val="F92240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1B344FC6"/>
    <w:multiLevelType w:val="hybridMultilevel"/>
    <w:tmpl w:val="6D82AB8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1F4C5B0F"/>
    <w:multiLevelType w:val="hybridMultilevel"/>
    <w:tmpl w:val="42C4D6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0C90587"/>
    <w:multiLevelType w:val="hybridMultilevel"/>
    <w:tmpl w:val="1092F4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eastAsiaTheme="minorHAnsi" w:cstheme="minorBidi"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215854BB"/>
    <w:multiLevelType w:val="hybridMultilevel"/>
    <w:tmpl w:val="2BFE282C"/>
    <w:lvl w:ilvl="0">
      <w:start w:val="2"/>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215859C7"/>
    <w:multiLevelType w:val="hybridMultilevel"/>
    <w:tmpl w:val="C14C33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224E4A1F"/>
    <w:multiLevelType w:val="hybridMultilevel"/>
    <w:tmpl w:val="C3367524"/>
    <w:lvl w:ilvl="0">
      <w:start w:val="2"/>
      <w:numFmt w:val="bullet"/>
      <w:lvlText w:val=""/>
      <w:lvlJc w:val="left"/>
      <w:pPr>
        <w:ind w:left="720" w:hanging="360"/>
      </w:pPr>
      <w:rPr>
        <w:rFonts w:ascii="Wingdings" w:hAnsi="Wingding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22B543E5"/>
    <w:multiLevelType w:val="multilevel"/>
    <w:tmpl w:val="CE26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3EF151F"/>
    <w:multiLevelType w:val="multilevel"/>
    <w:tmpl w:val="F6523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376B5045"/>
    <w:multiLevelType w:val="hybridMultilevel"/>
    <w:tmpl w:val="7852480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2">
    <w:nsid w:val="38E8687A"/>
    <w:multiLevelType w:val="hybridMultilevel"/>
    <w:tmpl w:val="3DE268E0"/>
    <w:lvl w:ilvl="0">
      <w:start w:val="7"/>
      <w:numFmt w:val="bullet"/>
      <w:lvlText w:val="-"/>
      <w:lvlJc w:val="left"/>
      <w:pPr>
        <w:ind w:left="720" w:hanging="360"/>
      </w:pPr>
      <w:rPr>
        <w:rFonts w:ascii="Aptos" w:hAnsi="Aptos" w:eastAsiaTheme="minorHAnsi" w:cstheme="minorBidi"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39215D23"/>
    <w:multiLevelType w:val="multilevel"/>
    <w:tmpl w:val="C7D81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E5E677E"/>
    <w:multiLevelType w:val="multilevel"/>
    <w:tmpl w:val="4002F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A141699"/>
    <w:multiLevelType w:val="hybridMultilevel"/>
    <w:tmpl w:val="BE50A0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4DDF295B"/>
    <w:multiLevelType w:val="hybridMultilevel"/>
    <w:tmpl w:val="64C8D2E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4F69237F"/>
    <w:multiLevelType w:val="multilevel"/>
    <w:tmpl w:val="076C1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4E76D70"/>
    <w:multiLevelType w:val="hybridMultilevel"/>
    <w:tmpl w:val="790410D8"/>
    <w:lvl w:ilvl="0">
      <w:start w:val="2"/>
      <w:numFmt w:val="bullet"/>
      <w:lvlText w:val=""/>
      <w:lvlJc w:val="left"/>
      <w:pPr>
        <w:ind w:left="720" w:hanging="360"/>
      </w:pPr>
      <w:rPr>
        <w:rFonts w:ascii="Wingdings" w:hAnsi="Wingding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56281414"/>
    <w:multiLevelType w:val="multilevel"/>
    <w:tmpl w:val="E06C2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C771CDC"/>
    <w:multiLevelType w:val="hybridMultilevel"/>
    <w:tmpl w:val="7F6233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61A77D99"/>
    <w:multiLevelType w:val="hybridMultilevel"/>
    <w:tmpl w:val="439ABA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771A705E"/>
    <w:multiLevelType w:val="hybridMultilevel"/>
    <w:tmpl w:val="0E589D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7B3A3D22"/>
    <w:multiLevelType w:val="hybridMultilevel"/>
    <w:tmpl w:val="6D54D0CA"/>
    <w:lvl w:ilvl="0">
      <w:start w:val="1"/>
      <w:numFmt w:val="decimal"/>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7C0D5256"/>
    <w:multiLevelType w:val="hybridMultilevel"/>
    <w:tmpl w:val="FC12CD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9"/>
  </w:num>
  <w:num w:numId="2">
    <w:abstractNumId w:val="3"/>
  </w:num>
  <w:num w:numId="3">
    <w:abstractNumId w:val="27"/>
  </w:num>
  <w:num w:numId="4">
    <w:abstractNumId w:val="22"/>
  </w:num>
  <w:num w:numId="5">
    <w:abstractNumId w:val="25"/>
  </w:num>
  <w:num w:numId="6">
    <w:abstractNumId w:val="5"/>
  </w:num>
  <w:num w:numId="7">
    <w:abstractNumId w:val="32"/>
  </w:num>
  <w:num w:numId="8">
    <w:abstractNumId w:val="34"/>
  </w:num>
  <w:num w:numId="9">
    <w:abstractNumId w:val="31"/>
  </w:num>
  <w:num w:numId="10">
    <w:abstractNumId w:val="26"/>
  </w:num>
  <w:num w:numId="11">
    <w:abstractNumId w:val="30"/>
  </w:num>
  <w:num w:numId="12">
    <w:abstractNumId w:val="15"/>
  </w:num>
  <w:num w:numId="13">
    <w:abstractNumId w:val="16"/>
  </w:num>
  <w:num w:numId="14">
    <w:abstractNumId w:val="24"/>
  </w:num>
  <w:num w:numId="15">
    <w:abstractNumId w:val="12"/>
  </w:num>
  <w:num w:numId="16">
    <w:abstractNumId w:val="17"/>
  </w:num>
  <w:num w:numId="17">
    <w:abstractNumId w:val="11"/>
  </w:num>
  <w:num w:numId="18">
    <w:abstractNumId w:val="33"/>
  </w:num>
  <w:num w:numId="19">
    <w:abstractNumId w:val="21"/>
  </w:num>
  <w:num w:numId="20">
    <w:abstractNumId w:val="2"/>
  </w:num>
  <w:num w:numId="21">
    <w:abstractNumId w:val="1"/>
  </w:num>
  <w:num w:numId="22">
    <w:abstractNumId w:val="14"/>
  </w:num>
  <w:num w:numId="23">
    <w:abstractNumId w:val="13"/>
  </w:num>
  <w:num w:numId="24">
    <w:abstractNumId w:val="18"/>
  </w:num>
  <w:num w:numId="25">
    <w:abstractNumId w:val="28"/>
  </w:num>
  <w:num w:numId="26">
    <w:abstractNumId w:val="0"/>
  </w:num>
  <w:num w:numId="27">
    <w:abstractNumId w:val="8"/>
  </w:num>
  <w:num w:numId="28">
    <w:abstractNumId w:val="4"/>
  </w:num>
  <w:num w:numId="29">
    <w:abstractNumId w:val="20"/>
  </w:num>
  <w:num w:numId="30">
    <w:abstractNumId w:val="7"/>
  </w:num>
  <w:num w:numId="31">
    <w:abstractNumId w:val="6"/>
  </w:num>
  <w:num w:numId="32">
    <w:abstractNumId w:val="29"/>
  </w:num>
  <w:num w:numId="33">
    <w:abstractNumId w:val="9"/>
  </w:num>
  <w:num w:numId="34">
    <w:abstractNumId w:val="23"/>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6262B"/>
  </w:style>
  <w:style w:type="paragraph" w:styleId="Heading1">
    <w:name w:val="heading 1"/>
    <w:basedOn w:val="Normal"/>
    <w:next w:val="Normal"/>
    <w:link w:val="Heading1Char"/>
    <w:uiPriority w:val="9"/>
    <w:qFormat/>
    <w:rsid w:val="003626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26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26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26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26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26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26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26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26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26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26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26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26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26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26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26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26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262B"/>
    <w:rPr>
      <w:rFonts w:eastAsiaTheme="majorEastAsia" w:cstheme="majorBidi"/>
      <w:color w:val="272727" w:themeColor="text1" w:themeTint="D8"/>
    </w:rPr>
  </w:style>
  <w:style w:type="paragraph" w:styleId="Title">
    <w:name w:val="Title"/>
    <w:basedOn w:val="Normal"/>
    <w:next w:val="Normal"/>
    <w:link w:val="TitleChar"/>
    <w:uiPriority w:val="10"/>
    <w:qFormat/>
    <w:rsid w:val="003626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26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26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26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262B"/>
    <w:pPr>
      <w:spacing w:before="160"/>
      <w:jc w:val="center"/>
    </w:pPr>
    <w:rPr>
      <w:i/>
      <w:iCs/>
      <w:color w:val="404040" w:themeColor="text1" w:themeTint="BF"/>
    </w:rPr>
  </w:style>
  <w:style w:type="character" w:customStyle="1" w:styleId="QuoteChar">
    <w:name w:val="Quote Char"/>
    <w:basedOn w:val="DefaultParagraphFont"/>
    <w:link w:val="Quote"/>
    <w:uiPriority w:val="29"/>
    <w:rsid w:val="0036262B"/>
    <w:rPr>
      <w:i/>
      <w:iCs/>
      <w:color w:val="404040" w:themeColor="text1" w:themeTint="BF"/>
    </w:rPr>
  </w:style>
  <w:style w:type="paragraph" w:styleId="ListParagraph">
    <w:name w:val="List Paragraph"/>
    <w:basedOn w:val="Normal"/>
    <w:uiPriority w:val="34"/>
    <w:qFormat/>
    <w:rsid w:val="0036262B"/>
    <w:pPr>
      <w:ind w:left="720"/>
      <w:contextualSpacing/>
    </w:pPr>
  </w:style>
  <w:style w:type="character" w:styleId="IntenseEmphasis">
    <w:name w:val="Intense Emphasis"/>
    <w:basedOn w:val="DefaultParagraphFont"/>
    <w:uiPriority w:val="21"/>
    <w:qFormat/>
    <w:rsid w:val="0036262B"/>
    <w:rPr>
      <w:i/>
      <w:iCs/>
      <w:color w:val="0F4761" w:themeColor="accent1" w:themeShade="BF"/>
    </w:rPr>
  </w:style>
  <w:style w:type="paragraph" w:styleId="IntenseQuote">
    <w:name w:val="Intense Quote"/>
    <w:basedOn w:val="Normal"/>
    <w:next w:val="Normal"/>
    <w:link w:val="IntenseQuoteChar"/>
    <w:uiPriority w:val="30"/>
    <w:qFormat/>
    <w:rsid w:val="003626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262B"/>
    <w:rPr>
      <w:i/>
      <w:iCs/>
      <w:color w:val="0F4761" w:themeColor="accent1" w:themeShade="BF"/>
    </w:rPr>
  </w:style>
  <w:style w:type="character" w:styleId="IntenseReference">
    <w:name w:val="Intense Reference"/>
    <w:basedOn w:val="DefaultParagraphFont"/>
    <w:uiPriority w:val="32"/>
    <w:qFormat/>
    <w:rsid w:val="0036262B"/>
    <w:rPr>
      <w:b/>
      <w:bCs/>
      <w:smallCaps/>
      <w:color w:val="0F4761" w:themeColor="accent1" w:themeShade="BF"/>
      <w:spacing w:val="5"/>
    </w:rPr>
  </w:style>
  <w:style w:type="paragraph" w:styleId="FootnoteText">
    <w:name w:val="footnote text"/>
    <w:basedOn w:val="Normal"/>
    <w:link w:val="FootnoteTextChar"/>
    <w:uiPriority w:val="99"/>
    <w:semiHidden/>
    <w:unhideWhenUsed/>
    <w:rsid w:val="003626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6262B"/>
    <w:rPr>
      <w:sz w:val="20"/>
      <w:szCs w:val="20"/>
    </w:rPr>
  </w:style>
  <w:style w:type="character" w:styleId="FootnoteReference">
    <w:name w:val="footnote reference"/>
    <w:basedOn w:val="DefaultParagraphFont"/>
    <w:uiPriority w:val="99"/>
    <w:semiHidden/>
    <w:unhideWhenUsed/>
    <w:rsid w:val="0036262B"/>
    <w:rPr>
      <w:vertAlign w:val="superscript"/>
    </w:rPr>
  </w:style>
  <w:style w:type="character" w:styleId="Hyperlink">
    <w:name w:val="Hyperlink"/>
    <w:basedOn w:val="DefaultParagraphFont"/>
    <w:uiPriority w:val="99"/>
    <w:unhideWhenUsed/>
    <w:rsid w:val="0036262B"/>
    <w:rPr>
      <w:color w:val="467886" w:themeColor="hyperlink"/>
      <w:u w:val="single"/>
    </w:rPr>
  </w:style>
  <w:style w:type="character" w:customStyle="1" w:styleId="UnresolvedMention1">
    <w:name w:val="Unresolved Mention1"/>
    <w:basedOn w:val="DefaultParagraphFont"/>
    <w:uiPriority w:val="99"/>
    <w:semiHidden/>
    <w:unhideWhenUsed/>
    <w:rsid w:val="0036262B"/>
    <w:rPr>
      <w:color w:val="605E5C"/>
      <w:shd w:val="clear" w:color="auto" w:fill="E1DFDD"/>
    </w:rPr>
  </w:style>
  <w:style w:type="character" w:styleId="FollowedHyperlink">
    <w:name w:val="FollowedHyperlink"/>
    <w:basedOn w:val="DefaultParagraphFont"/>
    <w:uiPriority w:val="99"/>
    <w:semiHidden/>
    <w:unhideWhenUsed/>
    <w:rsid w:val="0036262B"/>
    <w:rPr>
      <w:color w:val="96607D" w:themeColor="followedHyperlink"/>
      <w:u w:val="single"/>
    </w:rPr>
  </w:style>
  <w:style w:type="character" w:styleId="CommentReference">
    <w:name w:val="annotation reference"/>
    <w:basedOn w:val="DefaultParagraphFont"/>
    <w:uiPriority w:val="99"/>
    <w:semiHidden/>
    <w:unhideWhenUsed/>
    <w:rsid w:val="0036262B"/>
    <w:rPr>
      <w:sz w:val="16"/>
      <w:szCs w:val="16"/>
    </w:rPr>
  </w:style>
  <w:style w:type="paragraph" w:styleId="CommentText">
    <w:name w:val="annotation text"/>
    <w:basedOn w:val="Normal"/>
    <w:link w:val="CommentTextChar"/>
    <w:uiPriority w:val="99"/>
    <w:unhideWhenUsed/>
    <w:rsid w:val="0036262B"/>
    <w:pPr>
      <w:spacing w:line="240" w:lineRule="auto"/>
    </w:pPr>
    <w:rPr>
      <w:sz w:val="20"/>
      <w:szCs w:val="20"/>
    </w:rPr>
  </w:style>
  <w:style w:type="character" w:customStyle="1" w:styleId="CommentTextChar">
    <w:name w:val="Comment Text Char"/>
    <w:basedOn w:val="DefaultParagraphFont"/>
    <w:link w:val="CommentText"/>
    <w:uiPriority w:val="99"/>
    <w:rsid w:val="0036262B"/>
    <w:rPr>
      <w:sz w:val="20"/>
      <w:szCs w:val="20"/>
    </w:rPr>
  </w:style>
  <w:style w:type="paragraph" w:styleId="CommentSubject">
    <w:name w:val="annotation subject"/>
    <w:basedOn w:val="CommentText"/>
    <w:next w:val="CommentText"/>
    <w:link w:val="CommentSubjectChar"/>
    <w:uiPriority w:val="99"/>
    <w:semiHidden/>
    <w:unhideWhenUsed/>
    <w:rsid w:val="0036262B"/>
    <w:rPr>
      <w:b/>
      <w:bCs/>
    </w:rPr>
  </w:style>
  <w:style w:type="character" w:customStyle="1" w:styleId="CommentSubjectChar">
    <w:name w:val="Comment Subject Char"/>
    <w:basedOn w:val="CommentTextChar"/>
    <w:link w:val="CommentSubject"/>
    <w:uiPriority w:val="99"/>
    <w:semiHidden/>
    <w:rsid w:val="0036262B"/>
    <w:rPr>
      <w:b/>
      <w:bCs/>
      <w:sz w:val="20"/>
      <w:szCs w:val="20"/>
    </w:rPr>
  </w:style>
  <w:style w:type="paragraph" w:styleId="Header">
    <w:name w:val="header"/>
    <w:basedOn w:val="Normal"/>
    <w:link w:val="HeaderChar"/>
    <w:uiPriority w:val="99"/>
    <w:unhideWhenUsed/>
    <w:rsid w:val="00521A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1A39"/>
  </w:style>
  <w:style w:type="paragraph" w:styleId="Footer">
    <w:name w:val="footer"/>
    <w:basedOn w:val="Normal"/>
    <w:link w:val="FooterChar"/>
    <w:uiPriority w:val="99"/>
    <w:unhideWhenUsed/>
    <w:rsid w:val="00521A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1A39"/>
  </w:style>
  <w:style w:type="paragraph" w:styleId="Revision">
    <w:name w:val="Revision"/>
    <w:hidden/>
    <w:uiPriority w:val="99"/>
    <w:semiHidden/>
    <w:rsid w:val="009B7CD7"/>
    <w:pPr>
      <w:spacing w:after="0" w:line="240" w:lineRule="auto"/>
    </w:pPr>
  </w:style>
  <w:style w:type="paragraph" w:customStyle="1" w:styleId="whitespace-normal">
    <w:name w:val="whitespace-normal"/>
    <w:basedOn w:val="Normal"/>
    <w:rsid w:val="00ED0727"/>
    <w:pPr>
      <w:spacing w:before="100" w:beforeAutospacing="1" w:after="100" w:afterAutospacing="1" w:line="240" w:lineRule="auto"/>
    </w:pPr>
    <w:rPr>
      <w:rFonts w:ascii="Times New Roman" w:eastAsia="Times New Roman" w:hAnsi="Times New Roman" w:cs="Times New Roman"/>
      <w:kern w:val="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78ca1497cf6442fb3babdda785c85ae xmlns="a562b9cc-13aa-492e-99b7-4fe388c0613c">
      <Terms xmlns="http://schemas.microsoft.com/office/infopath/2007/PartnerControls"/>
    </n78ca1497cf6442fb3babdda785c85ae>
    <TransfertoArchives xmlns="4600776d-0a3c-44b4-bff2-0ceaafb13046">false</TransfertoArchives>
    <TaxKeywordTaxHTField xmlns="0606af38-29d8-407d-826d-7a0cb9d9f4ed">
      <Terms xmlns="http://schemas.microsoft.com/office/infopath/2007/PartnerControls"/>
    </TaxKeywordTaxHTField>
    <j6c5b17cd04246da82e5604daf08bc68 xmlns="4600776d-0a3c-44b4-bff2-0ceaafb13046">
      <Terms xmlns="http://schemas.microsoft.com/office/infopath/2007/PartnerControls"/>
    </j6c5b17cd04246da82e5604daf08bc68>
    <k5b153ee974a4a57a7568e533217f2cb xmlns="4600776d-0a3c-44b4-bff2-0ceaafb13046">
      <Terms xmlns="http://schemas.microsoft.com/office/infopath/2007/PartnerControl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ja5e4d000da44b5490ce6b4249309924 xmlns="c86d72e2-090a-4e7d-987e-218d8a0db591">
      <Terms xmlns="http://schemas.microsoft.com/office/infopath/2007/PartnerControls"/>
    </ja5e4d000da44b5490ce6b4249309924>
    <g3ef09377e3444258679b6035a1ff93a xmlns="4600776d-0a3c-44b4-bff2-0ceaafb13046">
      <Terms xmlns="http://schemas.microsoft.com/office/infopath/2007/PartnerControls"/>
    </g3ef09377e3444258679b6035a1ff93a>
    <j3dc9349b3384741bd6025ba1321f3a9 xmlns="a562b9cc-13aa-492e-99b7-4fe388c0613c">
      <Terms xmlns="http://schemas.microsoft.com/office/infopath/2007/PartnerControls"/>
    </j3dc9349b3384741bd6025ba1321f3a9>
    <lcf76f155ced4ddcb4097134ff3c332f xmlns="a562b9cc-13aa-492e-99b7-4fe388c0613c">
      <Terms xmlns="http://schemas.microsoft.com/office/infopath/2007/PartnerControls"/>
    </lcf76f155ced4ddcb4097134ff3c332f>
    <TaxCatchAll xmlns="4600776d-0a3c-44b4-bff2-0ceaafb13046">
      <Value>164</Value>
      <Value>1</Value>
    </TaxCatchAll>
    <DateSent xmlns="4600776d-0a3c-44b4-bff2-0ceaafb13046" xsi:nil="true"/>
    <RecordNumber xmlns="4600776d-0a3c-44b4-bff2-0ceaafb13046" xsi:nil="true"/>
    <Notes0 xmlns="a562b9cc-13aa-492e-99b7-4fe388c0613c" xsi:nil="true"/>
    <Additional_x0020_category xmlns="a562b9cc-13aa-492e-99b7-4fe388c0613c" xsi:nil="true"/>
    <Deadline xmlns="a562b9cc-13aa-492e-99b7-4fe388c0613c" xsi:nil="true"/>
    <Circulation_x0020_Date xmlns="a562b9cc-13aa-492e-99b7-4fe388c0613c" xsi:nil="true"/>
    <Brief_x0020_status xmlns="a562b9cc-13aa-492e-99b7-4fe388c0613c" xsi:nil="true"/>
    <Document_x0020_Status xmlns="a562b9cc-13aa-492e-99b7-4fe388c0613c" xsi:nil="true"/>
    <Date xmlns="a562b9cc-13aa-492e-99b7-4fe388c0613c" xsi:nil="true"/>
    <Useful_x0020_Docs xmlns="a562b9cc-13aa-492e-99b7-4fe388c0613c" xsi:nil="true"/>
    <Meeting_x0020_Date xmlns="a562b9cc-13aa-492e-99b7-4fe388c0613c" xsi:nil="true"/>
    <EndofSessionDate xmlns="4600776d-0a3c-44b4-bff2-0ceaafb13046" xsi:nil="true"/>
    <DateReceived xmlns="4600776d-0a3c-44b4-bff2-0ceaafb13046" xsi:nil="true"/>
    <Department xmlns="a562b9cc-13aa-492e-99b7-4fe388c0613c" xsi:nil="true"/>
    <Visit xmlns="0606af38-29d8-407d-826d-7a0cb9d9f4ed" xsi:nil="true"/>
    <Status_x0020_of_x0020_correspondence xmlns="a562b9cc-13aa-492e-99b7-4fe388c0613c" xsi:nil="true"/>
    <Allocated_x0020_to xmlns="a562b9cc-13aa-492e-99b7-4fe388c0613c">
      <UserInfo>
        <DisplayName/>
        <AccountId xsi:nil="true"/>
        <AccountType/>
      </UserInfo>
    </Allocated_x0020_to>
    <Related_x0020_Document xmlns="a562b9cc-13aa-492e-99b7-4fe388c0613c">
      <Url xsi:nil="true"/>
      <Description xsi:nil="true"/>
    </Related_x0020_Document>
    <Publication_x0020_Date xmlns="a562b9cc-13aa-492e-99b7-4fe388c0613c" xsi:nil="true"/>
    <Witness xmlns="0606af38-29d8-407d-826d-7a0cb9d9f4ed" xsi:nil="true"/>
    <Bill_x0020_Title xmlns="0606af38-29d8-407d-826d-7a0cb9d9f4ed" xsi:nil="true"/>
    <Specialist_x0020_Adviser xmlns="0606af38-29d8-407d-826d-7a0cb9d9f4ed"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7563D169A3E4B4BAE3D3C48EA66D3A3" ma:contentTypeVersion="55" ma:contentTypeDescription="Create a new document." ma:contentTypeScope="" ma:versionID="1471e353f1edc6ebe23ae80e76fe9303">
  <xsd:schema xmlns:xsd="http://www.w3.org/2001/XMLSchema" xmlns:xs="http://www.w3.org/2001/XMLSchema" xmlns:p="http://schemas.microsoft.com/office/2006/metadata/properties" xmlns:ns2="a562b9cc-13aa-492e-99b7-4fe388c0613c" xmlns:ns3="0606af38-29d8-407d-826d-7a0cb9d9f4ed" xmlns:ns4="4600776d-0a3c-44b4-bff2-0ceaafb13046" xmlns:ns5="c86d72e2-090a-4e7d-987e-218d8a0db591" xmlns:ns6="6ab18433-7710-49bd-9bb4-0bb85747556a" targetNamespace="http://schemas.microsoft.com/office/2006/metadata/properties" ma:root="true" ma:fieldsID="5ae1d80d62d7db4c9892b1ef5d2e2cd7" ns2:_="" ns3:_="" ns4:_="" ns5:_="" ns6:_="">
    <xsd:import namespace="a562b9cc-13aa-492e-99b7-4fe388c0613c"/>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c4838c65c76546ae93d5703426802f7f" minOccurs="0"/>
                <xsd:element ref="ns4:TaxCatchAll" minOccurs="0"/>
                <xsd:element ref="ns4:TaxCatchAllLabel" minOccurs="0"/>
                <xsd:element ref="ns3:Specialist_x0020_Adviser_x003a_Full_x0020_Name" minOccurs="0"/>
                <xsd:element ref="ns4:j6c5b17cd04246da82e5604daf08bc68" minOccurs="0"/>
                <xsd:element ref="ns4:g3ef09377e3444258679b6035a1ff93a" minOccurs="0"/>
                <xsd:element ref="ns6:_dlc_DocId" minOccurs="0"/>
                <xsd:element ref="ns4:e6f926d7f5b14a74bee86c3452d91372" minOccurs="0"/>
                <xsd:element ref="ns4:k5b153ee974a4a57a7568e533217f2cb" minOccurs="0"/>
                <xsd:element ref="ns2:n78ca1497cf6442fb3babdda785c85ae" minOccurs="0"/>
                <xsd:element ref="ns3:Specialist_x0020_Adviser_x003a_First_x0020_Name" minOccurs="0"/>
                <xsd:element ref="ns3:Bill_x0020_Title" minOccurs="0"/>
                <xsd:element ref="ns2:MediaServiceMetadata" minOccurs="0"/>
                <xsd:element ref="ns2:MediaServiceFastMetadata" minOccurs="0"/>
                <xsd:element ref="ns6:SharedWithUsers" minOccurs="0"/>
                <xsd:element ref="ns6:SharedWithDetails" minOccurs="0"/>
                <xsd:element ref="ns2:MediaServiceEventHashCode" minOccurs="0"/>
                <xsd:element ref="ns2:MediaServiceGenerationTime" minOccurs="0"/>
                <xsd:element ref="ns3:TaxKeywordTaxHTField"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2b9cc-13aa-492e-99b7-4fe388c0613c"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4"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6"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9" nillable="true" ma:displayName="MediaServiceMetadata" ma:hidden="true" ma:internalName="MediaServiceMetadata" ma:readOnly="true">
      <xsd:simpleType>
        <xsd:restriction base="dms:Note"/>
      </xsd:simpleType>
    </xsd:element>
    <xsd:element name="MediaServiceFastMetadata" ma:index="60" nillable="true" ma:displayName="MediaServiceFastMetadata" ma:hidden="true" ma:internalName="MediaServiceFastMetadata" ma:readOnly="true">
      <xsd:simpleType>
        <xsd:restriction base="dms:Note"/>
      </xsd:simpleType>
    </xsd:element>
    <xsd:element name="MediaServiceEventHashCode" ma:index="63" nillable="true" ma:displayName="MediaServiceEventHashCode" ma:hidden="true" ma:internalName="MediaServiceEventHashCode" ma:readOnly="true">
      <xsd:simpleType>
        <xsd:restriction base="dms:Text"/>
      </xsd:simpleType>
    </xsd:element>
    <xsd:element name="MediaServiceGenerationTime" ma:index="64" nillable="true" ma:displayName="MediaServiceGenerationTime" ma:hidden="true" ma:internalName="MediaServiceGenerationTime" ma:readOnly="true">
      <xsd:simpleType>
        <xsd:restriction base="dms:Text"/>
      </xsd:simpleType>
    </xsd:element>
    <xsd:element name="MediaServiceDateTaken" ma:index="67" nillable="true" ma:displayName="MediaServiceDateTaken" ma:hidden="true" ma:internalName="MediaServiceDateTaken" ma:readOnly="true">
      <xsd:simpleType>
        <xsd:restriction base="dms:Text"/>
      </xsd:simpleType>
    </xsd:element>
    <xsd:element name="MediaServiceAutoTags" ma:index="68" nillable="true" ma:displayName="Tags" ma:internalName="MediaServiceAutoTags" ma:readOnly="true">
      <xsd:simpleType>
        <xsd:restriction base="dms:Text"/>
      </xsd:simpleType>
    </xsd:element>
    <xsd:element name="MediaServiceOCR" ma:index="69" nillable="true" ma:displayName="Extracted Text" ma:internalName="MediaServiceOCR" ma:readOnly="true">
      <xsd:simpleType>
        <xsd:restriction base="dms:Note">
          <xsd:maxLength value="255"/>
        </xsd:restriction>
      </xsd:simpleType>
    </xsd:element>
    <xsd:element name="MediaServiceAutoKeyPoints" ma:index="70" nillable="true" ma:displayName="MediaServiceAutoKeyPoints" ma:hidden="true" ma:internalName="MediaServiceAutoKeyPoints" ma:readOnly="true">
      <xsd:simpleType>
        <xsd:restriction base="dms:Note"/>
      </xsd:simpleType>
    </xsd:element>
    <xsd:element name="MediaServiceKeyPoints" ma:index="71" nillable="true" ma:displayName="KeyPoints" ma:internalName="MediaServiceKeyPoints" ma:readOnly="true">
      <xsd:simpleType>
        <xsd:restriction base="dms:Note">
          <xsd:maxLength value="255"/>
        </xsd:restriction>
      </xsd:simpleType>
    </xsd:element>
    <xsd:element name="MediaServiceObjectDetectorVersions" ma:index="72" nillable="true" ma:displayName="MediaServiceObjectDetectorVersions" ma:hidden="true" ma:indexed="true" ma:internalName="MediaServiceObjectDetectorVersions" ma:readOnly="true">
      <xsd:simpleType>
        <xsd:restriction base="dms:Text"/>
      </xsd:simpleType>
    </xsd:element>
    <xsd:element name="MediaServiceSearchProperties" ma:index="73" nillable="true" ma:displayName="MediaServiceSearchProperties" ma:hidden="true" ma:internalName="MediaServiceSearchProperties" ma:readOnly="true">
      <xsd:simpleType>
        <xsd:restriction base="dms:Note"/>
      </xsd:simpleType>
    </xsd:element>
    <xsd:element name="lcf76f155ced4ddcb4097134ff3c332f" ma:index="75"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28dfc76f-2656-4557-802a-dafa561eafe3}" ma:internalName="Visit" ma:showField="Title" ma:web="0606af38-29d8-407d-826d-7a0cb9d9f4ed">
      <xsd:simpleType>
        <xsd:restriction base="dms:Lookup"/>
      </xsd:simpleType>
    </xsd:element>
    <xsd:element name="Specialist_x0020_Adviser" ma:index="17" nillable="true" ma:displayName="Specialist Adviser" ma:list="{bc8ded53-17d9-4654-bb70-614bd9df53d4}" ma:internalName="Specialist_x0020_Adviser" ma:showField="Title" ma:web="0606af38-29d8-407d-826d-7a0cb9d9f4ed">
      <xsd:simpleType>
        <xsd:restriction base="dms:Lookup"/>
      </xsd:simpleType>
    </xsd:element>
    <xsd:element name="Witness" ma:index="18" nillable="true" ma:displayName="Witness" ma:list="{2807a49d-ef3f-4113-a058-1b5db391231b}" ma:internalName="Witness" ma:showField="Title" ma:web="0606af38-29d8-407d-826d-7a0cb9d9f4ed">
      <xsd:simpleType>
        <xsd:restriction base="dms:Lookup"/>
      </xsd:simpleType>
    </xsd:element>
    <xsd:element name="Visit_x003a_Start_x0020_Time" ma:index="37" nillable="true" ma:displayName="Visit:Start Time" ma:list="{28dfc76f-2656-4557-802a-dafa561eafe3}" ma:internalName="Visit_x003a_Start_x0020_Time" ma:readOnly="true" ma:showField="EventDate" ma:web="0606af38-29d8-407d-826d-7a0cb9d9f4ed">
      <xsd:simpleType>
        <xsd:restriction base="dms:Lookup"/>
      </xsd:simpleType>
    </xsd:element>
    <xsd:element name="Visit_x003a_End_x0020_Time" ma:index="38" nillable="true" ma:displayName="Visit:End Time" ma:list="{28dfc76f-2656-4557-802a-dafa561eafe3}" ma:internalName="Visit_x003a_End_x0020_Time" ma:readOnly="true" ma:showField="EndDate" ma:web="0606af38-29d8-407d-826d-7a0cb9d9f4ed">
      <xsd:simpleType>
        <xsd:restriction base="dms:Lookup"/>
      </xsd:simpleType>
    </xsd:element>
    <xsd:element name="Witness_x003a_First_x0020_Name" ma:index="40" nillable="true" ma:displayName="Witness:First Name" ma:list="{2807a49d-ef3f-4113-a058-1b5db391231b}" ma:internalName="Witness_x003a_First_x0020_Name" ma:readOnly="true" ma:showField="First_x0020_Name" ma:web="0606af38-29d8-407d-826d-7a0cb9d9f4ed">
      <xsd:simpleType>
        <xsd:restriction base="dms:Lookup"/>
      </xsd:simpleType>
    </xsd:element>
    <xsd:element name="Witness_x003a_Full_x0020_Name" ma:index="41" nillable="true" ma:displayName="Witness:Full Name" ma:list="{2807a49d-ef3f-4113-a058-1b5db391231b}" ma:internalName="Witness_x003a_Full_x0020_Name" ma:readOnly="true" ma:showField="Full_x0020_Name" ma:web="0606af38-29d8-407d-826d-7a0cb9d9f4ed">
      <xsd:simpleType>
        <xsd:restriction base="dms:Lookup"/>
      </xsd:simpleType>
    </xsd:element>
    <xsd:element name="Witness_x003a_Job_x0020_Title" ma:index="42" nillable="true" ma:displayName="Witness:Job Title" ma:list="{2807a49d-ef3f-4113-a058-1b5db391231b}" ma:internalName="Witness_x003a_Job_x0020_Title" ma:readOnly="true" ma:showField="Job_x0020_Title" ma:web="0606af38-29d8-407d-826d-7a0cb9d9f4ed">
      <xsd:simpleType>
        <xsd:restriction base="dms:Lookup"/>
      </xsd:simpleType>
    </xsd:element>
    <xsd:element name="Specialist_x0020_Adviser_x003a_Full_x0020_Name" ma:index="48" nillable="true" ma:displayName="Specialist Adviser:Full Name" ma:list="{bc8ded53-17d9-4654-bb70-614bd9df53d4}" ma:internalName="Specialist_x0020_Adviser_x003a_Full_x0020_Name" ma:readOnly="true" ma:showField="FullName" ma:web="0606af38-29d8-407d-826d-7a0cb9d9f4ed">
      <xsd:simpleType>
        <xsd:restriction base="dms:Lookup"/>
      </xsd:simpleType>
    </xsd:element>
    <xsd:element name="Specialist_x0020_Adviser_x003a_First_x0020_Name" ma:index="57" nillable="true" ma:displayName="Specialist Adviser:First Name" ma:list="{bc8ded53-17d9-4654-bb70-614bd9df53d4}" ma:internalName="Specialist_x0020_Adviser_x003a_First_x0020_Name" ma:readOnly="true" ma:showField="FirstName" ma:web="0606af38-29d8-407d-826d-7a0cb9d9f4ed">
      <xsd:simpleType>
        <xsd:restriction base="dms:Lookup"/>
      </xsd:simpleType>
    </xsd:element>
    <xsd:element name="Bill_x0020_Title" ma:index="58" nillable="true" ma:displayName="Bill Title" ma:format="Dropdown" ma:internalName="Bill_x0020_Title">
      <xsd:simpleType>
        <xsd:restriction base="dms:Choice">
          <xsd:enumeration value="Cultural Property (Armed Conflicts) Bill"/>
          <xsd:enumeration value="Data Protection Bill"/>
          <xsd:enumeration value="Draft Investigatory Powers Bill"/>
          <xsd:enumeration value="Energy Bill"/>
          <xsd:enumeration value="Enterprise Bill"/>
          <xsd:enumeration value="EU (Withdrawal) Bill"/>
          <xsd:enumeration value="Housing and Planning Bill"/>
          <xsd:enumeration value="Immigration Bill"/>
          <xsd:enumeration value="Intellectual Property (Unjustified Threats) Bill"/>
          <xsd:enumeration value="Investigatory Powers Bill"/>
          <xsd:enumeration value="Ministerial Code"/>
          <xsd:enumeration value="Northern Ireland Bill"/>
          <xsd:enumeration value="Policing and Crime Bill"/>
          <xsd:enumeration value="Prison and Courts Bill"/>
          <xsd:enumeration value="Trade Union Bill"/>
          <xsd:enumeration value="Welfare Reform and Work Bill"/>
        </xsd:restriction>
      </xsd:simpleType>
    </xsd:element>
    <xsd:element name="TaxKeywordTaxHTField" ma:index="66" nillable="true" ma:taxonomy="true" ma:internalName="TaxKeywordTaxHTField" ma:taxonomyFieldName="TaxKeyword" ma:displayName="Enterprise Keywords" ma:fieldId="{23f27201-bee3-471e-b2e7-b64fd8b7ca38}" ma:taxonomyMulti="true" ma:sspId="eb37f91c-4bb8-4ab3-bc5a-cd875381545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c4838c65c76546ae93d5703426802f7f" ma:index="45"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6" nillable="true" ma:displayName="Taxonomy Catch All Column" ma:hidden="true" ma:list="{9d6dfcb2-0ec6-4cec-9433-6a075699b057}"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7" nillable="true" ma:displayName="Taxonomy Catch All Column1" ma:hidden="true" ma:list="{9d6dfcb2-0ec6-4cec-9433-6a075699b057}"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4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1"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e6f926d7f5b14a74bee86c3452d91372" ma:index="54" nillable="true" ma:taxonomy="true" ma:internalName="e6f926d7f5b14a74bee86c3452d91372" ma:taxonomyFieldName="Sessions" ma:displayName="Session" ma:default="10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55"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6" nillable="true" ma:taxonomy="true" ma:internalName="ja5e4d000da44b5490ce6b4249309924" ma:taxonomyFieldName="Inquiry" ma:displayName="Inquiry" ma:default="" ma:fieldId="{3a5e4d00-0da4-4b54-90ce-6b4249309924}" ma:sspId="eb37f91c-4bb8-4ab3-bc5a-cd8753815459" ma:termSetId="e92b6cb5-89aa-4b85-8d83-b805cf84055d" ma:anchorId="e224f262-415c-4480-a1b5-bf81bfbaea9f"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4" nillable="true" ma:displayName="Persist ID" ma:description="Keep ID on add." ma:hidden="true" ma:internalName="_dlc_DocIdPersistId" ma:readOnly="true">
      <xsd:simpleType>
        <xsd:restriction base="dms:Boolean"/>
      </xsd:simpleType>
    </xsd:element>
    <xsd:element name="_dlc_DocId" ma:index="53" nillable="true" ma:displayName="Document ID Value" ma:description="The value of the document ID assigned to this item." ma:internalName="_dlc_DocId" ma:readOnly="true">
      <xsd:simpleType>
        <xsd:restriction base="dms:Text"/>
      </xsd:simpleType>
    </xsd:element>
    <xsd:element name="SharedWithUsers" ma:index="6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75D8C8-7B5F-423E-87DE-79CE82ED7E0C}">
  <ds:schemaRefs>
    <ds:schemaRef ds:uri="http://schemas.openxmlformats.org/officeDocument/2006/bibliography"/>
  </ds:schemaRefs>
</ds:datastoreItem>
</file>

<file path=customXml/itemProps2.xml><?xml version="1.0" encoding="utf-8"?>
<ds:datastoreItem xmlns:ds="http://schemas.openxmlformats.org/officeDocument/2006/customXml" ds:itemID="{DF2E3B7C-96D9-47E2-9E55-7DD5E1C969DE}">
  <ds:schemaRefs>
    <ds:schemaRef ds:uri="http://schemas.microsoft.com/sharepoint/events"/>
  </ds:schemaRefs>
</ds:datastoreItem>
</file>

<file path=customXml/itemProps3.xml><?xml version="1.0" encoding="utf-8"?>
<ds:datastoreItem xmlns:ds="http://schemas.openxmlformats.org/officeDocument/2006/customXml" ds:itemID="{7916727C-1548-4303-A1E3-D9904CFE63CE}">
  <ds:schemaRefs>
    <ds:schemaRef ds:uri="http://schemas.microsoft.com/sharepoint/v3/contenttype/forms"/>
  </ds:schemaRefs>
</ds:datastoreItem>
</file>

<file path=customXml/itemProps4.xml><?xml version="1.0" encoding="utf-8"?>
<ds:datastoreItem xmlns:ds="http://schemas.openxmlformats.org/officeDocument/2006/customXml" ds:itemID="{F294D825-D73F-4A4D-B7AA-4A0BBEB98029}">
  <ds:schemaRefs>
    <ds:schemaRef ds:uri="http://schemas.microsoft.com/office/2006/metadata/properties"/>
    <ds:schemaRef ds:uri="http://schemas.microsoft.com/office/infopath/2007/PartnerControls"/>
    <ds:schemaRef ds:uri="a562b9cc-13aa-492e-99b7-4fe388c0613c"/>
    <ds:schemaRef ds:uri="4600776d-0a3c-44b4-bff2-0ceaafb13046"/>
    <ds:schemaRef ds:uri="0606af38-29d8-407d-826d-7a0cb9d9f4ed"/>
    <ds:schemaRef ds:uri="c86d72e2-090a-4e7d-987e-218d8a0db591"/>
  </ds:schemaRefs>
</ds:datastoreItem>
</file>

<file path=customXml/itemProps5.xml><?xml version="1.0" encoding="utf-8"?>
<ds:datastoreItem xmlns:ds="http://schemas.openxmlformats.org/officeDocument/2006/customXml" ds:itemID="{531F158F-1AF9-4EB3-956A-CB240B164A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2b9cc-13aa-492e-99b7-4fe388c0613c"/>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RAI0079</dc:title>
  <cp:revision>0</cp:revision>
</cp:coreProperties>
</file>