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2C37" w:rsidRPr="00BF2C37" w:rsidP="00BF2C37">
      <w:pPr>
        <w:spacing w:line="240" w:lineRule="auto"/>
        <w:jc w:val="center"/>
        <w:rPr>
          <w:rFonts w:ascii="Calibri" w:hAnsi="Calibri" w:cs="Calibri"/>
          <w:b/>
          <w:bCs/>
          <w:sz w:val="28"/>
          <w:szCs w:val="28"/>
        </w:rPr>
      </w:pPr>
      <w:r w:rsidRPr="00BF2C37">
        <w:rPr>
          <w:rFonts w:ascii="Calibri" w:hAnsi="Calibri" w:cs="Calibri"/>
          <w:b/>
          <w:bCs/>
          <w:sz w:val="28"/>
          <w:szCs w:val="28"/>
        </w:rPr>
        <w:t>Written evidence submitted by the Electric Car Scheme (SEV0010)</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I am Thom Groot, founder and CEO of The Electric Car Scheme. We are a B Corp who specialise in expanding access to salary sacrifice to speed up the EV transition (by making it more affordable for all).</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We are uniquely placed to provide evidence and input into the Transport Committee’s inquiry on how effectively the transition to electric vehicles (EVs) is progressing.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I have focused on providing evidence in the areas where our organisation, and our customers, are directly involved – please see our answers below (a page for each question we are able to comment on).</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If any questions come up – we would be very happy to help answer them!</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a. How effective have Government policies been in driving EV adoption to date, and what further action is required to accelerate take-up?</w:t>
      </w:r>
      <w:r w:rsidRPr="00BF2C37">
        <w:rPr>
          <w:rFonts w:ascii="Calibri" w:hAnsi="Calibri" w:cs="Calibri"/>
          <w:b/>
          <w:bCs/>
          <w:sz w:val="28"/>
          <w:szCs w:val="28"/>
        </w:rPr>
        <w:br/>
      </w: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1. Effectiveness of Current Policies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UK’s strategy, anchored by the ZEV Mandate (requiring 33% of new car sales to be zero-emission in 2026, rising to 80% by 2030), has successfully provided the regulatory "push" for manufacturers.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Market Performance: </w:t>
      </w:r>
      <w:r w:rsidRPr="00BF2C37">
        <w:rPr>
          <w:rFonts w:ascii="Calibri" w:hAnsi="Calibri" w:cs="Calibri"/>
          <w:sz w:val="28"/>
          <w:szCs w:val="28"/>
        </w:rPr>
        <w:t>As of January 2026, over 1.8 million EVs are on UK roads. In 2025 alone, EV sales grew by 24%, outpacing the broader automotive market growth.</w:t>
      </w:r>
      <w:r w:rsidRPr="00BF2C37">
        <w:rPr>
          <w:rFonts w:ascii="Calibri" w:hAnsi="Calibri" w:cs="Calibri"/>
          <w:sz w:val="28"/>
          <w:szCs w:val="28"/>
        </w:rPr>
        <w:t xml:space="preserve"> We are ON TRACK.</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Infrastructure Growth: </w:t>
      </w:r>
      <w:r w:rsidRPr="00BF2C37">
        <w:rPr>
          <w:rFonts w:ascii="Calibri" w:hAnsi="Calibri" w:cs="Calibri"/>
          <w:sz w:val="28"/>
          <w:szCs w:val="28"/>
        </w:rPr>
        <w:t>The network has expanded significantly, with the government’s 2026 "Get that electric feeling" campaign highlighting a network of over 87,000 public chargers.</w:t>
      </w:r>
      <w:r w:rsidRPr="00BF2C37">
        <w:rPr>
          <w:rFonts w:ascii="Calibri" w:hAnsi="Calibri" w:cs="Calibri"/>
          <w:sz w:val="28"/>
          <w:szCs w:val="28"/>
        </w:rPr>
        <w:t xml:space="preserve"> We are ON TRACK.</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2. The Role of Salary Sacrifice</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most effective policy for consumers has been the Salary Sacrifice scheme. This mechanism has transitioned from a niche corporate perk to the backbone of the UK’s EV retail market</w:t>
      </w:r>
      <w:r w:rsidRPr="00BF2C37">
        <w:rPr>
          <w:rFonts w:ascii="Calibri" w:hAnsi="Calibri" w:cs="Calibri"/>
          <w:sz w:val="28"/>
          <w:szCs w:val="28"/>
        </w:rPr>
        <w:t>, as it solves the high upfront cost problem of EVs.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Key Market Driver</w:t>
      </w:r>
      <w:r w:rsidRPr="00BF2C37">
        <w:rPr>
          <w:rFonts w:ascii="Calibri" w:hAnsi="Calibri" w:cs="Calibri"/>
          <w:b/>
          <w:bCs/>
          <w:sz w:val="28"/>
          <w:szCs w:val="28"/>
        </w:rPr>
        <w:t>:</w:t>
      </w:r>
      <w:r w:rsidRPr="00BF2C37">
        <w:rPr>
          <w:rFonts w:ascii="Calibri" w:hAnsi="Calibri" w:cs="Calibri"/>
          <w:sz w:val="28"/>
          <w:szCs w:val="28"/>
        </w:rPr>
        <w:t xml:space="preserve">  </w:t>
      </w:r>
      <w:r>
        <w:fldChar w:fldCharType="begin"/>
      </w:r>
      <w:r>
        <w:instrText xml:space="preserve"> HYPERLINK "https://assets.publishing.service.gov.uk/media/68aee8ae960e2d135b4c8e83/ev-driver-tracker.pdf" </w:instrText>
      </w:r>
      <w:r>
        <w:fldChar w:fldCharType="separate"/>
      </w:r>
      <w:r w:rsidRPr="00BF2C37">
        <w:rPr>
          <w:rStyle w:val="Hyperlink"/>
          <w:rFonts w:ascii="Calibri" w:hAnsi="Calibri" w:cs="Calibri"/>
          <w:sz w:val="28"/>
          <w:szCs w:val="28"/>
        </w:rPr>
        <w:t>Based on DfT data</w:t>
      </w:r>
      <w:r>
        <w:fldChar w:fldCharType="end"/>
      </w:r>
      <w:r w:rsidRPr="00BF2C37">
        <w:rPr>
          <w:rFonts w:ascii="Calibri" w:hAnsi="Calibri" w:cs="Calibri"/>
          <w:sz w:val="28"/>
          <w:szCs w:val="28"/>
        </w:rPr>
        <w:t xml:space="preserve"> 40% of all new electric cars are now funded via salary sacrifice. It’s been a rare triumph for government, supporting working families across the country.</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Democratisation of EVs:</w:t>
      </w:r>
      <w:r w:rsidRPr="00BF2C37">
        <w:rPr>
          <w:rFonts w:ascii="Calibri" w:hAnsi="Calibri" w:cs="Calibri"/>
          <w:sz w:val="28"/>
          <w:szCs w:val="28"/>
        </w:rPr>
        <w:t xml:space="preserve"> Contrary to the perception that salary sacrifice only benefits high earners, industry data from providers like Octopus EV and the BVRLA indicates that </w:t>
      </w:r>
      <w:r w:rsidRPr="00BF2C37">
        <w:rPr>
          <w:rFonts w:ascii="Calibri" w:hAnsi="Calibri" w:cs="Calibri"/>
          <w:sz w:val="28"/>
          <w:szCs w:val="28"/>
        </w:rPr>
        <w:t>the majority of</w:t>
      </w:r>
      <w:r w:rsidRPr="00BF2C37">
        <w:rPr>
          <w:rFonts w:ascii="Calibri" w:hAnsi="Calibri" w:cs="Calibri"/>
          <w:sz w:val="28"/>
          <w:szCs w:val="28"/>
        </w:rPr>
        <w:t xml:space="preserve"> participants are now basic rate taxpayers.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Lower Benefit-in-Kind (BiK) rates (currently 3-4% for 2025/26) allow basic rate earners to save 20-50% on the cost of a new EV compared to a private lease, making electric cars more affordable than their petrol equivalents for the average worker.</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3. Required Action: Extending the Horizon</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While the government has confirmed BiK rates through to 2030, the "cliff edge" at the end of the decade creates uncertainty for long-term fleet planning and consumer confidence. Most consumers sign up to leases that run for up to 5 years – meaning anyone getting a car today would already face more than 1 year of uncertainty!</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 xml:space="preserve">Policy Recommendation: </w:t>
      </w:r>
    </w:p>
    <w:p w:rsidR="00BF2C37" w:rsidRPr="00BF2C37" w:rsidP="00BF2C37">
      <w:pPr>
        <w:pStyle w:val="ListParagraph"/>
        <w:numPr>
          <w:ilvl w:val="0"/>
          <w:numId w:val="1"/>
        </w:numPr>
        <w:spacing w:line="240" w:lineRule="auto"/>
        <w:rPr>
          <w:rFonts w:ascii="Calibri" w:hAnsi="Calibri" w:cs="Calibri"/>
          <w:b/>
          <w:bCs/>
          <w:sz w:val="28"/>
          <w:szCs w:val="28"/>
        </w:rPr>
      </w:pPr>
      <w:r w:rsidRPr="00BF2C37">
        <w:rPr>
          <w:rFonts w:ascii="Calibri" w:hAnsi="Calibri" w:cs="Calibri"/>
          <w:b/>
          <w:bCs/>
          <w:sz w:val="28"/>
          <w:szCs w:val="28"/>
        </w:rPr>
        <w:t>Extend the certainty of low BiK</w:t>
      </w:r>
      <w:r w:rsidRPr="00BF2C37">
        <w:rPr>
          <w:rFonts w:ascii="Calibri" w:hAnsi="Calibri" w:cs="Calibri"/>
          <w:b/>
          <w:bCs/>
          <w:sz w:val="28"/>
          <w:szCs w:val="28"/>
        </w:rPr>
        <w:t xml:space="preserve"> rates and salary sacrifice to at least 2035.</w:t>
      </w:r>
    </w:p>
    <w:p w:rsidR="00BF2C37" w:rsidRPr="00BF2C37" w:rsidP="00BF2C37">
      <w:pPr>
        <w:pStyle w:val="ListParagraph"/>
        <w:numPr>
          <w:ilvl w:val="1"/>
          <w:numId w:val="1"/>
        </w:numPr>
        <w:spacing w:line="240" w:lineRule="auto"/>
        <w:rPr>
          <w:rFonts w:ascii="Calibri" w:hAnsi="Calibri" w:cs="Calibri"/>
          <w:b/>
          <w:bCs/>
          <w:sz w:val="28"/>
          <w:szCs w:val="28"/>
        </w:rPr>
      </w:pPr>
      <w:r w:rsidRPr="00BF2C37">
        <w:rPr>
          <w:rFonts w:ascii="Calibri" w:hAnsi="Calibri" w:cs="Calibri"/>
          <w:b/>
          <w:bCs/>
          <w:sz w:val="28"/>
          <w:szCs w:val="28"/>
        </w:rPr>
        <w:t>Set the BiK rate for 100% electric cars no higher than 5%.</w:t>
      </w:r>
    </w:p>
    <w:p w:rsidR="00BF2C37" w:rsidRPr="00BF2C37" w:rsidP="00BF2C37">
      <w:pPr>
        <w:pStyle w:val="ListParagraph"/>
        <w:numPr>
          <w:ilvl w:val="1"/>
          <w:numId w:val="1"/>
        </w:numPr>
        <w:spacing w:line="240" w:lineRule="auto"/>
        <w:rPr>
          <w:rFonts w:ascii="Calibri" w:hAnsi="Calibri" w:cs="Calibri"/>
          <w:b/>
          <w:bCs/>
          <w:sz w:val="28"/>
          <w:szCs w:val="28"/>
        </w:rPr>
      </w:pPr>
      <w:r w:rsidRPr="00BF2C37">
        <w:rPr>
          <w:rFonts w:ascii="Calibri" w:hAnsi="Calibri" w:cs="Calibri"/>
          <w:b/>
          <w:bCs/>
          <w:sz w:val="28"/>
          <w:szCs w:val="28"/>
        </w:rPr>
        <w:t>Increase the BiK rates for petrol, diesel and hybrid vehicles.</w:t>
      </w:r>
    </w:p>
    <w:p w:rsidR="00BF2C37" w:rsidRP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 xml:space="preserve">b. How robust is the current rate of EV take-up relative to the </w:t>
      </w:r>
      <w:r w:rsidRPr="00BF2C37">
        <w:rPr>
          <w:rFonts w:ascii="Calibri" w:hAnsi="Calibri" w:cs="Calibri"/>
          <w:b/>
          <w:bCs/>
          <w:sz w:val="28"/>
          <w:szCs w:val="28"/>
        </w:rPr>
        <w:t>Government’s targets?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While </w:t>
      </w:r>
      <w:r w:rsidRPr="00BF2C37">
        <w:rPr>
          <w:rFonts w:ascii="Calibri" w:hAnsi="Calibri" w:cs="Calibri"/>
          <w:sz w:val="28"/>
          <w:szCs w:val="28"/>
        </w:rPr>
        <w:t>The</w:t>
      </w:r>
      <w:r w:rsidRPr="00BF2C37">
        <w:rPr>
          <w:rFonts w:ascii="Calibri" w:hAnsi="Calibri" w:cs="Calibri"/>
          <w:sz w:val="28"/>
          <w:szCs w:val="28"/>
        </w:rPr>
        <w:t xml:space="preserve"> current rate of EV adoption in the UK is ostensibly on track with the initial phase of the ZEV Mandate, the trajectory required to reach the 80% target by 2030 is facing significant headwinds.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There are two critical risks - taxation shifts and consumer confusion – that threaten to stall the momentum built over the last five years.</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Key Risk 1: Erosion of Salary Sacrifice Effectiveness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Salary Sacrifice has been the single most effective driver of EV adoption, but its potency is being diluted by scheduled increases in Benefit-in-Kind (BiK) rates.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BiK rates increased from 0% in 2021, are now 4%, and are slated to continue rising annually, reaching 9% by 2029. This is reducing the effectiveness of salary sacrifice by roughly 50% for a typical working family.</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Key Risk 2: Consumer Confusion and Policy Inconsistency</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Public confidence is being undermined by what many perceived as "mixed messages" regarding long-term tax and regulatory stability.</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Tax Flux:</w:t>
      </w:r>
      <w:r w:rsidRPr="00BF2C37">
        <w:rPr>
          <w:rFonts w:ascii="Calibri" w:hAnsi="Calibri" w:cs="Calibri"/>
          <w:sz w:val="28"/>
          <w:szCs w:val="28"/>
        </w:rPr>
        <w:t xml:space="preserve"> The introduction of the pay-per-mile road tax (scheduled for 2028) and the removal of various EV exemptions (such as the London Congestion Charge discount removed at the start of 2026) have created a perception that the government is not serious about EVs / Net Zero, and there is therefore no need to engage with the transition.</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Strategic Uncertainty:</w:t>
      </w:r>
      <w:r w:rsidRPr="00BF2C37">
        <w:rPr>
          <w:rFonts w:ascii="Calibri" w:hAnsi="Calibri" w:cs="Calibri"/>
          <w:sz w:val="28"/>
          <w:szCs w:val="28"/>
        </w:rPr>
        <w:t xml:space="preserve"> Shifts in the phase-out date (moving from 2030 to 2035 and back to a hybrid 2030 focus) have left consumers uncertain about the future residual value of both ICE and electric vehicles.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According to recent AA EV Readiness Index reports, this "climate of hesitation" is a primary reason for buyers delaying their next purchase.</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Impact on industry</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uncertainty around tax policy</w:t>
      </w:r>
      <w:r w:rsidRPr="00BF2C37">
        <w:rPr>
          <w:rFonts w:ascii="Calibri" w:hAnsi="Calibri" w:cs="Calibri"/>
          <w:sz w:val="28"/>
          <w:szCs w:val="28"/>
        </w:rPr>
        <w:t xml:space="preserve"> has been detrimental to the development of industry and supply chains.</w:t>
      </w:r>
      <w:r w:rsidRPr="00BF2C37">
        <w:rPr>
          <w:rFonts w:ascii="Calibri" w:hAnsi="Calibri" w:cs="Calibri"/>
          <w:sz w:val="28"/>
          <w:szCs w:val="28"/>
        </w:rPr>
        <w:t xml:space="preserve"> We should be using the EV transition as a massive opportunity to build competitive advantage vs the European and US markets – and we are at risk of missing the boat.</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Consistent policy, consistent communication, and a long-term steadfast approach to delivering on the ZEV mandate is what we need. That means:</w:t>
      </w:r>
    </w:p>
    <w:p w:rsidR="00BF2C37" w:rsidRPr="00BF2C37" w:rsidP="00BF2C37">
      <w:pPr>
        <w:pStyle w:val="ListParagraph"/>
        <w:numPr>
          <w:ilvl w:val="0"/>
          <w:numId w:val="2"/>
        </w:numPr>
        <w:spacing w:line="240" w:lineRule="auto"/>
        <w:rPr>
          <w:rFonts w:ascii="Calibri" w:hAnsi="Calibri" w:cs="Calibri"/>
          <w:sz w:val="28"/>
          <w:szCs w:val="28"/>
        </w:rPr>
      </w:pPr>
      <w:r w:rsidRPr="00BF2C37">
        <w:rPr>
          <w:rFonts w:ascii="Calibri" w:hAnsi="Calibri" w:cs="Calibri"/>
          <w:sz w:val="28"/>
          <w:szCs w:val="28"/>
        </w:rPr>
        <w:t>No “new news” on new tax policies introduced (for example the eVED proposals)</w:t>
      </w:r>
    </w:p>
    <w:p w:rsidR="00BF2C37" w:rsidRPr="00BF2C37" w:rsidP="00BF2C37">
      <w:pPr>
        <w:pStyle w:val="ListParagraph"/>
        <w:numPr>
          <w:ilvl w:val="0"/>
          <w:numId w:val="2"/>
        </w:numPr>
        <w:spacing w:line="240" w:lineRule="auto"/>
        <w:rPr>
          <w:rFonts w:ascii="Calibri" w:hAnsi="Calibri" w:cs="Calibri"/>
          <w:b/>
          <w:bCs/>
          <w:sz w:val="28"/>
          <w:szCs w:val="28"/>
        </w:rPr>
      </w:pPr>
      <w:r w:rsidRPr="00BF2C37">
        <w:rPr>
          <w:rFonts w:ascii="Calibri" w:hAnsi="Calibri" w:cs="Calibri"/>
          <w:sz w:val="28"/>
          <w:szCs w:val="28"/>
        </w:rPr>
        <w:t>Providing clarity until 2035 on low BiK rates (below 5%) for 100% electric cars.</w:t>
      </w: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 xml:space="preserve">c. How effective are </w:t>
      </w:r>
      <w:r w:rsidRPr="00BF2C37">
        <w:rPr>
          <w:rFonts w:ascii="Calibri" w:hAnsi="Calibri" w:cs="Calibri"/>
          <w:b/>
          <w:bCs/>
          <w:sz w:val="28"/>
          <w:szCs w:val="28"/>
        </w:rPr>
        <w:t>existing incentives (such as the Electric Car Grant) in influencing EV take-up, and to what extent might further or different forms of support be required?</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The current Electric Car Grant (ECG, </w:t>
      </w:r>
      <w:r w:rsidRPr="00BF2C37">
        <w:rPr>
          <w:rFonts w:ascii="Calibri" w:hAnsi="Calibri" w:cs="Calibri"/>
          <w:sz w:val="28"/>
          <w:szCs w:val="28"/>
        </w:rPr>
        <w:t>providing up to £3,750 for vehicles under £37,000) unfortunately primarily serves as a supply-side stimulus rather than a consumer-focused solution.</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Manufacturer &amp; Dealer Capture:</w:t>
      </w:r>
      <w:r w:rsidRPr="00BF2C37">
        <w:rPr>
          <w:rFonts w:ascii="Calibri" w:hAnsi="Calibri" w:cs="Calibri"/>
          <w:sz w:val="28"/>
          <w:szCs w:val="28"/>
        </w:rPr>
        <w:t xml:space="preserve"> Evidence suggests that manufacturers and dealerships often absorb the grant's value through price adjustments or by reducing other retail discounts – </w:t>
      </w:r>
      <w:r w:rsidRPr="00BF2C37">
        <w:rPr>
          <w:rFonts w:ascii="Calibri" w:hAnsi="Calibri" w:cs="Calibri"/>
          <w:sz w:val="28"/>
          <w:szCs w:val="28"/>
        </w:rPr>
        <w:t>in particular when</w:t>
      </w:r>
      <w:r w:rsidRPr="00BF2C37">
        <w:rPr>
          <w:rFonts w:ascii="Calibri" w:hAnsi="Calibri" w:cs="Calibri"/>
          <w:sz w:val="28"/>
          <w:szCs w:val="28"/>
        </w:rPr>
        <w:t xml:space="preserve"> cars are financed (which 90% of new cars are!).</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According to consumer advocates at The Car Expert, such grants frequently do more to help carmakers meet their ZEV Mandate quotas than they do to reduce the real-world cost for "ordinary drivers."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Finance Barrier:</w:t>
      </w:r>
      <w:r w:rsidRPr="00BF2C37">
        <w:rPr>
          <w:rFonts w:ascii="Calibri" w:hAnsi="Calibri" w:cs="Calibri"/>
          <w:sz w:val="28"/>
          <w:szCs w:val="28"/>
        </w:rPr>
        <w:t xml:space="preserve"> For </w:t>
      </w:r>
      <w:r w:rsidRPr="00BF2C37">
        <w:rPr>
          <w:rFonts w:ascii="Calibri" w:hAnsi="Calibri" w:cs="Calibri"/>
          <w:sz w:val="28"/>
          <w:szCs w:val="28"/>
        </w:rPr>
        <w:t>the majority of</w:t>
      </w:r>
      <w:r w:rsidRPr="00BF2C37">
        <w:rPr>
          <w:rFonts w:ascii="Calibri" w:hAnsi="Calibri" w:cs="Calibri"/>
          <w:sz w:val="28"/>
          <w:szCs w:val="28"/>
        </w:rPr>
        <w:t xml:space="preserve"> UK consumers who acquire vehicles through Personal Contract Purchase (PCP) or Hire Purchase (HP), the grant's impact on monthly payments is often negligible. Because the grant is applied to the list price at the point of manufacture, it is rarely passed through in full to the consumer's finance deal, leaving "cash-rich" buyers as the primary beneficiaries.</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Salary sacrifice has proven to be the most effective mechanism for transitioning "working families" into electric mobility</w:t>
      </w:r>
      <w:r w:rsidRPr="00BF2C37">
        <w:rPr>
          <w:rFonts w:ascii="Calibri" w:hAnsi="Calibri" w:cs="Calibri"/>
          <w:sz w:val="28"/>
          <w:szCs w:val="28"/>
        </w:rPr>
        <w:t>.</w:t>
      </w:r>
      <w:r w:rsidRPr="00BF2C37">
        <w:rPr>
          <w:rFonts w:ascii="Calibri" w:hAnsi="Calibri" w:cs="Calibri"/>
          <w:b/>
          <w:bCs/>
          <w:sz w:val="28"/>
          <w:szCs w:val="28"/>
        </w:rPr>
        <w:t xml:space="preserve"> </w:t>
      </w:r>
      <w:r w:rsidRPr="00BF2C37">
        <w:rPr>
          <w:rFonts w:ascii="Calibri" w:hAnsi="Calibri" w:cs="Calibri"/>
          <w:sz w:val="28"/>
          <w:szCs w:val="28"/>
        </w:rPr>
        <w:t xml:space="preserve">Unlike direct grants, </w:t>
      </w:r>
      <w:r w:rsidRPr="00BF2C37">
        <w:rPr>
          <w:rFonts w:ascii="Calibri" w:hAnsi="Calibri" w:cs="Calibri"/>
          <w:sz w:val="28"/>
          <w:szCs w:val="28"/>
        </w:rPr>
        <w:t>salary sacrifice is targeted only at working families, and p</w:t>
      </w:r>
      <w:r w:rsidRPr="00BF2C37">
        <w:rPr>
          <w:rFonts w:ascii="Calibri" w:hAnsi="Calibri" w:cs="Calibri"/>
          <w:sz w:val="28"/>
          <w:szCs w:val="28"/>
        </w:rPr>
        <w:t>articularly basic-rate taxpayers</w:t>
      </w:r>
      <w:r w:rsidRPr="00BF2C37">
        <w:rPr>
          <w:rFonts w:ascii="Calibri" w:hAnsi="Calibri" w:cs="Calibri"/>
          <w:sz w:val="28"/>
          <w:szCs w:val="28"/>
        </w:rPr>
        <w:t>.</w:t>
      </w: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d. What are the likely implications of the introduction of Electric Vehicle Excise Duty (eVED) for the wider EV transition, and what factors should guide the Government’s approach to its implementation? What has been the effect of the introduction of VED on zero-emission cars since April 2025?</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introduction of Electric Vehicle Excise Duty (eVED</w:t>
      </w:r>
      <w:r w:rsidRPr="00BF2C37">
        <w:rPr>
          <w:rFonts w:ascii="Calibri" w:hAnsi="Calibri" w:cs="Calibri"/>
          <w:sz w:val="28"/>
          <w:szCs w:val="28"/>
        </w:rPr>
        <w:t xml:space="preserve">) </w:t>
      </w:r>
      <w:r w:rsidRPr="00BF2C37">
        <w:rPr>
          <w:rFonts w:ascii="Calibri" w:hAnsi="Calibri" w:cs="Calibri"/>
          <w:sz w:val="28"/>
          <w:szCs w:val="28"/>
        </w:rPr>
        <w:t>"pay-per-mile" model announced for 2028</w:t>
      </w:r>
      <w:r w:rsidRPr="00BF2C37">
        <w:rPr>
          <w:rFonts w:ascii="Calibri" w:hAnsi="Calibri" w:cs="Calibri"/>
          <w:sz w:val="28"/>
          <w:szCs w:val="28"/>
        </w:rPr>
        <w:t xml:space="preserve"> </w:t>
      </w:r>
      <w:r w:rsidRPr="00BF2C37">
        <w:rPr>
          <w:rFonts w:ascii="Calibri" w:hAnsi="Calibri" w:cs="Calibri"/>
          <w:sz w:val="28"/>
          <w:szCs w:val="28"/>
        </w:rPr>
        <w:t xml:space="preserve">presents a significant contradiction to the UK's net-zero objectives.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While the fiscal logic is intended to replace declining fuel duty revenues, the current design is regionally inequitable, economically regressive, and operationally flawed, specifically regarding the leasing market and self-reporting mechanisms.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It is also unclear to us that it’s the right approach – as fuel duty was raised in part to cover the costs to the NHS of air pollution from petrol and diesel cars, and this cost is non existent for EVs.</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1. Policy Inconsistency</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The eVED effectively removes the final "running cost" advantage of zero-emission vehicles. By taxing usage at 3p per mile, the government is creating a financial headwind just as the market enters the critical "mass adoption" phase.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Office for Budget Responsibility (OBR) has already estimated that this shift could lead to 440,000 fewer EV registrations by 2030, directly undermining the ZEV Mandate targets.</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2. Regional Inequality: The North-South Divide</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tax structure disproportionately penalises drivers in the North of England, Scotland, and rural Wales.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Mileage Dependency: </w:t>
      </w:r>
      <w:r w:rsidRPr="00BF2C37">
        <w:rPr>
          <w:rFonts w:ascii="Calibri" w:hAnsi="Calibri" w:cs="Calibri"/>
          <w:sz w:val="28"/>
          <w:szCs w:val="28"/>
        </w:rPr>
        <w:t xml:space="preserve">Rural drivers have no choice but to cover longer distances due to sparser public transport. A driver in the </w:t>
      </w:r>
      <w:r w:rsidRPr="00BF2C37">
        <w:rPr>
          <w:rFonts w:ascii="Calibri" w:hAnsi="Calibri" w:cs="Calibri"/>
          <w:sz w:val="28"/>
          <w:szCs w:val="28"/>
        </w:rPr>
        <w:t>North West</w:t>
      </w:r>
      <w:r w:rsidRPr="00BF2C37">
        <w:rPr>
          <w:rFonts w:ascii="Calibri" w:hAnsi="Calibri" w:cs="Calibri"/>
          <w:sz w:val="28"/>
          <w:szCs w:val="28"/>
        </w:rPr>
        <w:t xml:space="preserve"> is twice as likely to depend on their car for commuting than a driver in London (64% vs 31%), and drives more than 50% more.</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Geographic Subsidy: </w:t>
      </w:r>
      <w:r w:rsidRPr="00BF2C37">
        <w:rPr>
          <w:rFonts w:ascii="Calibri" w:hAnsi="Calibri" w:cs="Calibri"/>
          <w:sz w:val="28"/>
          <w:szCs w:val="28"/>
        </w:rPr>
        <w:t xml:space="preserve">Consequently, the policy acts as a "rural tax" that subsidises better-connected urban centres in the </w:t>
      </w:r>
      <w:r w:rsidRPr="00BF2C37">
        <w:rPr>
          <w:rFonts w:ascii="Calibri" w:hAnsi="Calibri" w:cs="Calibri"/>
          <w:sz w:val="28"/>
          <w:szCs w:val="28"/>
        </w:rPr>
        <w:t>South East</w:t>
      </w:r>
      <w:r w:rsidRPr="00BF2C37">
        <w:rPr>
          <w:rFonts w:ascii="Calibri" w:hAnsi="Calibri" w:cs="Calibri"/>
          <w:sz w:val="28"/>
          <w:szCs w:val="28"/>
        </w:rPr>
        <w:t>, where high-density charging and public transport make EV adoption easier, but mileage naturally lower.</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3. Regressive Nature and Efficiency Penalties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eVED is fundamentally regressive as it ignores vehicle efficiency.</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"Efficiency Tax": Under the current proposal, a lightweight, highly efficient EV pays the same 3p per mile as a heavy, less efficient electric SUV.</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Comparison to ICE: </w:t>
      </w:r>
      <w:r w:rsidRPr="00BF2C37">
        <w:rPr>
          <w:rFonts w:ascii="Calibri" w:hAnsi="Calibri" w:cs="Calibri"/>
          <w:sz w:val="28"/>
          <w:szCs w:val="28"/>
        </w:rPr>
        <w:t>In the petrol market, fuel duty acts as a "pollution tax"—the less efficient the car, the more tax you pay at the pump. eVED removes this incentive for manufacturers to improve battery efficiency and weight, as there is no financial reward for the driver to choose a more "frugal" electric model.</w:t>
      </w: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4. Practical Failure: Leasing and MOT "Gaps"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implementation plan relies on MOT-based mileage verification, which creates a massive loophole for the modern UK car market.</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The MOT Blindspot:</w:t>
      </w:r>
      <w:r w:rsidRPr="00BF2C37">
        <w:rPr>
          <w:rFonts w:ascii="Calibri" w:hAnsi="Calibri" w:cs="Calibri"/>
          <w:sz w:val="28"/>
          <w:szCs w:val="28"/>
        </w:rPr>
        <w:t xml:space="preserve"> New cars do not require an MOT until they are three years old. This means that for the majority of EVs on the road (which are frequently swapped for new models at the 3-year mark) there is no government-verified record of mileage.</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Leasing Dominance: </w:t>
      </w:r>
      <w:r w:rsidRPr="00BF2C37">
        <w:rPr>
          <w:rFonts w:ascii="Calibri" w:hAnsi="Calibri" w:cs="Calibri"/>
          <w:sz w:val="28"/>
          <w:szCs w:val="28"/>
        </w:rPr>
        <w:t xml:space="preserve">Over 90% of new private EV registrations are now financed via leasing or PCP. </w:t>
      </w:r>
      <w:r w:rsidRPr="00BF2C37">
        <w:rPr>
          <w:rFonts w:ascii="Calibri" w:hAnsi="Calibri" w:cs="Calibri"/>
          <w:sz w:val="28"/>
          <w:szCs w:val="28"/>
        </w:rPr>
        <w:t>These contracts typically last 3-5 years. The tax will be paid by the owners (the lease companies), with the drivers responsible for recording mileage. This will not work in practice…</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Compliance Risk:</w:t>
      </w:r>
      <w:r w:rsidRPr="00BF2C37">
        <w:rPr>
          <w:rFonts w:ascii="Calibri" w:hAnsi="Calibri" w:cs="Calibri"/>
          <w:sz w:val="28"/>
          <w:szCs w:val="28"/>
        </w:rPr>
        <w:t xml:space="preserve"> A self-reporting system without verifiable data for the first three years of a vehicle's life is highly susceptible to fraud and error, likely leading to a collapse in projected tax revenue or unfair enforcement.</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A Call for COMPLETE Reform</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To avoid failure, eVED should not be an "EV-only" experiment. For the policy to be robust, it must be:</w:t>
      </w:r>
    </w:p>
    <w:p w:rsidR="00BF2C37" w:rsidRPr="00BF2C37" w:rsidP="00BF2C37">
      <w:pPr>
        <w:pStyle w:val="ListParagraph"/>
        <w:numPr>
          <w:ilvl w:val="0"/>
          <w:numId w:val="3"/>
        </w:numPr>
        <w:spacing w:line="240" w:lineRule="auto"/>
        <w:rPr>
          <w:rFonts w:ascii="Calibri" w:hAnsi="Calibri" w:cs="Calibri"/>
          <w:sz w:val="28"/>
          <w:szCs w:val="28"/>
        </w:rPr>
      </w:pPr>
      <w:r w:rsidRPr="00BF2C37">
        <w:rPr>
          <w:rFonts w:ascii="Calibri" w:hAnsi="Calibri" w:cs="Calibri"/>
          <w:b/>
          <w:bCs/>
          <w:sz w:val="28"/>
          <w:szCs w:val="28"/>
        </w:rPr>
        <w:t xml:space="preserve">Universal: </w:t>
      </w:r>
      <w:r w:rsidRPr="00BF2C37">
        <w:rPr>
          <w:rFonts w:ascii="Calibri" w:hAnsi="Calibri" w:cs="Calibri"/>
          <w:sz w:val="28"/>
          <w:szCs w:val="28"/>
        </w:rPr>
        <w:t>Applied to all cars (ICE and EV) simultaneously to maintain a relative price gap.</w:t>
      </w:r>
    </w:p>
    <w:p w:rsidR="00BF2C37" w:rsidRPr="00BF2C37" w:rsidP="00BF2C37">
      <w:pPr>
        <w:pStyle w:val="ListParagraph"/>
        <w:numPr>
          <w:ilvl w:val="0"/>
          <w:numId w:val="3"/>
        </w:numPr>
        <w:spacing w:line="240" w:lineRule="auto"/>
        <w:rPr>
          <w:rFonts w:ascii="Calibri" w:hAnsi="Calibri" w:cs="Calibri"/>
          <w:sz w:val="28"/>
          <w:szCs w:val="28"/>
        </w:rPr>
      </w:pPr>
      <w:r w:rsidRPr="00BF2C37">
        <w:rPr>
          <w:rFonts w:ascii="Calibri" w:hAnsi="Calibri" w:cs="Calibri"/>
          <w:b/>
          <w:bCs/>
          <w:sz w:val="28"/>
          <w:szCs w:val="28"/>
        </w:rPr>
        <w:t xml:space="preserve">Efficiency-Linked: </w:t>
      </w:r>
      <w:r w:rsidRPr="00BF2C37">
        <w:rPr>
          <w:rFonts w:ascii="Calibri" w:hAnsi="Calibri" w:cs="Calibri"/>
          <w:sz w:val="28"/>
          <w:szCs w:val="28"/>
        </w:rPr>
        <w:t>Weighted by carbon emissions, or alternatively vehicle efficiency or weight to prevent it from being regressive.</w:t>
      </w:r>
    </w:p>
    <w:p w:rsidR="00BF2C37" w:rsidRPr="00BF2C37" w:rsidP="00BF2C37">
      <w:pPr>
        <w:pStyle w:val="ListParagraph"/>
        <w:numPr>
          <w:ilvl w:val="0"/>
          <w:numId w:val="3"/>
        </w:numPr>
        <w:spacing w:line="240" w:lineRule="auto"/>
        <w:rPr>
          <w:rFonts w:ascii="Calibri" w:hAnsi="Calibri" w:cs="Calibri"/>
          <w:sz w:val="28"/>
          <w:szCs w:val="28"/>
        </w:rPr>
      </w:pPr>
      <w:r w:rsidRPr="00BF2C37">
        <w:rPr>
          <w:rFonts w:ascii="Calibri" w:hAnsi="Calibri" w:cs="Calibri"/>
          <w:b/>
          <w:bCs/>
          <w:sz w:val="28"/>
          <w:szCs w:val="28"/>
        </w:rPr>
        <w:t xml:space="preserve">Technologically Verifiable: </w:t>
      </w:r>
      <w:r w:rsidRPr="00BF2C37">
        <w:rPr>
          <w:rFonts w:ascii="Calibri" w:hAnsi="Calibri" w:cs="Calibri"/>
          <w:sz w:val="28"/>
          <w:szCs w:val="28"/>
        </w:rPr>
        <w:t>Moved away from "self-reporting" and MOT checks toward a unified digital solution that accounts for the 3-year MOT grace period.</w:t>
      </w:r>
    </w:p>
    <w:p w:rsidR="00BF2C37" w:rsidRPr="00BF2C37" w:rsidP="00BF2C37">
      <w:pPr>
        <w:spacing w:line="240" w:lineRule="auto"/>
        <w:rPr>
          <w:rFonts w:ascii="Calibri" w:hAnsi="Calibri" w:cs="Calibri"/>
          <w:b/>
          <w:bCs/>
          <w:sz w:val="28"/>
          <w:szCs w:val="28"/>
        </w:rPr>
      </w:pPr>
    </w:p>
    <w:p w:rsidR="00BF2C37" w:rsidP="00BF2C37">
      <w:pPr>
        <w:spacing w:line="240" w:lineRule="auto"/>
        <w:rPr>
          <w:rFonts w:ascii="Calibri" w:hAnsi="Calibri" w:cs="Calibri"/>
          <w:b/>
          <w:bCs/>
          <w:sz w:val="28"/>
          <w:szCs w:val="28"/>
        </w:rPr>
      </w:pPr>
      <w:r w:rsidRPr="00BF2C37">
        <w:rPr>
          <w:rFonts w:ascii="Calibri" w:hAnsi="Calibri" w:cs="Calibri"/>
          <w:b/>
          <w:bCs/>
          <w:sz w:val="28"/>
          <w:szCs w:val="28"/>
        </w:rPr>
        <w:t>If this is not achievable – it should be scrapped altogether.</w:t>
      </w:r>
    </w:p>
    <w:p w:rsidR="00BF2C37" w:rsidRP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e. How should the Government support further development of the second-hand EV market?</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second-hand electric vehicle (EV) market is currently showing signs of maturing into a healthy, self-sustaining ecosystem.</w:t>
      </w:r>
    </w:p>
    <w:p w:rsidR="00BF2C37" w:rsidRPr="00BF2C37" w:rsidP="00BF2C37">
      <w:pPr>
        <w:spacing w:line="240" w:lineRule="auto"/>
        <w:rPr>
          <w:rFonts w:ascii="Calibri" w:hAnsi="Calibri" w:cs="Calibri"/>
          <w:b/>
          <w:bCs/>
          <w:sz w:val="28"/>
          <w:szCs w:val="28"/>
        </w:rPr>
      </w:pPr>
      <w:r w:rsidRPr="00BF2C37">
        <w:rPr>
          <w:rFonts w:ascii="Calibri" w:hAnsi="Calibri" w:cs="Calibri"/>
          <w:sz w:val="28"/>
          <w:szCs w:val="28"/>
        </w:rPr>
        <w:t xml:space="preserve">Industry data indicates that used EVs are now among the fastest-selling vehicles in the UK. Beyond the essential standardisation of battery testing and </w:t>
      </w:r>
      <w:r w:rsidRPr="00BF2C37">
        <w:rPr>
          <w:rFonts w:ascii="Calibri" w:hAnsi="Calibri" w:cs="Calibri"/>
          <w:sz w:val="28"/>
          <w:szCs w:val="28"/>
        </w:rPr>
        <w:t xml:space="preserve">health certification, </w:t>
      </w:r>
      <w:r w:rsidRPr="00BF2C37">
        <w:rPr>
          <w:rFonts w:ascii="Calibri" w:hAnsi="Calibri" w:cs="Calibri"/>
          <w:b/>
          <w:bCs/>
          <w:sz w:val="28"/>
          <w:szCs w:val="28"/>
        </w:rPr>
        <w:t>the market does not require further direct government intervention or subsidies at this stage.</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1. Market Health and Evidence</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Recent performance data suggests the second-hand EV market has overcome its initial volatility and is now robust.</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Fastest Selling Fuel Type: </w:t>
      </w:r>
      <w:r w:rsidRPr="00BF2C37">
        <w:rPr>
          <w:rFonts w:ascii="Calibri" w:hAnsi="Calibri" w:cs="Calibri"/>
          <w:sz w:val="28"/>
          <w:szCs w:val="28"/>
        </w:rPr>
        <w:t>According to AutoTrader’s January 2026 market report, used EVs are now outperforming internal combustion engine (ICE) vehicles in "days to sell." In late 2025, used EVs took an average of only 30 days to sell, compared to 35 days for petrol counterparts.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Surge in Transactions:</w:t>
      </w:r>
      <w:r w:rsidRPr="00BF2C37">
        <w:rPr>
          <w:rFonts w:ascii="Calibri" w:hAnsi="Calibri" w:cs="Calibri"/>
          <w:sz w:val="28"/>
          <w:szCs w:val="28"/>
        </w:rPr>
        <w:t xml:space="preserve"> Used EV sales increased by approximately 52% in 2025. This growth is driven by </w:t>
      </w:r>
      <w:r w:rsidRPr="00BF2C37">
        <w:rPr>
          <w:rFonts w:ascii="Calibri" w:hAnsi="Calibri" w:cs="Calibri"/>
          <w:sz w:val="28"/>
          <w:szCs w:val="28"/>
        </w:rPr>
        <w:t>increases in supply</w:t>
      </w:r>
      <w:r w:rsidRPr="00BF2C37">
        <w:rPr>
          <w:rFonts w:ascii="Calibri" w:hAnsi="Calibri" w:cs="Calibri"/>
          <w:sz w:val="28"/>
          <w:szCs w:val="28"/>
        </w:rPr>
        <w:t>, which has brought 3-year-old electric cars to price parity with petrol equivalents, making them accessible to a much broader demographic.</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Consumer Demand:</w:t>
      </w:r>
      <w:r w:rsidRPr="00BF2C37">
        <w:rPr>
          <w:rFonts w:ascii="Calibri" w:hAnsi="Calibri" w:cs="Calibri"/>
          <w:sz w:val="28"/>
          <w:szCs w:val="28"/>
        </w:rPr>
        <w:t xml:space="preserve"> AutoTrader reports that nearly one in seven used car enquiries for vehicles under five years old is now for an EV, representing a record high in consumer engagement.</w:t>
      </w:r>
    </w:p>
    <w:p w:rsidR="00BF2C37" w:rsidRP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2. Requirement for Battery Standardisation</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The primary barrier remaining for the minority of "hesitant" used buyers is "battery anxiety." To address this, the government should shift focus from financial incentives to transparency and trust.</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Mandatory Certification: </w:t>
      </w:r>
      <w:r w:rsidRPr="00BF2C37">
        <w:rPr>
          <w:rFonts w:ascii="Calibri" w:hAnsi="Calibri" w:cs="Calibri"/>
          <w:sz w:val="28"/>
          <w:szCs w:val="28"/>
        </w:rPr>
        <w:t>We recommend that the Government mandates a standardised Battery State of Health (SoH) certificate for all second-hand EV sales.</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The </w:t>
      </w:r>
      <w:r w:rsidRPr="00BF2C37">
        <w:rPr>
          <w:rFonts w:ascii="Calibri" w:hAnsi="Calibri" w:cs="Calibri"/>
          <w:b/>
          <w:bCs/>
          <w:sz w:val="28"/>
          <w:szCs w:val="28"/>
        </w:rPr>
        <w:t>ClearWatt Model:</w:t>
      </w:r>
      <w:r w:rsidRPr="00BF2C37">
        <w:rPr>
          <w:rFonts w:ascii="Calibri" w:hAnsi="Calibri" w:cs="Calibri"/>
          <w:sz w:val="28"/>
          <w:szCs w:val="28"/>
        </w:rPr>
        <w:t xml:space="preserve"> Tools like ClearWatt (or similar independent diagnostics such as Altelium or AVILOO) provide a verified, mobile-friendly "health check" that confirms the remaining capacity of the battery.</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Evidence of Impact:</w:t>
      </w:r>
      <w:r w:rsidRPr="00BF2C37">
        <w:rPr>
          <w:rFonts w:ascii="Calibri" w:hAnsi="Calibri" w:cs="Calibri"/>
          <w:sz w:val="28"/>
          <w:szCs w:val="28"/>
        </w:rPr>
        <w:t xml:space="preserve"> Industry research indicates that buyers are willing to pay a premium (between €500–€1,100) for a used EV that includes a certified battery health report.</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Regulatory Alignment:</w:t>
      </w:r>
      <w:r w:rsidRPr="00BF2C37">
        <w:rPr>
          <w:rFonts w:ascii="Calibri" w:hAnsi="Calibri" w:cs="Calibri"/>
          <w:sz w:val="28"/>
          <w:szCs w:val="28"/>
        </w:rPr>
        <w:t xml:space="preserve"> Mandating such a check would align with the UK’s commitment to the UN Global Technical Regulation (GTR 22), ensuring that </w:t>
      </w:r>
      <w:r w:rsidRPr="00BF2C37">
        <w:rPr>
          <w:rFonts w:ascii="Calibri" w:hAnsi="Calibri" w:cs="Calibri"/>
          <w:sz w:val="28"/>
          <w:szCs w:val="28"/>
        </w:rPr>
        <w:t>"dud" batteries are filtered out of the remarketing cycle and consumer confidence is protected.</w:t>
      </w:r>
    </w:p>
    <w:p w:rsidR="00BF2C37" w:rsidRPr="00BF2C37" w:rsidP="00BF2C37">
      <w:pPr>
        <w:spacing w:line="240" w:lineRule="auto"/>
        <w:rPr>
          <w:rFonts w:ascii="Calibri" w:hAnsi="Calibri" w:cs="Calibri"/>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3. Conclusion: No Further Intervention Required</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Aside from standardising battery data, the market is successfully delivering on the </w:t>
      </w:r>
      <w:r w:rsidRPr="00BF2C37">
        <w:rPr>
          <w:rFonts w:ascii="Calibri" w:hAnsi="Calibri" w:cs="Calibri"/>
          <w:sz w:val="28"/>
          <w:szCs w:val="28"/>
        </w:rPr>
        <w:t>transition.</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 xml:space="preserve">Price Parity: </w:t>
      </w:r>
      <w:r w:rsidRPr="00BF2C37">
        <w:rPr>
          <w:rFonts w:ascii="Calibri" w:hAnsi="Calibri" w:cs="Calibri"/>
          <w:sz w:val="28"/>
          <w:szCs w:val="28"/>
        </w:rPr>
        <w:t>Market forces have already driven used EV prices down to levels that are attractive to the mass market without the need for a "Used Car Grant."</w:t>
      </w:r>
    </w:p>
    <w:p w:rsidR="00BF2C37" w:rsidRPr="00BF2C37" w:rsidP="00BF2C37">
      <w:pPr>
        <w:spacing w:line="240" w:lineRule="auto"/>
        <w:rPr>
          <w:rFonts w:ascii="Calibri" w:hAnsi="Calibri" w:cs="Calibri"/>
          <w:sz w:val="28"/>
          <w:szCs w:val="28"/>
        </w:rPr>
      </w:pPr>
      <w:r w:rsidRPr="00BF2C37">
        <w:rPr>
          <w:rFonts w:ascii="Calibri" w:hAnsi="Calibri" w:cs="Calibri"/>
          <w:b/>
          <w:bCs/>
          <w:sz w:val="28"/>
          <w:szCs w:val="28"/>
        </w:rPr>
        <w:t>Organic Growth:</w:t>
      </w:r>
      <w:r w:rsidRPr="00BF2C37">
        <w:rPr>
          <w:rFonts w:ascii="Calibri" w:hAnsi="Calibri" w:cs="Calibri"/>
          <w:sz w:val="28"/>
          <w:szCs w:val="28"/>
        </w:rPr>
        <w:t xml:space="preserve"> With a record number of vehicles (approx. 1.8 million) now on the road, the "supply funnel" from 3-year lease returns is providing sufficient stock to meet growing demand. </w:t>
      </w:r>
    </w:p>
    <w:p w:rsidR="00BF2C37" w:rsidRPr="00BF2C37" w:rsidP="00BF2C37">
      <w:pPr>
        <w:spacing w:line="240" w:lineRule="auto"/>
        <w:rPr>
          <w:rFonts w:ascii="Calibri" w:hAnsi="Calibri" w:cs="Calibri"/>
          <w:b/>
          <w:bCs/>
          <w:sz w:val="28"/>
          <w:szCs w:val="28"/>
        </w:rPr>
      </w:pPr>
    </w:p>
    <w:p w:rsidR="00BF2C37" w:rsidP="00BF2C37">
      <w:pPr>
        <w:spacing w:line="240" w:lineRule="auto"/>
        <w:rPr>
          <w:rFonts w:ascii="Calibri" w:hAnsi="Calibri" w:cs="Calibri"/>
          <w:b/>
          <w:bCs/>
          <w:sz w:val="28"/>
          <w:szCs w:val="28"/>
        </w:rPr>
      </w:pPr>
      <w:r w:rsidRPr="00BF2C37">
        <w:rPr>
          <w:rFonts w:ascii="Calibri" w:hAnsi="Calibri" w:cs="Calibri"/>
          <w:b/>
          <w:bCs/>
          <w:sz w:val="28"/>
          <w:szCs w:val="28"/>
        </w:rPr>
        <w:t>Further intervention risks distorting these natural price signals and creating unnecessary fiscal drag.</w:t>
      </w:r>
    </w:p>
    <w:p w:rsidR="00BF2C37" w:rsidRP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f. What are the most significant factors affecting consumer confidence in EVs, including purchase and running costs, chargepoint availability, concerns about battery longevity, safety and fire risk, and what are the best steps Government and the sector could take to address them?</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While the transition to electric vehicles is progressing, consumer confidence is currently being tested by a widening "affordability gap."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Cost-of-living is the primary reason that is stopping households make greener decisions</w:t>
      </w:r>
      <w:r w:rsidRPr="00BF2C37">
        <w:rPr>
          <w:rFonts w:ascii="Calibri" w:hAnsi="Calibri" w:cs="Calibri"/>
          <w:sz w:val="28"/>
          <w:szCs w:val="28"/>
        </w:rPr>
        <w:t>.</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Based on our research of over 2,000 consumers:</w:t>
      </w:r>
    </w:p>
    <w:p w:rsidR="00BF2C37" w:rsidRPr="00BF2C37" w:rsidP="00BF2C37">
      <w:pPr>
        <w:pStyle w:val="ListParagraph"/>
        <w:numPr>
          <w:ilvl w:val="0"/>
          <w:numId w:val="4"/>
        </w:numPr>
        <w:spacing w:line="240" w:lineRule="auto"/>
        <w:rPr>
          <w:rFonts w:ascii="Calibri" w:hAnsi="Calibri" w:cs="Calibri"/>
          <w:sz w:val="28"/>
          <w:szCs w:val="28"/>
        </w:rPr>
      </w:pPr>
      <w:r w:rsidRPr="00BF2C37">
        <w:rPr>
          <w:rFonts w:ascii="Calibri" w:hAnsi="Calibri" w:cs="Calibri"/>
          <w:sz w:val="28"/>
          <w:szCs w:val="28"/>
        </w:rPr>
        <w:t>55% of Brits are less likely to make sustainable decisions due to the higher cost-of-living</w:t>
      </w:r>
    </w:p>
    <w:p w:rsidR="00BF2C37" w:rsidRPr="00BF2C37" w:rsidP="00BF2C37">
      <w:pPr>
        <w:pStyle w:val="ListParagraph"/>
        <w:numPr>
          <w:ilvl w:val="0"/>
          <w:numId w:val="4"/>
        </w:numPr>
        <w:spacing w:line="240" w:lineRule="auto"/>
        <w:rPr>
          <w:rFonts w:ascii="Calibri" w:hAnsi="Calibri" w:cs="Calibri"/>
          <w:sz w:val="28"/>
          <w:szCs w:val="28"/>
        </w:rPr>
      </w:pPr>
      <w:r w:rsidRPr="00BF2C37">
        <w:rPr>
          <w:rFonts w:ascii="Calibri" w:hAnsi="Calibri" w:cs="Calibri"/>
          <w:sz w:val="28"/>
          <w:szCs w:val="28"/>
        </w:rPr>
        <w:t>52% put off sustainable purchases due to high up-front costs</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By far and away the biggest blocker to choosing an EV is the high upfront cost, and the high monthly cost of leases compared to petrol / diesel equivalents that is here today.</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 xml:space="preserve">Despite lower running costs, the high upfront purchase price and elevated monthly lease rates compared to internal combustion engine (ICE) vehicles remain the primary deterrents for the mass market. </w:t>
      </w:r>
    </w:p>
    <w:p w:rsidR="00BF2C37" w:rsidRPr="00BF2C37" w:rsidP="00BF2C37">
      <w:pPr>
        <w:spacing w:line="240" w:lineRule="auto"/>
        <w:rPr>
          <w:rFonts w:ascii="Calibri" w:hAnsi="Calibri" w:cs="Calibri"/>
          <w:sz w:val="28"/>
          <w:szCs w:val="28"/>
        </w:rPr>
      </w:pPr>
      <w:r w:rsidRPr="00BF2C37">
        <w:rPr>
          <w:rFonts w:ascii="Calibri" w:hAnsi="Calibri" w:cs="Calibri"/>
          <w:sz w:val="28"/>
          <w:szCs w:val="28"/>
        </w:rPr>
        <w:t>To bridge this gap, consumers</w:t>
      </w:r>
      <w:r w:rsidRPr="00BF2C37">
        <w:rPr>
          <w:rFonts w:ascii="Calibri" w:hAnsi="Calibri" w:cs="Calibri"/>
          <w:sz w:val="28"/>
          <w:szCs w:val="28"/>
        </w:rPr>
        <w:t xml:space="preserve"> and industry</w:t>
      </w:r>
      <w:r w:rsidRPr="00BF2C37">
        <w:rPr>
          <w:rFonts w:ascii="Calibri" w:hAnsi="Calibri" w:cs="Calibri"/>
          <w:sz w:val="28"/>
          <w:szCs w:val="28"/>
        </w:rPr>
        <w:t xml:space="preserve"> are increasingly looking for long-term government stability in fiscal incentives, specifically the Salary Sacrifice framework</w:t>
      </w:r>
      <w:r w:rsidRPr="00BF2C37">
        <w:rPr>
          <w:rFonts w:ascii="Calibri" w:hAnsi="Calibri" w:cs="Calibri"/>
          <w:sz w:val="28"/>
          <w:szCs w:val="28"/>
        </w:rPr>
        <w:t xml:space="preserve"> and low BiK rates.</w:t>
      </w:r>
    </w:p>
    <w:p w:rsidR="00BF2C37" w:rsidRP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b/>
          <w:bCs/>
          <w:sz w:val="28"/>
          <w:szCs w:val="28"/>
        </w:rPr>
      </w:pPr>
      <w:r w:rsidRPr="00BF2C37">
        <w:rPr>
          <w:rFonts w:ascii="Calibri" w:hAnsi="Calibri" w:cs="Calibri"/>
          <w:b/>
          <w:bCs/>
          <w:sz w:val="28"/>
          <w:szCs w:val="28"/>
        </w:rPr>
        <w:t>In all fairness – we hear very little in terms of hesitation from drivers on charge point availability, safety &amp; fire risk, and battery longevity (as this is typically covered by an 8+ year warranty from the manufacturer).</w:t>
      </w:r>
    </w:p>
    <w:p w:rsidR="00BF2C37" w:rsidP="00BF2C37">
      <w:pPr>
        <w:spacing w:line="240" w:lineRule="auto"/>
        <w:rPr>
          <w:rFonts w:ascii="Calibri" w:hAnsi="Calibri" w:cs="Calibri"/>
          <w:b/>
          <w:bCs/>
          <w:sz w:val="28"/>
          <w:szCs w:val="28"/>
        </w:rPr>
      </w:pPr>
      <w:r w:rsidRPr="00BF2C37">
        <w:rPr>
          <w:rFonts w:ascii="Calibri" w:hAnsi="Calibri" w:cs="Calibri"/>
          <w:b/>
          <w:bCs/>
          <w:sz w:val="28"/>
          <w:szCs w:val="28"/>
        </w:rPr>
        <w:t>As such we do not see them as key blockers currently.</w:t>
      </w:r>
    </w:p>
    <w:p w:rsidR="00BF2C37" w:rsidP="00BF2C37">
      <w:pPr>
        <w:spacing w:line="240" w:lineRule="auto"/>
        <w:rPr>
          <w:rFonts w:ascii="Calibri" w:hAnsi="Calibri" w:cs="Calibri"/>
          <w:b/>
          <w:bCs/>
          <w:sz w:val="28"/>
          <w:szCs w:val="28"/>
        </w:rPr>
      </w:pPr>
    </w:p>
    <w:p w:rsidR="00BF2C37" w:rsidP="00BF2C37">
      <w:pPr>
        <w:spacing w:line="240" w:lineRule="auto"/>
        <w:rPr>
          <w:rFonts w:ascii="Calibri" w:hAnsi="Calibri" w:cs="Calibri"/>
          <w:b/>
          <w:bCs/>
          <w:sz w:val="28"/>
          <w:szCs w:val="28"/>
        </w:rPr>
      </w:pPr>
    </w:p>
    <w:p w:rsidR="00BF2C37" w:rsidRPr="00BF2C37" w:rsidP="00BF2C37">
      <w:pPr>
        <w:spacing w:line="240" w:lineRule="auto"/>
        <w:rPr>
          <w:rFonts w:ascii="Calibri" w:hAnsi="Calibri" w:cs="Calibri"/>
          <w:sz w:val="28"/>
          <w:szCs w:val="28"/>
        </w:rPr>
      </w:pPr>
      <w:r>
        <w:rPr>
          <w:rFonts w:ascii="Calibri" w:hAnsi="Calibri" w:cs="Calibri"/>
          <w:sz w:val="28"/>
          <w:szCs w:val="28"/>
        </w:rPr>
        <w:t>January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EC7997"/>
    <w:multiLevelType w:val="hybridMultilevel"/>
    <w:tmpl w:val="6008681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A7923DE"/>
    <w:multiLevelType w:val="hybridMultilevel"/>
    <w:tmpl w:val="45AA216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0FF3F75"/>
    <w:multiLevelType w:val="hybridMultilevel"/>
    <w:tmpl w:val="5B6C95E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90A4CF3"/>
    <w:multiLevelType w:val="hybridMultilevel"/>
    <w:tmpl w:val="91724B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C1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39C"/>
    <w:rPr>
      <w:rFonts w:eastAsiaTheme="majorEastAsia" w:cstheme="majorBidi"/>
      <w:color w:val="272727" w:themeColor="text1" w:themeTint="D8"/>
    </w:rPr>
  </w:style>
  <w:style w:type="paragraph" w:styleId="Title">
    <w:name w:val="Title"/>
    <w:basedOn w:val="Normal"/>
    <w:next w:val="Normal"/>
    <w:link w:val="TitleChar"/>
    <w:uiPriority w:val="10"/>
    <w:qFormat/>
    <w:rsid w:val="00EC1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39C"/>
    <w:pPr>
      <w:spacing w:before="160"/>
      <w:jc w:val="center"/>
    </w:pPr>
    <w:rPr>
      <w:i/>
      <w:iCs/>
      <w:color w:val="404040" w:themeColor="text1" w:themeTint="BF"/>
    </w:rPr>
  </w:style>
  <w:style w:type="character" w:customStyle="1" w:styleId="QuoteChar">
    <w:name w:val="Quote Char"/>
    <w:basedOn w:val="DefaultParagraphFont"/>
    <w:link w:val="Quote"/>
    <w:uiPriority w:val="29"/>
    <w:rsid w:val="00EC139C"/>
    <w:rPr>
      <w:i/>
      <w:iCs/>
      <w:color w:val="404040" w:themeColor="text1" w:themeTint="BF"/>
    </w:rPr>
  </w:style>
  <w:style w:type="paragraph" w:styleId="ListParagraph">
    <w:name w:val="List Paragraph"/>
    <w:basedOn w:val="Normal"/>
    <w:uiPriority w:val="34"/>
    <w:qFormat/>
    <w:rsid w:val="00EC139C"/>
    <w:pPr>
      <w:ind w:left="720"/>
      <w:contextualSpacing/>
    </w:pPr>
  </w:style>
  <w:style w:type="character" w:styleId="IntenseEmphasis">
    <w:name w:val="Intense Emphasis"/>
    <w:basedOn w:val="DefaultParagraphFont"/>
    <w:uiPriority w:val="21"/>
    <w:qFormat/>
    <w:rsid w:val="00EC139C"/>
    <w:rPr>
      <w:i/>
      <w:iCs/>
      <w:color w:val="0F4761" w:themeColor="accent1" w:themeShade="BF"/>
    </w:rPr>
  </w:style>
  <w:style w:type="paragraph" w:styleId="IntenseQuote">
    <w:name w:val="Intense Quote"/>
    <w:basedOn w:val="Normal"/>
    <w:next w:val="Normal"/>
    <w:link w:val="IntenseQuoteChar"/>
    <w:uiPriority w:val="30"/>
    <w:qFormat/>
    <w:rsid w:val="00EC1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39C"/>
    <w:rPr>
      <w:i/>
      <w:iCs/>
      <w:color w:val="0F4761" w:themeColor="accent1" w:themeShade="BF"/>
    </w:rPr>
  </w:style>
  <w:style w:type="character" w:styleId="IntenseReference">
    <w:name w:val="Intense Reference"/>
    <w:basedOn w:val="DefaultParagraphFont"/>
    <w:uiPriority w:val="32"/>
    <w:qFormat/>
    <w:rsid w:val="00EC139C"/>
    <w:rPr>
      <w:b/>
      <w:bCs/>
      <w:smallCaps/>
      <w:color w:val="0F4761" w:themeColor="accent1" w:themeShade="BF"/>
      <w:spacing w:val="5"/>
    </w:rPr>
  </w:style>
  <w:style w:type="character" w:styleId="Hyperlink">
    <w:name w:val="Hyperlink"/>
    <w:basedOn w:val="DefaultParagraphFont"/>
    <w:uiPriority w:val="99"/>
    <w:unhideWhenUsed/>
    <w:rsid w:val="00EC139C"/>
    <w:rPr>
      <w:color w:val="467886" w:themeColor="hyperlink"/>
      <w:u w:val="single"/>
    </w:rPr>
  </w:style>
  <w:style w:type="character" w:customStyle="1" w:styleId="UnresolvedMention1">
    <w:name w:val="Unresolved Mention1"/>
    <w:basedOn w:val="DefaultParagraphFont"/>
    <w:uiPriority w:val="99"/>
    <w:semiHidden/>
    <w:unhideWhenUsed/>
    <w:rsid w:val="00EC1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