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5343" w:rsidP="000246AC">
      <w:pPr>
        <w:jc w:val="center"/>
        <w:rPr>
          <w:b/>
          <w:bCs/>
          <w:sz w:val="24"/>
          <w:szCs w:val="24"/>
        </w:rPr>
      </w:pPr>
      <w:r w:rsidRPr="00125343">
        <w:rPr>
          <w:b/>
          <w:bCs/>
          <w:sz w:val="24"/>
          <w:szCs w:val="24"/>
        </w:rPr>
        <w:t xml:space="preserve">Written evidence submitted by </w:t>
      </w:r>
      <w:r w:rsidRPr="00125343">
        <w:rPr>
          <w:b/>
          <w:bCs/>
          <w:sz w:val="24"/>
          <w:szCs w:val="24"/>
        </w:rPr>
        <w:t>Policy@Manchester</w:t>
      </w:r>
      <w:r w:rsidRPr="00125343">
        <w:rPr>
          <w:b/>
          <w:bCs/>
          <w:sz w:val="24"/>
          <w:szCs w:val="24"/>
        </w:rPr>
        <w:t xml:space="preserve"> (WRP 10)</w:t>
      </w:r>
    </w:p>
    <w:p w:rsidR="00125343" w:rsidRPr="00125343" w:rsidP="000246AC">
      <w:pPr>
        <w:jc w:val="center"/>
        <w:rPr>
          <w:b/>
          <w:bCs/>
          <w:sz w:val="24"/>
          <w:szCs w:val="24"/>
        </w:rPr>
      </w:pPr>
    </w:p>
    <w:p w:rsidR="00125343" w:rsidRPr="00EE1629" w:rsidP="000246AC">
      <w:pPr>
        <w:rPr>
          <w:i/>
          <w:iCs/>
          <w:color w:val="808080" w:themeColor="background1" w:themeShade="80"/>
          <w:sz w:val="21"/>
          <w:szCs w:val="21"/>
        </w:rPr>
      </w:pPr>
      <w:r w:rsidRPr="00EE1629">
        <w:rPr>
          <w:i/>
          <w:iCs/>
          <w:color w:val="808080" w:themeColor="background1" w:themeShade="80"/>
          <w:sz w:val="21"/>
          <w:szCs w:val="21"/>
        </w:rPr>
        <w:t xml:space="preserve">This submission has been authored by </w:t>
      </w:r>
      <w:r w:rsidRPr="00EE1629">
        <w:rPr>
          <w:b/>
          <w:bCs/>
          <w:i/>
          <w:iCs/>
          <w:color w:val="808080" w:themeColor="background1" w:themeShade="80"/>
          <w:sz w:val="21"/>
          <w:szCs w:val="21"/>
        </w:rPr>
        <w:t>Policy@Manchester</w:t>
      </w:r>
      <w:r w:rsidRPr="00EE1629">
        <w:rPr>
          <w:i/>
          <w:iCs/>
          <w:color w:val="808080" w:themeColor="background1" w:themeShade="80"/>
          <w:sz w:val="21"/>
          <w:szCs w:val="21"/>
        </w:rPr>
        <w:t xml:space="preserve"> – The University of Manchester’s policy engagement unit. We connect our researchers with policymakers and influencers, nurture long-term policy engagement relationships, and seek to enhance understanding of pressing policy challenges with academic evidence.</w:t>
      </w:r>
    </w:p>
    <w:p w:rsidR="00125343" w:rsidRPr="00EE1629" w:rsidP="000246AC">
      <w:pPr>
        <w:rPr>
          <w:i/>
          <w:iCs/>
          <w:color w:val="808080" w:themeColor="background1" w:themeShade="80"/>
          <w:sz w:val="21"/>
          <w:szCs w:val="21"/>
        </w:rPr>
      </w:pPr>
      <w:r w:rsidRPr="00EE1629">
        <w:rPr>
          <w:i/>
          <w:iCs/>
          <w:color w:val="808080" w:themeColor="background1" w:themeShade="80"/>
          <w:sz w:val="21"/>
          <w:szCs w:val="21"/>
        </w:rPr>
        <w:t>As part of our work, we</w:t>
      </w:r>
      <w:r w:rsidRPr="00EE1629">
        <w:rPr>
          <w:i/>
          <w:iCs/>
          <w:color w:val="808080" w:themeColor="background1" w:themeShade="80"/>
          <w:sz w:val="21"/>
          <w:szCs w:val="21"/>
        </w:rPr>
        <w:t xml:space="preserve"> </w:t>
      </w:r>
      <w:r w:rsidRPr="00EE1629">
        <w:rPr>
          <w:i/>
          <w:iCs/>
          <w:color w:val="808080" w:themeColor="background1" w:themeShade="80"/>
          <w:sz w:val="21"/>
          <w:szCs w:val="21"/>
        </w:rPr>
        <w:t xml:space="preserve">provide written parliamentary questions </w:t>
      </w:r>
      <w:r w:rsidRPr="00EE1629">
        <w:rPr>
          <w:i/>
          <w:iCs/>
          <w:color w:val="808080" w:themeColor="background1" w:themeShade="80"/>
          <w:sz w:val="21"/>
          <w:szCs w:val="21"/>
        </w:rPr>
        <w:t>(WPQ)</w:t>
      </w:r>
      <w:r w:rsidRPr="00EE1629">
        <w:rPr>
          <w:i/>
          <w:iCs/>
          <w:color w:val="808080" w:themeColor="background1" w:themeShade="80"/>
          <w:sz w:val="21"/>
          <w:szCs w:val="21"/>
        </w:rPr>
        <w:t xml:space="preserve"> for MPs and Peers to further the </w:t>
      </w:r>
      <w:r w:rsidRPr="00EE1629">
        <w:rPr>
          <w:i/>
          <w:iCs/>
          <w:color w:val="808080" w:themeColor="background1" w:themeShade="80"/>
          <w:sz w:val="21"/>
          <w:szCs w:val="21"/>
        </w:rPr>
        <w:t xml:space="preserve">policy impact </w:t>
      </w:r>
      <w:r w:rsidRPr="00EE1629">
        <w:rPr>
          <w:i/>
          <w:iCs/>
          <w:color w:val="808080" w:themeColor="background1" w:themeShade="80"/>
          <w:sz w:val="21"/>
          <w:szCs w:val="21"/>
        </w:rPr>
        <w:t>of academic research</w:t>
      </w:r>
      <w:r w:rsidRPr="00EE1629">
        <w:rPr>
          <w:i/>
          <w:iCs/>
          <w:color w:val="808080" w:themeColor="background1" w:themeShade="80"/>
          <w:sz w:val="21"/>
          <w:szCs w:val="21"/>
        </w:rPr>
        <w:t>.</w:t>
      </w:r>
      <w:r w:rsidRPr="00EE1629">
        <w:rPr>
          <w:i/>
          <w:iCs/>
          <w:color w:val="808080" w:themeColor="background1" w:themeShade="80"/>
          <w:sz w:val="21"/>
          <w:szCs w:val="21"/>
        </w:rPr>
        <w:t xml:space="preserve"> Our experiences submitting questions are referenced in response to the below question. We would be happy to follow up with the Procedure Committee with </w:t>
      </w:r>
      <w:r w:rsidRPr="00EE1629">
        <w:rPr>
          <w:i/>
          <w:iCs/>
          <w:color w:val="808080" w:themeColor="background1" w:themeShade="80"/>
          <w:sz w:val="21"/>
          <w:szCs w:val="21"/>
        </w:rPr>
        <w:t>examples and case studies of the experiences listed below.</w:t>
      </w:r>
    </w:p>
    <w:p w:rsidR="00125343" w:rsidRPr="00EE1629" w:rsidP="000246AC">
      <w:pPr>
        <w:rPr>
          <w:b/>
          <w:bCs/>
          <w:sz w:val="21"/>
          <w:szCs w:val="21"/>
          <w:u w:val="single"/>
        </w:rPr>
      </w:pPr>
      <w:r w:rsidRPr="00EE1629">
        <w:rPr>
          <w:b/>
          <w:bCs/>
          <w:sz w:val="21"/>
          <w:szCs w:val="21"/>
          <w:u w:val="single"/>
        </w:rPr>
        <w:t>Are the internal House of Commons processes and procedures for processing and dealing with Written Parliamentary Questions working effectively and efficiently? What changes, if any, may be needed to drive improvements?</w:t>
      </w:r>
    </w:p>
    <w:p w:rsidR="00125343" w:rsidRPr="00EE1629" w:rsidP="000246AC">
      <w:pPr>
        <w:rPr>
          <w:sz w:val="21"/>
          <w:szCs w:val="21"/>
          <w:u w:val="single"/>
        </w:rPr>
      </w:pPr>
      <w:r w:rsidRPr="00EE1629">
        <w:rPr>
          <w:sz w:val="21"/>
          <w:szCs w:val="21"/>
          <w:u w:val="single"/>
        </w:rPr>
        <w:t>Inconsistencies in question formatting</w:t>
      </w:r>
    </w:p>
    <w:p w:rsidR="00125343" w:rsidRPr="00EE1629" w:rsidP="00D56F56">
      <w:pPr>
        <w:pStyle w:val="ListParagraph"/>
        <w:numPr>
          <w:ilvl w:val="0"/>
          <w:numId w:val="2"/>
        </w:numPr>
        <w:rPr>
          <w:sz w:val="21"/>
          <w:szCs w:val="21"/>
        </w:rPr>
      </w:pPr>
      <w:r w:rsidRPr="00EE1629">
        <w:rPr>
          <w:sz w:val="21"/>
          <w:szCs w:val="21"/>
        </w:rPr>
        <w:t xml:space="preserve">References to academic research – </w:t>
      </w:r>
      <w:r w:rsidRPr="00EE1629">
        <w:rPr>
          <w:sz w:val="21"/>
          <w:szCs w:val="21"/>
        </w:rPr>
        <w:t xml:space="preserve">including the </w:t>
      </w:r>
      <w:r w:rsidRPr="00EE1629">
        <w:rPr>
          <w:sz w:val="21"/>
          <w:szCs w:val="21"/>
        </w:rPr>
        <w:t xml:space="preserve">names of academics or references </w:t>
      </w:r>
      <w:r w:rsidRPr="00EE1629">
        <w:rPr>
          <w:sz w:val="21"/>
          <w:szCs w:val="21"/>
        </w:rPr>
        <w:t xml:space="preserve">to </w:t>
      </w:r>
      <w:r w:rsidRPr="00EE1629">
        <w:rPr>
          <w:sz w:val="21"/>
          <w:szCs w:val="21"/>
        </w:rPr>
        <w:t>The</w:t>
      </w:r>
      <w:r w:rsidRPr="00EE1629">
        <w:rPr>
          <w:sz w:val="21"/>
          <w:szCs w:val="21"/>
        </w:rPr>
        <w:t xml:space="preserve"> University of Manchester – are sometimes removed.</w:t>
      </w:r>
      <w:r w:rsidRPr="00EE1629">
        <w:rPr>
          <w:sz w:val="21"/>
          <w:szCs w:val="21"/>
        </w:rPr>
        <w:t xml:space="preserve"> However, in other instances references to the research are kept in.</w:t>
      </w:r>
    </w:p>
    <w:p w:rsidR="00125343" w:rsidRPr="00EE1629" w:rsidP="00D56F56">
      <w:pPr>
        <w:pStyle w:val="ListParagraph"/>
        <w:numPr>
          <w:ilvl w:val="0"/>
          <w:numId w:val="2"/>
        </w:numPr>
        <w:rPr>
          <w:sz w:val="21"/>
          <w:szCs w:val="21"/>
        </w:rPr>
      </w:pPr>
      <w:r w:rsidRPr="00EE1629">
        <w:rPr>
          <w:sz w:val="21"/>
          <w:szCs w:val="21"/>
        </w:rPr>
        <w:t xml:space="preserve">We have had confirmation from several </w:t>
      </w:r>
      <w:r w:rsidRPr="00EE1629">
        <w:rPr>
          <w:sz w:val="21"/>
          <w:szCs w:val="21"/>
        </w:rPr>
        <w:t>MPs</w:t>
      </w:r>
      <w:r w:rsidRPr="00EE1629">
        <w:rPr>
          <w:sz w:val="21"/>
          <w:szCs w:val="21"/>
        </w:rPr>
        <w:t>’</w:t>
      </w:r>
      <w:r w:rsidRPr="00EE1629">
        <w:rPr>
          <w:sz w:val="21"/>
          <w:szCs w:val="21"/>
        </w:rPr>
        <w:t xml:space="preserve"> offices that questions were submitted with references kept in. </w:t>
      </w:r>
      <w:r w:rsidRPr="00EE1629">
        <w:rPr>
          <w:sz w:val="21"/>
          <w:szCs w:val="21"/>
        </w:rPr>
        <w:t xml:space="preserve">This is leading us to believe that the </w:t>
      </w:r>
      <w:r w:rsidRPr="00EE1629">
        <w:rPr>
          <w:sz w:val="21"/>
          <w:szCs w:val="21"/>
        </w:rPr>
        <w:t>T</w:t>
      </w:r>
      <w:r w:rsidRPr="00EE1629">
        <w:rPr>
          <w:sz w:val="21"/>
          <w:szCs w:val="21"/>
        </w:rPr>
        <w:t xml:space="preserve">able </w:t>
      </w:r>
      <w:r w:rsidRPr="00EE1629">
        <w:rPr>
          <w:sz w:val="21"/>
          <w:szCs w:val="21"/>
        </w:rPr>
        <w:t>O</w:t>
      </w:r>
      <w:r w:rsidRPr="00EE1629">
        <w:rPr>
          <w:sz w:val="21"/>
          <w:szCs w:val="21"/>
        </w:rPr>
        <w:t>ffice</w:t>
      </w:r>
      <w:r w:rsidRPr="00EE1629">
        <w:rPr>
          <w:sz w:val="21"/>
          <w:szCs w:val="21"/>
        </w:rPr>
        <w:t xml:space="preserve"> </w:t>
      </w:r>
      <w:r w:rsidRPr="00EE1629">
        <w:rPr>
          <w:sz w:val="21"/>
          <w:szCs w:val="21"/>
        </w:rPr>
        <w:t>ha</w:t>
      </w:r>
      <w:r w:rsidRPr="00EE1629">
        <w:rPr>
          <w:sz w:val="21"/>
          <w:szCs w:val="21"/>
        </w:rPr>
        <w:t xml:space="preserve">s </w:t>
      </w:r>
      <w:r w:rsidRPr="00EE1629">
        <w:rPr>
          <w:sz w:val="21"/>
          <w:szCs w:val="21"/>
        </w:rPr>
        <w:t>inconsistent</w:t>
      </w:r>
      <w:r w:rsidRPr="00EE1629">
        <w:rPr>
          <w:sz w:val="21"/>
          <w:szCs w:val="21"/>
        </w:rPr>
        <w:t xml:space="preserve"> approaches to approving questions.</w:t>
      </w:r>
      <w:r w:rsidRPr="00EE1629">
        <w:rPr>
          <w:sz w:val="21"/>
          <w:szCs w:val="21"/>
        </w:rPr>
        <w:t xml:space="preserve"> </w:t>
      </w:r>
      <w:r w:rsidRPr="00EE1629">
        <w:rPr>
          <w:sz w:val="21"/>
          <w:szCs w:val="21"/>
        </w:rPr>
        <w:t>The</w:t>
      </w:r>
      <w:r w:rsidRPr="00EE1629">
        <w:rPr>
          <w:sz w:val="21"/>
          <w:szCs w:val="21"/>
        </w:rPr>
        <w:t xml:space="preserve"> lack of c</w:t>
      </w:r>
      <w:r w:rsidRPr="00EE1629">
        <w:rPr>
          <w:sz w:val="21"/>
          <w:szCs w:val="21"/>
        </w:rPr>
        <w:t>onsistency</w:t>
      </w:r>
      <w:r w:rsidRPr="00EE1629">
        <w:rPr>
          <w:sz w:val="21"/>
          <w:szCs w:val="21"/>
        </w:rPr>
        <w:t xml:space="preserve"> around the </w:t>
      </w:r>
      <w:r w:rsidRPr="00EE1629">
        <w:rPr>
          <w:sz w:val="21"/>
          <w:szCs w:val="21"/>
        </w:rPr>
        <w:t>permissible</w:t>
      </w:r>
      <w:r w:rsidRPr="00EE1629">
        <w:rPr>
          <w:sz w:val="21"/>
          <w:szCs w:val="21"/>
        </w:rPr>
        <w:t xml:space="preserve"> formatting of questions</w:t>
      </w:r>
      <w:r w:rsidRPr="00EE1629">
        <w:rPr>
          <w:sz w:val="21"/>
          <w:szCs w:val="21"/>
        </w:rPr>
        <w:t xml:space="preserve"> is making it difficult</w:t>
      </w:r>
      <w:r w:rsidRPr="00EE1629">
        <w:rPr>
          <w:sz w:val="21"/>
          <w:szCs w:val="21"/>
        </w:rPr>
        <w:t xml:space="preserve"> to structure questions in a way that is conducive to achieving </w:t>
      </w:r>
      <w:r w:rsidRPr="00EE1629">
        <w:rPr>
          <w:sz w:val="21"/>
          <w:szCs w:val="21"/>
        </w:rPr>
        <w:t xml:space="preserve">policy </w:t>
      </w:r>
      <w:r w:rsidRPr="00EE1629">
        <w:rPr>
          <w:sz w:val="21"/>
          <w:szCs w:val="21"/>
        </w:rPr>
        <w:t>impact but also appropriate for parliamentary</w:t>
      </w:r>
      <w:r w:rsidRPr="00EE1629">
        <w:rPr>
          <w:sz w:val="21"/>
          <w:szCs w:val="21"/>
        </w:rPr>
        <w:t xml:space="preserve"> procedure.</w:t>
      </w:r>
    </w:p>
    <w:p w:rsidR="00125343" w:rsidRPr="00EE1629" w:rsidP="00D56F56">
      <w:pPr>
        <w:pStyle w:val="ListParagraph"/>
        <w:numPr>
          <w:ilvl w:val="0"/>
          <w:numId w:val="2"/>
        </w:numPr>
        <w:rPr>
          <w:sz w:val="21"/>
          <w:szCs w:val="21"/>
        </w:rPr>
      </w:pPr>
      <w:r w:rsidRPr="00EE1629">
        <w:rPr>
          <w:sz w:val="21"/>
          <w:szCs w:val="21"/>
        </w:rPr>
        <w:t xml:space="preserve">A comprehensive and transparent insight into question structure would be particularly welcomed. We have previously sought advice and feedback about WPQ structure through MPs offices and have been given different responses about </w:t>
      </w:r>
      <w:r w:rsidRPr="00EE1629">
        <w:rPr>
          <w:sz w:val="21"/>
          <w:szCs w:val="21"/>
        </w:rPr>
        <w:t>their understanding of</w:t>
      </w:r>
      <w:r w:rsidRPr="00EE1629">
        <w:rPr>
          <w:sz w:val="21"/>
          <w:szCs w:val="21"/>
        </w:rPr>
        <w:t xml:space="preserve"> </w:t>
      </w:r>
      <w:r w:rsidRPr="00EE1629">
        <w:rPr>
          <w:sz w:val="21"/>
          <w:szCs w:val="21"/>
        </w:rPr>
        <w:t>an</w:t>
      </w:r>
      <w:r w:rsidRPr="00EE1629">
        <w:rPr>
          <w:sz w:val="21"/>
          <w:szCs w:val="21"/>
        </w:rPr>
        <w:t xml:space="preserve"> appropriate WPQ, such as length of question and requirements for referencing research, which even when embedded into new question structure has still been rejected by the Table Office. </w:t>
      </w:r>
      <w:r w:rsidRPr="00EE1629">
        <w:rPr>
          <w:sz w:val="21"/>
          <w:szCs w:val="21"/>
        </w:rPr>
        <w:t xml:space="preserve">We would appreciate greater transparency between the </w:t>
      </w:r>
      <w:r w:rsidRPr="00EE1629">
        <w:rPr>
          <w:sz w:val="21"/>
          <w:szCs w:val="21"/>
        </w:rPr>
        <w:t>T</w:t>
      </w:r>
      <w:r w:rsidRPr="00EE1629">
        <w:rPr>
          <w:sz w:val="21"/>
          <w:szCs w:val="21"/>
        </w:rPr>
        <w:t xml:space="preserve">able </w:t>
      </w:r>
      <w:r w:rsidRPr="00EE1629">
        <w:rPr>
          <w:sz w:val="21"/>
          <w:szCs w:val="21"/>
        </w:rPr>
        <w:t>O</w:t>
      </w:r>
      <w:r w:rsidRPr="00EE1629">
        <w:rPr>
          <w:sz w:val="21"/>
          <w:szCs w:val="21"/>
        </w:rPr>
        <w:t>ffice</w:t>
      </w:r>
      <w:r w:rsidRPr="00EE1629">
        <w:rPr>
          <w:sz w:val="21"/>
          <w:szCs w:val="21"/>
        </w:rPr>
        <w:t xml:space="preserve"> and </w:t>
      </w:r>
      <w:r w:rsidRPr="00EE1629">
        <w:rPr>
          <w:sz w:val="21"/>
          <w:szCs w:val="21"/>
        </w:rPr>
        <w:t xml:space="preserve">Parliament’s </w:t>
      </w:r>
      <w:r w:rsidRPr="00EE1629">
        <w:rPr>
          <w:sz w:val="21"/>
          <w:szCs w:val="21"/>
        </w:rPr>
        <w:t>K</w:t>
      </w:r>
      <w:r w:rsidRPr="00EE1629">
        <w:rPr>
          <w:sz w:val="21"/>
          <w:szCs w:val="21"/>
        </w:rPr>
        <w:t>nowledge</w:t>
      </w:r>
      <w:r w:rsidRPr="00EE1629">
        <w:rPr>
          <w:sz w:val="21"/>
          <w:szCs w:val="21"/>
        </w:rPr>
        <w:t xml:space="preserve"> </w:t>
      </w:r>
      <w:r w:rsidRPr="00EE1629">
        <w:rPr>
          <w:sz w:val="21"/>
          <w:szCs w:val="21"/>
        </w:rPr>
        <w:t>E</w:t>
      </w:r>
      <w:r w:rsidRPr="00EE1629">
        <w:rPr>
          <w:sz w:val="21"/>
          <w:szCs w:val="21"/>
        </w:rPr>
        <w:t xml:space="preserve">xchange </w:t>
      </w:r>
      <w:r w:rsidRPr="00EE1629">
        <w:rPr>
          <w:sz w:val="21"/>
          <w:szCs w:val="21"/>
        </w:rPr>
        <w:t>U</w:t>
      </w:r>
      <w:r w:rsidRPr="00EE1629">
        <w:rPr>
          <w:sz w:val="21"/>
          <w:szCs w:val="21"/>
        </w:rPr>
        <w:t>nit</w:t>
      </w:r>
      <w:r w:rsidRPr="00EE1629">
        <w:rPr>
          <w:sz w:val="21"/>
          <w:szCs w:val="21"/>
        </w:rPr>
        <w:t xml:space="preserve"> </w:t>
      </w:r>
      <w:r w:rsidRPr="00EE1629">
        <w:rPr>
          <w:sz w:val="21"/>
          <w:szCs w:val="21"/>
        </w:rPr>
        <w:t>to progress academic evidence into Parliament</w:t>
      </w:r>
      <w:r w:rsidRPr="00EE1629">
        <w:rPr>
          <w:sz w:val="21"/>
          <w:szCs w:val="21"/>
        </w:rPr>
        <w:t>.</w:t>
      </w:r>
    </w:p>
    <w:p w:rsidR="00125343" w:rsidRPr="00EE1629" w:rsidP="000246AC">
      <w:pPr>
        <w:rPr>
          <w:sz w:val="21"/>
          <w:szCs w:val="21"/>
          <w:u w:val="single"/>
        </w:rPr>
      </w:pPr>
      <w:r w:rsidRPr="00EE1629">
        <w:rPr>
          <w:sz w:val="21"/>
          <w:szCs w:val="21"/>
          <w:u w:val="single"/>
        </w:rPr>
        <w:t>Recording impact</w:t>
      </w:r>
    </w:p>
    <w:p w:rsidR="00125343" w:rsidRPr="00EE1629" w:rsidP="6E771102">
      <w:pPr>
        <w:pStyle w:val="ListParagraph"/>
        <w:numPr>
          <w:ilvl w:val="0"/>
          <w:numId w:val="1"/>
        </w:numPr>
        <w:rPr>
          <w:sz w:val="21"/>
          <w:szCs w:val="21"/>
        </w:rPr>
      </w:pPr>
      <w:r w:rsidRPr="00EE1629">
        <w:rPr>
          <w:sz w:val="21"/>
          <w:szCs w:val="21"/>
        </w:rPr>
        <w:t xml:space="preserve">The UK is a world leader in research, with a number of </w:t>
      </w:r>
      <w:r w:rsidRPr="00EE1629">
        <w:rPr>
          <w:sz w:val="21"/>
          <w:szCs w:val="21"/>
        </w:rPr>
        <w:t>universities</w:t>
      </w:r>
      <w:r w:rsidRPr="00EE1629">
        <w:rPr>
          <w:sz w:val="21"/>
          <w:szCs w:val="21"/>
        </w:rPr>
        <w:t xml:space="preserve"> in the top 100 </w:t>
      </w:r>
      <w:r w:rsidRPr="00EE1629">
        <w:rPr>
          <w:sz w:val="21"/>
          <w:szCs w:val="21"/>
        </w:rPr>
        <w:t xml:space="preserve">research intensive institutes </w:t>
      </w:r>
      <w:r w:rsidRPr="00EE1629">
        <w:rPr>
          <w:sz w:val="21"/>
          <w:szCs w:val="21"/>
        </w:rPr>
        <w:t xml:space="preserve">globally. Our research expertise can support </w:t>
      </w:r>
      <w:r w:rsidRPr="00EE1629">
        <w:rPr>
          <w:sz w:val="21"/>
          <w:szCs w:val="21"/>
        </w:rPr>
        <w:t xml:space="preserve">and signpost </w:t>
      </w:r>
      <w:r w:rsidRPr="00EE1629">
        <w:rPr>
          <w:sz w:val="21"/>
          <w:szCs w:val="21"/>
        </w:rPr>
        <w:t>parliamentarians to deliver the policy solutions needed to add</w:t>
      </w:r>
      <w:r w:rsidRPr="00EE1629">
        <w:rPr>
          <w:sz w:val="21"/>
          <w:szCs w:val="21"/>
        </w:rPr>
        <w:t>ress national and international challenges. However, when reference</w:t>
      </w:r>
      <w:r w:rsidRPr="00EE1629">
        <w:rPr>
          <w:sz w:val="21"/>
          <w:szCs w:val="21"/>
        </w:rPr>
        <w:t>s</w:t>
      </w:r>
      <w:r w:rsidRPr="00EE1629">
        <w:rPr>
          <w:sz w:val="21"/>
          <w:szCs w:val="21"/>
        </w:rPr>
        <w:t xml:space="preserve"> to academic research </w:t>
      </w:r>
      <w:r w:rsidRPr="00EE1629">
        <w:rPr>
          <w:sz w:val="21"/>
          <w:szCs w:val="21"/>
        </w:rPr>
        <w:t>are</w:t>
      </w:r>
      <w:r w:rsidRPr="00EE1629">
        <w:rPr>
          <w:sz w:val="21"/>
          <w:szCs w:val="21"/>
        </w:rPr>
        <w:t xml:space="preserve"> removed from WPQs it disincentivises </w:t>
      </w:r>
      <w:r w:rsidRPr="00EE1629">
        <w:rPr>
          <w:sz w:val="21"/>
          <w:szCs w:val="21"/>
        </w:rPr>
        <w:t>academics</w:t>
      </w:r>
      <w:r w:rsidRPr="00EE1629">
        <w:rPr>
          <w:sz w:val="21"/>
          <w:szCs w:val="21"/>
        </w:rPr>
        <w:t xml:space="preserve"> away</w:t>
      </w:r>
      <w:r w:rsidRPr="00EE1629">
        <w:rPr>
          <w:sz w:val="21"/>
          <w:szCs w:val="21"/>
        </w:rPr>
        <w:t xml:space="preserve"> from the policy engagement process. This result</w:t>
      </w:r>
      <w:r w:rsidRPr="00EE1629">
        <w:rPr>
          <w:sz w:val="21"/>
          <w:szCs w:val="21"/>
        </w:rPr>
        <w:t>s</w:t>
      </w:r>
      <w:r w:rsidRPr="00EE1629">
        <w:rPr>
          <w:sz w:val="21"/>
          <w:szCs w:val="21"/>
        </w:rPr>
        <w:t xml:space="preserve"> in fewer academics presenting their work as part of the parliamentary process, and fewer experts engaging with MPs. </w:t>
      </w:r>
    </w:p>
    <w:p w:rsidR="00125343" w:rsidRPr="00EE1629" w:rsidP="42C2AC61">
      <w:pPr>
        <w:pStyle w:val="ListParagraph"/>
        <w:numPr>
          <w:ilvl w:val="0"/>
          <w:numId w:val="1"/>
        </w:numPr>
        <w:rPr>
          <w:sz w:val="21"/>
          <w:szCs w:val="21"/>
        </w:rPr>
      </w:pPr>
      <w:r w:rsidRPr="00EE1629">
        <w:rPr>
          <w:sz w:val="21"/>
          <w:szCs w:val="21"/>
        </w:rPr>
        <w:t>Parliamentarians, including responding Ministers and Departments</w:t>
      </w:r>
      <w:r w:rsidRPr="00EE1629">
        <w:rPr>
          <w:sz w:val="21"/>
          <w:szCs w:val="21"/>
        </w:rPr>
        <w:t>,</w:t>
      </w:r>
      <w:r w:rsidRPr="00EE1629">
        <w:rPr>
          <w:sz w:val="21"/>
          <w:szCs w:val="21"/>
        </w:rPr>
        <w:t xml:space="preserve"> </w:t>
      </w:r>
      <w:r w:rsidRPr="00EE1629">
        <w:rPr>
          <w:sz w:val="21"/>
          <w:szCs w:val="21"/>
        </w:rPr>
        <w:t>will</w:t>
      </w:r>
      <w:r w:rsidRPr="00EE1629">
        <w:rPr>
          <w:sz w:val="21"/>
          <w:szCs w:val="21"/>
        </w:rPr>
        <w:t xml:space="preserve"> </w:t>
      </w:r>
      <w:r w:rsidRPr="00EE1629">
        <w:rPr>
          <w:sz w:val="21"/>
          <w:szCs w:val="21"/>
        </w:rPr>
        <w:t>receive</w:t>
      </w:r>
      <w:r w:rsidRPr="00EE1629">
        <w:rPr>
          <w:sz w:val="21"/>
          <w:szCs w:val="21"/>
        </w:rPr>
        <w:t xml:space="preserve"> fewer important details pertaining to academic research when questions are heavily sub-edited. </w:t>
      </w:r>
      <w:r w:rsidRPr="00EE1629">
        <w:rPr>
          <w:sz w:val="21"/>
          <w:szCs w:val="21"/>
        </w:rPr>
        <w:t>We believe it is vital that government can be made aware of leading researcher</w:t>
      </w:r>
      <w:r w:rsidRPr="00EE1629">
        <w:rPr>
          <w:sz w:val="21"/>
          <w:szCs w:val="21"/>
        </w:rPr>
        <w:t>s</w:t>
      </w:r>
      <w:r w:rsidRPr="00EE1629">
        <w:rPr>
          <w:sz w:val="21"/>
          <w:szCs w:val="21"/>
        </w:rPr>
        <w:t xml:space="preserve">, </w:t>
      </w:r>
      <w:r w:rsidRPr="00EE1629">
        <w:rPr>
          <w:sz w:val="21"/>
          <w:szCs w:val="21"/>
        </w:rPr>
        <w:t xml:space="preserve">the availability of </w:t>
      </w:r>
      <w:r w:rsidRPr="00EE1629">
        <w:rPr>
          <w:sz w:val="21"/>
          <w:szCs w:val="21"/>
        </w:rPr>
        <w:t xml:space="preserve">robust academic evidence, and public access research </w:t>
      </w:r>
      <w:r w:rsidRPr="00EE1629">
        <w:rPr>
          <w:sz w:val="21"/>
          <w:szCs w:val="21"/>
        </w:rPr>
        <w:t xml:space="preserve">where this supports the overall objective of a WPQ. </w:t>
      </w:r>
      <w:r w:rsidRPr="00EE1629">
        <w:rPr>
          <w:sz w:val="21"/>
          <w:szCs w:val="21"/>
        </w:rPr>
        <w:t xml:space="preserve">This would allow for more comprehensive and considered responses </w:t>
      </w:r>
      <w:r w:rsidRPr="00EE1629">
        <w:rPr>
          <w:sz w:val="21"/>
          <w:szCs w:val="21"/>
        </w:rPr>
        <w:t xml:space="preserve">to WPQs </w:t>
      </w:r>
      <w:r w:rsidRPr="00EE1629">
        <w:rPr>
          <w:sz w:val="21"/>
          <w:szCs w:val="21"/>
        </w:rPr>
        <w:t xml:space="preserve">which can inform policy direction and </w:t>
      </w:r>
      <w:r w:rsidRPr="00EE1629">
        <w:rPr>
          <w:sz w:val="21"/>
          <w:szCs w:val="21"/>
        </w:rPr>
        <w:t xml:space="preserve">further </w:t>
      </w:r>
      <w:r w:rsidRPr="00EE1629">
        <w:rPr>
          <w:sz w:val="21"/>
          <w:szCs w:val="21"/>
        </w:rPr>
        <w:t xml:space="preserve">parliamentary engagement. </w:t>
      </w:r>
    </w:p>
    <w:p w:rsidR="00125343" w:rsidP="00DB24FA">
      <w:pPr>
        <w:pStyle w:val="ListParagraph"/>
        <w:numPr>
          <w:ilvl w:val="0"/>
          <w:numId w:val="1"/>
        </w:numPr>
        <w:rPr>
          <w:sz w:val="21"/>
          <w:szCs w:val="21"/>
        </w:rPr>
      </w:pPr>
      <w:r w:rsidRPr="00EE1629">
        <w:rPr>
          <w:sz w:val="21"/>
          <w:szCs w:val="21"/>
        </w:rPr>
        <w:t xml:space="preserve">Removing references to </w:t>
      </w:r>
      <w:r w:rsidRPr="00EE1629">
        <w:rPr>
          <w:sz w:val="21"/>
          <w:szCs w:val="21"/>
        </w:rPr>
        <w:t>academic contributions limits the ability for academics to demonstrate research impact, particularly w</w:t>
      </w:r>
      <w:r w:rsidRPr="00EE1629">
        <w:rPr>
          <w:sz w:val="21"/>
          <w:szCs w:val="21"/>
        </w:rPr>
        <w:t>hen</w:t>
      </w:r>
      <w:r w:rsidRPr="00EE1629">
        <w:rPr>
          <w:sz w:val="21"/>
          <w:szCs w:val="21"/>
        </w:rPr>
        <w:t xml:space="preserve"> </w:t>
      </w:r>
      <w:r w:rsidRPr="00EE1629">
        <w:rPr>
          <w:sz w:val="21"/>
          <w:szCs w:val="21"/>
        </w:rPr>
        <w:t xml:space="preserve">referencing policy engagement in research bids, </w:t>
      </w:r>
      <w:r w:rsidRPr="00EE1629">
        <w:rPr>
          <w:sz w:val="21"/>
          <w:szCs w:val="21"/>
        </w:rPr>
        <w:t>evidencing</w:t>
      </w:r>
      <w:r w:rsidRPr="00EE1629">
        <w:rPr>
          <w:sz w:val="21"/>
          <w:szCs w:val="21"/>
        </w:rPr>
        <w:t xml:space="preserve"> policy</w:t>
      </w:r>
      <w:r w:rsidRPr="00EE1629">
        <w:rPr>
          <w:sz w:val="21"/>
          <w:szCs w:val="21"/>
        </w:rPr>
        <w:t xml:space="preserve"> </w:t>
      </w:r>
      <w:r w:rsidRPr="00EE1629">
        <w:rPr>
          <w:sz w:val="21"/>
          <w:szCs w:val="21"/>
        </w:rPr>
        <w:t>impact to</w:t>
      </w:r>
      <w:r w:rsidRPr="00EE1629">
        <w:rPr>
          <w:sz w:val="21"/>
          <w:szCs w:val="21"/>
        </w:rPr>
        <w:t xml:space="preserve"> </w:t>
      </w:r>
      <w:r w:rsidRPr="00EE1629">
        <w:rPr>
          <w:sz w:val="21"/>
          <w:szCs w:val="21"/>
        </w:rPr>
        <w:t>research</w:t>
      </w:r>
      <w:r w:rsidRPr="00EE1629">
        <w:rPr>
          <w:sz w:val="21"/>
          <w:szCs w:val="21"/>
        </w:rPr>
        <w:t xml:space="preserve"> funders including government bodies, </w:t>
      </w:r>
      <w:r w:rsidRPr="00EE1629">
        <w:rPr>
          <w:sz w:val="21"/>
          <w:szCs w:val="21"/>
        </w:rPr>
        <w:t xml:space="preserve">and </w:t>
      </w:r>
      <w:r w:rsidRPr="00EE1629">
        <w:rPr>
          <w:sz w:val="21"/>
          <w:szCs w:val="21"/>
        </w:rPr>
        <w:t>hinder</w:t>
      </w:r>
      <w:r w:rsidRPr="00EE1629">
        <w:rPr>
          <w:sz w:val="21"/>
          <w:szCs w:val="21"/>
        </w:rPr>
        <w:t>ing</w:t>
      </w:r>
      <w:r w:rsidRPr="00EE1629">
        <w:rPr>
          <w:sz w:val="21"/>
          <w:szCs w:val="21"/>
        </w:rPr>
        <w:t xml:space="preserve"> </w:t>
      </w:r>
      <w:r w:rsidRPr="00EE1629">
        <w:rPr>
          <w:sz w:val="21"/>
          <w:szCs w:val="21"/>
        </w:rPr>
        <w:t>contribut</w:t>
      </w:r>
      <w:r w:rsidRPr="00EE1629">
        <w:rPr>
          <w:sz w:val="21"/>
          <w:szCs w:val="21"/>
        </w:rPr>
        <w:t>ions</w:t>
      </w:r>
      <w:r w:rsidRPr="00EE1629">
        <w:rPr>
          <w:sz w:val="21"/>
          <w:szCs w:val="21"/>
        </w:rPr>
        <w:t xml:space="preserve"> </w:t>
      </w:r>
      <w:r w:rsidRPr="00EE1629">
        <w:rPr>
          <w:sz w:val="21"/>
          <w:szCs w:val="21"/>
        </w:rPr>
        <w:t xml:space="preserve">towards </w:t>
      </w:r>
      <w:r w:rsidRPr="00EE1629">
        <w:rPr>
          <w:sz w:val="21"/>
          <w:szCs w:val="21"/>
        </w:rPr>
        <w:t xml:space="preserve">national and </w:t>
      </w:r>
      <w:r w:rsidRPr="00EE1629">
        <w:rPr>
          <w:sz w:val="21"/>
          <w:szCs w:val="21"/>
        </w:rPr>
        <w:t>institutional rankings</w:t>
      </w:r>
      <w:r w:rsidRPr="00EE1629">
        <w:rPr>
          <w:sz w:val="21"/>
          <w:szCs w:val="21"/>
        </w:rPr>
        <w:t>, wh</w:t>
      </w:r>
      <w:r w:rsidRPr="00EE1629">
        <w:rPr>
          <w:sz w:val="21"/>
          <w:szCs w:val="21"/>
        </w:rPr>
        <w:t xml:space="preserve">ich are vital in demonstrating our </w:t>
      </w:r>
      <w:r w:rsidRPr="00EE1629">
        <w:rPr>
          <w:sz w:val="21"/>
          <w:szCs w:val="21"/>
        </w:rPr>
        <w:t>research excellence</w:t>
      </w:r>
      <w:r w:rsidRPr="00EE1629">
        <w:rPr>
          <w:sz w:val="21"/>
          <w:szCs w:val="21"/>
        </w:rPr>
        <w:t xml:space="preserve">. </w:t>
      </w:r>
    </w:p>
    <w:p w:rsidR="00125343" w:rsidRPr="00125343" w:rsidP="00125343">
      <w:pPr>
        <w:rPr>
          <w:i/>
          <w:iCs/>
          <w:sz w:val="21"/>
          <w:szCs w:val="21"/>
        </w:rPr>
      </w:pPr>
      <w:r w:rsidRPr="00125343">
        <w:rPr>
          <w:i/>
          <w:iCs/>
          <w:sz w:val="21"/>
          <w:szCs w:val="21"/>
        </w:rPr>
        <w:t>January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31AC6"/>
    <w:multiLevelType w:val="hybridMultilevel"/>
    <w:tmpl w:val="A1C0C3E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720F7FF1"/>
    <w:multiLevelType w:val="hybridMultilevel"/>
    <w:tmpl w:val="503A102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24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6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6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6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6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6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6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6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6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6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6AC"/>
    <w:rPr>
      <w:rFonts w:eastAsiaTheme="majorEastAsia" w:cstheme="majorBidi"/>
      <w:color w:val="272727" w:themeColor="text1" w:themeTint="D8"/>
    </w:rPr>
  </w:style>
  <w:style w:type="paragraph" w:styleId="Title">
    <w:name w:val="Title"/>
    <w:basedOn w:val="Normal"/>
    <w:next w:val="Normal"/>
    <w:link w:val="TitleChar"/>
    <w:uiPriority w:val="10"/>
    <w:qFormat/>
    <w:rsid w:val="00024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6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6AC"/>
    <w:pPr>
      <w:spacing w:before="160"/>
      <w:jc w:val="center"/>
    </w:pPr>
    <w:rPr>
      <w:i/>
      <w:iCs/>
      <w:color w:val="404040" w:themeColor="text1" w:themeTint="BF"/>
    </w:rPr>
  </w:style>
  <w:style w:type="character" w:customStyle="1" w:styleId="QuoteChar">
    <w:name w:val="Quote Char"/>
    <w:basedOn w:val="DefaultParagraphFont"/>
    <w:link w:val="Quote"/>
    <w:uiPriority w:val="29"/>
    <w:rsid w:val="000246AC"/>
    <w:rPr>
      <w:i/>
      <w:iCs/>
      <w:color w:val="404040" w:themeColor="text1" w:themeTint="BF"/>
    </w:rPr>
  </w:style>
  <w:style w:type="paragraph" w:styleId="ListParagraph">
    <w:name w:val="List Paragraph"/>
    <w:basedOn w:val="Normal"/>
    <w:uiPriority w:val="34"/>
    <w:qFormat/>
    <w:rsid w:val="000246AC"/>
    <w:pPr>
      <w:ind w:left="720"/>
      <w:contextualSpacing/>
    </w:pPr>
  </w:style>
  <w:style w:type="character" w:styleId="IntenseEmphasis">
    <w:name w:val="Intense Emphasis"/>
    <w:basedOn w:val="DefaultParagraphFont"/>
    <w:uiPriority w:val="21"/>
    <w:qFormat/>
    <w:rsid w:val="000246AC"/>
    <w:rPr>
      <w:i/>
      <w:iCs/>
      <w:color w:val="0F4761" w:themeColor="accent1" w:themeShade="BF"/>
    </w:rPr>
  </w:style>
  <w:style w:type="paragraph" w:styleId="IntenseQuote">
    <w:name w:val="Intense Quote"/>
    <w:basedOn w:val="Normal"/>
    <w:next w:val="Normal"/>
    <w:link w:val="IntenseQuoteChar"/>
    <w:uiPriority w:val="30"/>
    <w:qFormat/>
    <w:rsid w:val="00024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6AC"/>
    <w:rPr>
      <w:i/>
      <w:iCs/>
      <w:color w:val="0F4761" w:themeColor="accent1" w:themeShade="BF"/>
    </w:rPr>
  </w:style>
  <w:style w:type="character" w:styleId="IntenseReference">
    <w:name w:val="Intense Reference"/>
    <w:basedOn w:val="DefaultParagraphFont"/>
    <w:uiPriority w:val="32"/>
    <w:qFormat/>
    <w:rsid w:val="000246AC"/>
    <w:rPr>
      <w:b/>
      <w:bCs/>
      <w:smallCaps/>
      <w:color w:val="0F4761" w:themeColor="accent1" w:themeShade="BF"/>
      <w:spacing w:val="5"/>
    </w:rPr>
  </w:style>
  <w:style w:type="paragraph" w:styleId="CommentText">
    <w:name w:val="annotation text"/>
    <w:basedOn w:val="Normal"/>
    <w:link w:val="CommentTextChar"/>
    <w:uiPriority w:val="99"/>
    <w:unhideWhenUsed/>
    <w:rsid w:val="00E80DD0"/>
    <w:pPr>
      <w:spacing w:line="240" w:lineRule="auto"/>
    </w:pPr>
    <w:rPr>
      <w:sz w:val="20"/>
      <w:szCs w:val="20"/>
    </w:rPr>
  </w:style>
  <w:style w:type="character" w:customStyle="1" w:styleId="CommentTextChar">
    <w:name w:val="Comment Text Char"/>
    <w:basedOn w:val="DefaultParagraphFont"/>
    <w:link w:val="CommentText"/>
    <w:uiPriority w:val="99"/>
    <w:rsid w:val="00E80DD0"/>
    <w:rPr>
      <w:sz w:val="20"/>
      <w:szCs w:val="20"/>
    </w:rPr>
  </w:style>
  <w:style w:type="character" w:styleId="CommentReference">
    <w:name w:val="annotation reference"/>
    <w:basedOn w:val="DefaultParagraphFont"/>
    <w:uiPriority w:val="99"/>
    <w:semiHidden/>
    <w:unhideWhenUsed/>
    <w:rsid w:val="00E80DD0"/>
    <w:rPr>
      <w:sz w:val="16"/>
      <w:szCs w:val="16"/>
    </w:rPr>
  </w:style>
  <w:style w:type="paragraph" w:styleId="CommentSubject">
    <w:name w:val="annotation subject"/>
    <w:basedOn w:val="CommentText"/>
    <w:next w:val="CommentText"/>
    <w:link w:val="CommentSubjectChar"/>
    <w:uiPriority w:val="99"/>
    <w:semiHidden/>
    <w:unhideWhenUsed/>
    <w:rsid w:val="00A948D6"/>
    <w:rPr>
      <w:b/>
      <w:bCs/>
    </w:rPr>
  </w:style>
  <w:style w:type="character" w:customStyle="1" w:styleId="CommentSubjectChar">
    <w:name w:val="Comment Subject Char"/>
    <w:basedOn w:val="CommentTextChar"/>
    <w:link w:val="CommentSubject"/>
    <w:uiPriority w:val="99"/>
    <w:semiHidden/>
    <w:rsid w:val="00A948D6"/>
    <w:rPr>
      <w:b/>
      <w:bCs/>
      <w:sz w:val="20"/>
      <w:szCs w:val="20"/>
    </w:rPr>
  </w:style>
  <w:style w:type="character" w:customStyle="1" w:styleId="Mention1">
    <w:name w:val="Mention1"/>
    <w:basedOn w:val="DefaultParagraphFont"/>
    <w:uiPriority w:val="99"/>
    <w:unhideWhenUsed/>
    <w:rsid w:val="00A948D6"/>
    <w:rPr>
      <w:color w:val="2B579A"/>
      <w:shd w:val="clear" w:color="auto" w:fill="E1DFDD"/>
    </w:rPr>
  </w:style>
  <w:style w:type="paragraph" w:styleId="Header">
    <w:name w:val="header"/>
    <w:basedOn w:val="Normal"/>
    <w:link w:val="HeaderChar"/>
    <w:uiPriority w:val="99"/>
    <w:unhideWhenUsed/>
    <w:rsid w:val="00125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343"/>
  </w:style>
  <w:style w:type="paragraph" w:styleId="Footer">
    <w:name w:val="footer"/>
    <w:basedOn w:val="Normal"/>
    <w:link w:val="FooterChar"/>
    <w:uiPriority w:val="99"/>
    <w:unhideWhenUsed/>
    <w:rsid w:val="00125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DD06A-8DFE-488B-B8A4-73729BCC8EA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