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2DB4" w:rsidRPr="00983A68" w:rsidP="00983A68">
      <w:pPr>
        <w:pStyle w:val="Heading1"/>
        <w:spacing w:before="30" w:after="30" w:line="480" w:lineRule="auto"/>
        <w:rPr>
          <w:rFonts w:ascii="Verdana" w:hAnsi="Verdana" w:cs="Times New Roman"/>
          <w:color w:val="000000" w:themeColor="text1"/>
        </w:rPr>
      </w:pPr>
      <w:r w:rsidRPr="00983A68">
        <w:rPr>
          <w:rFonts w:ascii="Verdana" w:hAnsi="Verdana" w:cs="Times New Roman"/>
          <w:color w:val="000000" w:themeColor="text1"/>
        </w:rPr>
        <w:t>Professor Aditya Goenka, Professor of Economics at Department of Economics, Birmingham Business School, University of Birmingham – Written evidence UKFA0013</w:t>
      </w:r>
    </w:p>
    <w:p w:rsidR="003D2DB4" w:rsidRPr="00704B9E" w:rsidP="001D2F66">
      <w:pPr>
        <w:jc w:val="center"/>
        <w:rPr>
          <w:rFonts w:cs="Times New Roman"/>
        </w:rPr>
      </w:pPr>
    </w:p>
    <w:p w:rsidR="003D2DB4" w:rsidRPr="00983A68" w:rsidP="00983A68">
      <w:pPr>
        <w:pStyle w:val="NormalWeb"/>
        <w:spacing w:before="20" w:beforeAutospacing="0" w:after="20" w:afterAutospacing="0" w:line="480" w:lineRule="auto"/>
        <w:rPr>
          <w:rFonts w:ascii="Verdana" w:hAnsi="Verdana"/>
          <w:color w:val="000000" w:themeColor="text1"/>
        </w:rPr>
      </w:pPr>
      <w:r w:rsidRPr="00983A68">
        <w:rPr>
          <w:rFonts w:ascii="Verdana" w:hAnsi="Verdana"/>
          <w:color w:val="000000" w:themeColor="text1"/>
        </w:rPr>
        <w:t>This submission argues that the UK fiscal framework has become excessively rigid, overly dependent on volatile five-year forecasts, and narrowly focused on gilt-market signalling. Drawing on the intellectual history of fiscal rules, international best practice, the structure of the UK rule set, the OBR’s modelling framework, and new empirical evidence, central points are:</w:t>
      </w:r>
    </w:p>
    <w:p w:rsidR="003D2DB4" w:rsidRPr="00983A68" w:rsidP="008668AB">
      <w:pPr>
        <w:pStyle w:val="Heading2"/>
        <w:spacing w:before="20" w:after="20" w:line="480" w:lineRule="auto"/>
        <w:rPr>
          <w:rFonts w:ascii="Verdana" w:hAnsi="Verdana" w:cs="Times New Roman"/>
          <w:b w:val="0"/>
          <w:bCs w:val="0"/>
          <w:color w:val="000000" w:themeColor="text1"/>
          <w:sz w:val="24"/>
          <w:szCs w:val="24"/>
          <w:u w:val="single"/>
        </w:rPr>
      </w:pPr>
      <w:r w:rsidRPr="00983A68">
        <w:rPr>
          <w:rStyle w:val="Strong"/>
          <w:rFonts w:ascii="Verdana" w:hAnsi="Verdana" w:cs="Times New Roman"/>
          <w:color w:val="000000" w:themeColor="text1"/>
          <w:sz w:val="24"/>
          <w:szCs w:val="24"/>
          <w:u w:val="single"/>
        </w:rPr>
        <w:t>The UK’s fiscal rules are unusually tight and structurally fragile</w:t>
      </w:r>
    </w:p>
    <w:p w:rsidR="003D2DB4" w:rsidRPr="00983A68" w:rsidP="008668AB">
      <w:pPr>
        <w:pStyle w:val="NormalWeb"/>
        <w:numPr>
          <w:ilvl w:val="0"/>
          <w:numId w:val="10"/>
        </w:numPr>
        <w:spacing w:before="20" w:beforeAutospacing="0" w:after="20" w:afterAutospacing="0" w:line="480" w:lineRule="auto"/>
        <w:rPr>
          <w:rFonts w:ascii="Verdana" w:hAnsi="Verdana"/>
          <w:color w:val="000000" w:themeColor="text1"/>
        </w:rPr>
      </w:pPr>
      <w:r w:rsidRPr="00983A68">
        <w:rPr>
          <w:rFonts w:ascii="Verdana" w:hAnsi="Verdana"/>
          <w:color w:val="000000" w:themeColor="text1"/>
        </w:rPr>
        <w:t xml:space="preserve">Since 1997, the UK has introduced </w:t>
      </w:r>
      <w:r w:rsidRPr="00983A68">
        <w:rPr>
          <w:rStyle w:val="Strong"/>
          <w:rFonts w:ascii="Verdana" w:hAnsi="Verdana"/>
          <w:b w:val="0"/>
          <w:bCs w:val="0"/>
          <w:color w:val="000000" w:themeColor="text1"/>
        </w:rPr>
        <w:t>ten</w:t>
      </w:r>
      <w:r w:rsidRPr="00983A68">
        <w:rPr>
          <w:rFonts w:ascii="Verdana" w:hAnsi="Verdana"/>
          <w:color w:val="000000" w:themeColor="text1"/>
        </w:rPr>
        <w:t xml:space="preserve"> fiscal-rule regimes; nine since 2008. Frequent changes weaken credibility and reduce transparency.</w:t>
      </w:r>
    </w:p>
    <w:p w:rsidR="003D2DB4" w:rsidRPr="00983A68" w:rsidP="008668AB">
      <w:pPr>
        <w:pStyle w:val="NormalWeb"/>
        <w:numPr>
          <w:ilvl w:val="0"/>
          <w:numId w:val="10"/>
        </w:numPr>
        <w:spacing w:before="20" w:beforeAutospacing="0" w:after="20" w:afterAutospacing="0" w:line="480" w:lineRule="auto"/>
        <w:rPr>
          <w:rFonts w:ascii="Verdana" w:hAnsi="Verdana"/>
          <w:color w:val="000000" w:themeColor="text1"/>
        </w:rPr>
      </w:pPr>
      <w:r w:rsidRPr="00983A68">
        <w:rPr>
          <w:rFonts w:ascii="Verdana" w:hAnsi="Verdana"/>
          <w:color w:val="000000" w:themeColor="text1"/>
        </w:rPr>
        <w:t xml:space="preserve">The current rule—requiring </w:t>
      </w:r>
      <w:r w:rsidRPr="00983A68">
        <w:rPr>
          <w:rStyle w:val="Strong"/>
          <w:rFonts w:ascii="Verdana" w:hAnsi="Verdana"/>
          <w:b w:val="0"/>
          <w:bCs w:val="0"/>
          <w:color w:val="000000" w:themeColor="text1"/>
        </w:rPr>
        <w:t>debt to fall in year five of the OBR forecast</w:t>
      </w:r>
      <w:r w:rsidRPr="00983A68">
        <w:rPr>
          <w:rFonts w:ascii="Verdana" w:hAnsi="Verdana"/>
          <w:color w:val="000000" w:themeColor="text1"/>
        </w:rPr>
        <w:t>—is exceptionally sensitive to small revisions in economic assumptions.</w:t>
      </w:r>
    </w:p>
    <w:p w:rsidR="003D2DB4" w:rsidRPr="00983A68" w:rsidP="008668AB">
      <w:pPr>
        <w:pStyle w:val="NormalWeb"/>
        <w:numPr>
          <w:ilvl w:val="0"/>
          <w:numId w:val="10"/>
        </w:numPr>
        <w:spacing w:before="20" w:beforeAutospacing="0" w:after="20" w:afterAutospacing="0" w:line="480" w:lineRule="auto"/>
        <w:rPr>
          <w:rFonts w:ascii="Verdana" w:hAnsi="Verdana"/>
          <w:color w:val="000000" w:themeColor="text1"/>
        </w:rPr>
      </w:pPr>
      <w:r w:rsidRPr="00983A68">
        <w:rPr>
          <w:rFonts w:ascii="Verdana" w:hAnsi="Verdana"/>
          <w:color w:val="000000" w:themeColor="text1"/>
        </w:rPr>
        <w:t>“Fiscal headroom” has become a central political indicator despite being highly volatile; its levels have remained historically low since 2022.</w:t>
      </w:r>
    </w:p>
    <w:p w:rsidR="003D2DB4" w:rsidRPr="00983A68" w:rsidP="00983A68">
      <w:pPr>
        <w:pStyle w:val="NormalWeb"/>
        <w:numPr>
          <w:ilvl w:val="0"/>
          <w:numId w:val="10"/>
        </w:numPr>
        <w:spacing w:before="20" w:beforeAutospacing="0" w:after="20" w:afterAutospacing="0" w:line="480" w:lineRule="auto"/>
        <w:rPr>
          <w:rFonts w:ascii="Verdana" w:hAnsi="Verdana"/>
          <w:color w:val="000000" w:themeColor="text1"/>
        </w:rPr>
      </w:pPr>
      <w:r w:rsidRPr="00983A68">
        <w:rPr>
          <w:rFonts w:ascii="Verdana" w:hAnsi="Verdana"/>
          <w:color w:val="000000" w:themeColor="text1"/>
        </w:rPr>
        <w:t xml:space="preserve">The focus on stabilising gilt markets is </w:t>
      </w:r>
      <w:r w:rsidRPr="00983A68">
        <w:rPr>
          <w:rStyle w:val="Strong"/>
          <w:rFonts w:ascii="Verdana" w:hAnsi="Verdana"/>
          <w:b w:val="0"/>
          <w:bCs w:val="0"/>
          <w:color w:val="000000" w:themeColor="text1"/>
        </w:rPr>
        <w:t>not aligned</w:t>
      </w:r>
      <w:r w:rsidRPr="00983A68">
        <w:rPr>
          <w:rFonts w:ascii="Verdana" w:hAnsi="Verdana"/>
          <w:color w:val="000000" w:themeColor="text1"/>
        </w:rPr>
        <w:t xml:space="preserve"> with OECD guidance, which emphasises medium-term expenditure control and state-contingent flexibility.</w:t>
      </w:r>
    </w:p>
    <w:p w:rsidR="003D2DB4" w:rsidRPr="00983A68" w:rsidP="00983A68">
      <w:pPr>
        <w:pStyle w:val="Heading2"/>
        <w:spacing w:before="20" w:after="20" w:line="480" w:lineRule="auto"/>
        <w:rPr>
          <w:rStyle w:val="Strong"/>
          <w:rFonts w:ascii="Verdana" w:hAnsi="Verdana" w:cs="Times New Roman"/>
          <w:color w:val="000000" w:themeColor="text1"/>
          <w:sz w:val="24"/>
          <w:szCs w:val="24"/>
        </w:rPr>
      </w:pPr>
      <w:r w:rsidRPr="00983A68">
        <w:rPr>
          <w:rStyle w:val="Strong"/>
          <w:rFonts w:ascii="Verdana" w:hAnsi="Verdana" w:cs="Times New Roman"/>
          <w:color w:val="000000" w:themeColor="text1"/>
          <w:sz w:val="24"/>
          <w:szCs w:val="24"/>
          <w:u w:val="single"/>
        </w:rPr>
        <w:t>Academic evidence shows that rigid rules can create instability</w:t>
      </w:r>
    </w:p>
    <w:p w:rsidR="003D2DB4" w:rsidRPr="00983A68" w:rsidP="00983A68">
      <w:pPr>
        <w:pStyle w:val="Heading2"/>
        <w:numPr>
          <w:ilvl w:val="0"/>
          <w:numId w:val="15"/>
        </w:numPr>
        <w:spacing w:before="20" w:after="20" w:line="480" w:lineRule="auto"/>
        <w:rPr>
          <w:rFonts w:ascii="Verdana" w:hAnsi="Verdana" w:cs="Times New Roman"/>
          <w:b w:val="0"/>
          <w:bCs w:val="0"/>
          <w:color w:val="000000" w:themeColor="text1"/>
          <w:sz w:val="24"/>
          <w:szCs w:val="24"/>
        </w:rPr>
      </w:pPr>
      <w:r w:rsidRPr="00983A68">
        <w:rPr>
          <w:rFonts w:ascii="Verdana" w:hAnsi="Verdana" w:cs="Times New Roman"/>
          <w:b w:val="0"/>
          <w:bCs w:val="0"/>
          <w:color w:val="000000" w:themeColor="text1"/>
          <w:sz w:val="24"/>
          <w:szCs w:val="24"/>
        </w:rPr>
        <w:t>The academic literature highlights desirability of fiscal rules to counter discretion and uncertainty of fiscal policy, credibility of policy announcement, credibility of policy setting, and countering deficit bias.</w:t>
      </w:r>
    </w:p>
    <w:p w:rsidR="003D2DB4" w:rsidRPr="00983A68" w:rsidP="00983A68">
      <w:pPr>
        <w:pStyle w:val="Heading2"/>
        <w:numPr>
          <w:ilvl w:val="0"/>
          <w:numId w:val="15"/>
        </w:numPr>
        <w:spacing w:before="20" w:after="20" w:line="480" w:lineRule="auto"/>
        <w:rPr>
          <w:rFonts w:ascii="Verdana" w:hAnsi="Verdana" w:cs="Times New Roman"/>
          <w:b w:val="0"/>
          <w:bCs w:val="0"/>
          <w:color w:val="000000" w:themeColor="text1"/>
          <w:sz w:val="24"/>
          <w:szCs w:val="24"/>
        </w:rPr>
      </w:pPr>
      <w:r w:rsidRPr="00983A68">
        <w:rPr>
          <w:rStyle w:val="Strong"/>
          <w:rFonts w:ascii="Verdana" w:hAnsi="Verdana" w:cs="Times New Roman"/>
          <w:color w:val="000000" w:themeColor="text1"/>
          <w:sz w:val="24"/>
          <w:szCs w:val="24"/>
        </w:rPr>
        <w:t>However, tight, binding, state-invariant rules can generate</w:t>
      </w:r>
      <w:r w:rsidRPr="00983A68">
        <w:rPr>
          <w:rFonts w:ascii="Verdana" w:hAnsi="Verdana" w:cs="Times New Roman"/>
          <w:b w:val="0"/>
          <w:bCs w:val="0"/>
          <w:color w:val="000000" w:themeColor="text1"/>
          <w:sz w:val="24"/>
          <w:szCs w:val="24"/>
        </w:rPr>
        <w:t xml:space="preserve"> self-fulfilling fluctuations.</w:t>
      </w:r>
    </w:p>
    <w:p w:rsidR="003D2DB4" w:rsidRPr="00983A68" w:rsidP="00983A68">
      <w:pPr>
        <w:pStyle w:val="NormalWeb"/>
        <w:numPr>
          <w:ilvl w:val="0"/>
          <w:numId w:val="11"/>
        </w:numPr>
        <w:spacing w:before="20" w:beforeAutospacing="0" w:after="20" w:afterAutospacing="0" w:line="480" w:lineRule="auto"/>
        <w:rPr>
          <w:rFonts w:ascii="Verdana" w:hAnsi="Verdana"/>
          <w:color w:val="000000" w:themeColor="text1"/>
        </w:rPr>
      </w:pPr>
      <w:r w:rsidRPr="00983A68">
        <w:rPr>
          <w:rFonts w:ascii="Verdana" w:hAnsi="Verdana"/>
          <w:color w:val="000000" w:themeColor="text1"/>
        </w:rPr>
        <w:t>The UK’s framework exhibits the conditions under which this mechanism arises: tight constraints, no state contingency, and reliance on fixed assessment dates.</w:t>
      </w:r>
    </w:p>
    <w:p w:rsidR="003D2DB4" w:rsidRPr="00983A68" w:rsidP="00983A68">
      <w:pPr>
        <w:pStyle w:val="Heading2"/>
        <w:spacing w:before="20" w:after="20" w:line="480" w:lineRule="auto"/>
        <w:rPr>
          <w:rFonts w:ascii="Verdana" w:hAnsi="Verdana" w:cs="Times New Roman"/>
          <w:b w:val="0"/>
          <w:bCs w:val="0"/>
          <w:color w:val="000000" w:themeColor="text1"/>
          <w:sz w:val="24"/>
          <w:szCs w:val="24"/>
          <w:u w:val="single"/>
        </w:rPr>
      </w:pPr>
      <w:r w:rsidRPr="00983A68">
        <w:rPr>
          <w:rStyle w:val="Strong"/>
          <w:rFonts w:ascii="Verdana" w:hAnsi="Verdana" w:cs="Times New Roman"/>
          <w:color w:val="000000" w:themeColor="text1"/>
          <w:sz w:val="24"/>
          <w:szCs w:val="24"/>
          <w:u w:val="single"/>
        </w:rPr>
        <w:t>The OBR’s forecasting and dynamic scoring are not suitable for binding rules</w:t>
      </w:r>
    </w:p>
    <w:p w:rsidR="003D2DB4" w:rsidRPr="00983A68" w:rsidP="00983A68">
      <w:pPr>
        <w:pStyle w:val="NormalWeb"/>
        <w:numPr>
          <w:ilvl w:val="0"/>
          <w:numId w:val="12"/>
        </w:numPr>
        <w:spacing w:before="20" w:beforeAutospacing="0" w:after="20" w:afterAutospacing="0" w:line="480" w:lineRule="auto"/>
        <w:rPr>
          <w:rFonts w:ascii="Verdana" w:hAnsi="Verdana"/>
          <w:color w:val="000000" w:themeColor="text1"/>
        </w:rPr>
      </w:pPr>
      <w:r w:rsidRPr="00983A68">
        <w:rPr>
          <w:rFonts w:ascii="Verdana" w:hAnsi="Verdana"/>
          <w:color w:val="000000" w:themeColor="text1"/>
        </w:rPr>
        <w:t xml:space="preserve">The OBR’s large macro-econometric model (MEMM) is </w:t>
      </w:r>
      <w:r w:rsidRPr="00983A68">
        <w:rPr>
          <w:rStyle w:val="Strong"/>
          <w:rFonts w:ascii="Verdana" w:hAnsi="Verdana"/>
          <w:b w:val="0"/>
          <w:bCs w:val="0"/>
          <w:color w:val="000000" w:themeColor="text1"/>
        </w:rPr>
        <w:t>not structural</w:t>
      </w:r>
      <w:r w:rsidRPr="00983A68">
        <w:rPr>
          <w:rFonts w:ascii="Verdana" w:hAnsi="Verdana"/>
          <w:color w:val="000000" w:themeColor="text1"/>
        </w:rPr>
        <w:t>, relying heavily on judgement, and is based on the premise that past behaviour will remain invariant to policy changes.</w:t>
      </w:r>
    </w:p>
    <w:p w:rsidR="003D2DB4" w:rsidRPr="00983A68" w:rsidP="00983A68">
      <w:pPr>
        <w:pStyle w:val="NormalWeb"/>
        <w:numPr>
          <w:ilvl w:val="0"/>
          <w:numId w:val="12"/>
        </w:numPr>
        <w:spacing w:before="20" w:beforeAutospacing="0" w:after="20" w:afterAutospacing="0" w:line="480" w:lineRule="auto"/>
        <w:rPr>
          <w:rFonts w:ascii="Verdana" w:hAnsi="Verdana"/>
          <w:color w:val="000000" w:themeColor="text1"/>
        </w:rPr>
      </w:pPr>
      <w:r w:rsidRPr="00983A68">
        <w:rPr>
          <w:rFonts w:ascii="Verdana" w:hAnsi="Verdana"/>
          <w:color w:val="000000" w:themeColor="text1"/>
        </w:rPr>
        <w:t>Dynamic scoring (introduced in 2023) is not robust enough to anchor statutory debt targets.</w:t>
      </w:r>
    </w:p>
    <w:p w:rsidR="003D2DB4" w:rsidRPr="00983A68" w:rsidP="00983A68">
      <w:pPr>
        <w:pStyle w:val="NormalWeb"/>
        <w:numPr>
          <w:ilvl w:val="0"/>
          <w:numId w:val="12"/>
        </w:numPr>
        <w:spacing w:before="20" w:beforeAutospacing="0" w:after="20" w:afterAutospacing="0" w:line="480" w:lineRule="auto"/>
        <w:rPr>
          <w:rFonts w:ascii="Verdana" w:hAnsi="Verdana"/>
          <w:color w:val="000000" w:themeColor="text1"/>
        </w:rPr>
      </w:pPr>
      <w:r w:rsidRPr="00983A68">
        <w:rPr>
          <w:rFonts w:ascii="Verdana" w:hAnsi="Verdana"/>
          <w:color w:val="000000" w:themeColor="text1"/>
        </w:rPr>
        <w:t xml:space="preserve">When rules depend on a single point forecast five years ahead, </w:t>
      </w:r>
      <w:r w:rsidRPr="00983A68">
        <w:rPr>
          <w:rStyle w:val="Strong"/>
          <w:rFonts w:ascii="Verdana" w:hAnsi="Verdana"/>
          <w:b w:val="0"/>
          <w:bCs w:val="0"/>
          <w:color w:val="000000" w:themeColor="text1"/>
        </w:rPr>
        <w:t>forecast revisions drive policy</w:t>
      </w:r>
      <w:r w:rsidRPr="00983A68">
        <w:rPr>
          <w:rFonts w:ascii="Verdana" w:hAnsi="Verdana"/>
          <w:color w:val="000000" w:themeColor="text1"/>
        </w:rPr>
        <w:t>, creating a forecast–policy feedback loop that heightens self-fulfilling volatility.</w:t>
      </w:r>
    </w:p>
    <w:p w:rsidR="003D2DB4" w:rsidRPr="00983A68" w:rsidP="00983A68">
      <w:pPr>
        <w:pStyle w:val="Heading2"/>
        <w:spacing w:before="20" w:after="20" w:line="480" w:lineRule="auto"/>
        <w:rPr>
          <w:rStyle w:val="Strong"/>
          <w:rFonts w:ascii="Verdana" w:hAnsi="Verdana" w:cs="Times New Roman"/>
          <w:color w:val="000000" w:themeColor="text1"/>
          <w:sz w:val="24"/>
          <w:szCs w:val="24"/>
        </w:rPr>
      </w:pPr>
      <w:r w:rsidRPr="00983A68">
        <w:rPr>
          <w:rStyle w:val="Strong"/>
          <w:rFonts w:ascii="Verdana" w:hAnsi="Verdana" w:cs="Times New Roman"/>
          <w:color w:val="000000" w:themeColor="text1"/>
          <w:sz w:val="24"/>
          <w:szCs w:val="24"/>
          <w:u w:val="single"/>
        </w:rPr>
        <w:t>New empirical evidence</w:t>
      </w:r>
    </w:p>
    <w:p w:rsidR="003D2DB4" w:rsidRPr="00983A68" w:rsidP="00983A68">
      <w:pPr>
        <w:pStyle w:val="Heading2"/>
        <w:spacing w:before="20" w:after="20" w:line="480" w:lineRule="auto"/>
        <w:rPr>
          <w:rFonts w:ascii="Verdana" w:hAnsi="Verdana" w:cs="Times New Roman"/>
          <w:b w:val="0"/>
          <w:bCs w:val="0"/>
          <w:color w:val="000000" w:themeColor="text1"/>
          <w:sz w:val="24"/>
          <w:szCs w:val="24"/>
        </w:rPr>
      </w:pPr>
      <w:r w:rsidRPr="00983A68">
        <w:rPr>
          <w:rStyle w:val="Strong"/>
          <w:rFonts w:ascii="Verdana" w:hAnsi="Verdana" w:cs="Times New Roman"/>
          <w:color w:val="000000" w:themeColor="text1"/>
          <w:sz w:val="24"/>
          <w:szCs w:val="24"/>
        </w:rPr>
        <w:t>Fiscal-rule salience stabilises gilt yields but depresses real activity and consumer sentiment</w:t>
      </w:r>
    </w:p>
    <w:p w:rsidR="003D2DB4" w:rsidRPr="00983A68" w:rsidP="00983A68">
      <w:pPr>
        <w:pStyle w:val="NormalWeb"/>
        <w:numPr>
          <w:ilvl w:val="0"/>
          <w:numId w:val="13"/>
        </w:numPr>
        <w:spacing w:before="20" w:beforeAutospacing="0" w:after="20" w:afterAutospacing="0" w:line="480" w:lineRule="auto"/>
        <w:rPr>
          <w:rFonts w:ascii="Verdana" w:hAnsi="Verdana"/>
          <w:color w:val="000000" w:themeColor="text1"/>
        </w:rPr>
      </w:pPr>
      <w:r w:rsidRPr="00983A68">
        <w:rPr>
          <w:rFonts w:ascii="Verdana" w:hAnsi="Verdana"/>
          <w:color w:val="000000" w:themeColor="text1"/>
        </w:rPr>
        <w:t>Media and political salience of fiscal rules and “headroom” has increased sharply since 2022, especially around Budgets, Autumn Statements, and OBR EFOs.</w:t>
      </w:r>
    </w:p>
    <w:p w:rsidR="003D2DB4" w:rsidRPr="00983A68" w:rsidP="00983A68">
      <w:pPr>
        <w:pStyle w:val="NormalWeb"/>
        <w:numPr>
          <w:ilvl w:val="0"/>
          <w:numId w:val="13"/>
        </w:numPr>
        <w:spacing w:before="20" w:beforeAutospacing="0" w:after="20" w:afterAutospacing="0" w:line="480" w:lineRule="auto"/>
        <w:rPr>
          <w:rFonts w:ascii="Verdana" w:hAnsi="Verdana"/>
          <w:color w:val="000000" w:themeColor="text1"/>
        </w:rPr>
      </w:pPr>
      <w:r w:rsidRPr="00983A68">
        <w:rPr>
          <w:rFonts w:ascii="Verdana" w:hAnsi="Verdana"/>
          <w:color w:val="000000" w:themeColor="text1"/>
        </w:rPr>
        <w:t>This pattern is consistent with the self-fulfilling mechanism: the rule stabilises one margin (bond markets) at the cost of self-fulfilling greater uncertainty and weaker activity elsewhere.</w:t>
      </w:r>
    </w:p>
    <w:p w:rsidR="003D2DB4" w:rsidRPr="00983A68" w:rsidP="00983A68">
      <w:pPr>
        <w:pStyle w:val="Heading2"/>
        <w:spacing w:before="20" w:after="20" w:line="480" w:lineRule="auto"/>
        <w:rPr>
          <w:rFonts w:ascii="Verdana" w:hAnsi="Verdana" w:cs="Times New Roman"/>
          <w:b w:val="0"/>
          <w:bCs w:val="0"/>
          <w:color w:val="000000" w:themeColor="text1"/>
          <w:sz w:val="24"/>
          <w:szCs w:val="24"/>
          <w:u w:val="single"/>
        </w:rPr>
      </w:pPr>
      <w:r w:rsidRPr="00983A68">
        <w:rPr>
          <w:rStyle w:val="Strong"/>
          <w:rFonts w:ascii="Verdana" w:hAnsi="Verdana" w:cs="Times New Roman"/>
          <w:color w:val="000000" w:themeColor="text1"/>
          <w:sz w:val="24"/>
          <w:szCs w:val="24"/>
          <w:u w:val="single"/>
        </w:rPr>
        <w:t>Policy recommendations</w:t>
      </w:r>
    </w:p>
    <w:p w:rsidR="003D2DB4" w:rsidRPr="00983A68" w:rsidP="00983A68">
      <w:pPr>
        <w:pStyle w:val="NormalWeb"/>
        <w:numPr>
          <w:ilvl w:val="0"/>
          <w:numId w:val="22"/>
        </w:numPr>
        <w:spacing w:before="20" w:beforeAutospacing="0" w:after="20" w:afterAutospacing="0" w:line="480" w:lineRule="auto"/>
        <w:rPr>
          <w:rFonts w:ascii="Verdana" w:hAnsi="Verdana"/>
          <w:color w:val="000000" w:themeColor="text1"/>
        </w:rPr>
      </w:pPr>
      <w:r w:rsidRPr="00983A68">
        <w:rPr>
          <w:rFonts w:ascii="Verdana" w:hAnsi="Verdana"/>
          <w:color w:val="000000" w:themeColor="text1"/>
        </w:rPr>
        <w:t xml:space="preserve">Replace the “debt falls in year five” rule with a </w:t>
      </w:r>
      <w:r w:rsidRPr="00983A68">
        <w:rPr>
          <w:rStyle w:val="Strong"/>
          <w:rFonts w:ascii="Verdana" w:hAnsi="Verdana"/>
          <w:b w:val="0"/>
          <w:bCs w:val="0"/>
          <w:color w:val="000000" w:themeColor="text1"/>
        </w:rPr>
        <w:t>medium-term debt anchor</w:t>
      </w:r>
      <w:r w:rsidRPr="00983A68">
        <w:rPr>
          <w:rFonts w:ascii="Verdana" w:hAnsi="Verdana"/>
          <w:color w:val="000000" w:themeColor="text1"/>
        </w:rPr>
        <w:t xml:space="preserve"> plus a </w:t>
      </w:r>
      <w:r w:rsidRPr="00983A68">
        <w:rPr>
          <w:rStyle w:val="Strong"/>
          <w:rFonts w:ascii="Verdana" w:hAnsi="Verdana"/>
          <w:b w:val="0"/>
          <w:bCs w:val="0"/>
          <w:color w:val="000000" w:themeColor="text1"/>
        </w:rPr>
        <w:t>multi-year expenditure rule</w:t>
      </w:r>
      <w:r w:rsidRPr="00983A68">
        <w:rPr>
          <w:rFonts w:ascii="Verdana" w:hAnsi="Verdana"/>
          <w:color w:val="000000" w:themeColor="text1"/>
        </w:rPr>
        <w:t xml:space="preserve">, consistent with OECD best practice. Introduce </w:t>
      </w:r>
      <w:r w:rsidRPr="00983A68">
        <w:rPr>
          <w:rStyle w:val="Strong"/>
          <w:rFonts w:ascii="Verdana" w:hAnsi="Verdana"/>
          <w:b w:val="0"/>
          <w:bCs w:val="0"/>
          <w:color w:val="000000" w:themeColor="text1"/>
        </w:rPr>
        <w:t>state-contingent escape clauses</w:t>
      </w:r>
      <w:r w:rsidRPr="00983A68">
        <w:rPr>
          <w:rFonts w:ascii="Verdana" w:hAnsi="Verdana"/>
          <w:color w:val="000000" w:themeColor="text1"/>
        </w:rPr>
        <w:t xml:space="preserve"> with transparent triggers and independent oversight.</w:t>
      </w:r>
    </w:p>
    <w:p w:rsidR="003D2DB4" w:rsidRPr="00983A68" w:rsidP="00983A68">
      <w:pPr>
        <w:pStyle w:val="NormalWeb"/>
        <w:numPr>
          <w:ilvl w:val="0"/>
          <w:numId w:val="14"/>
        </w:numPr>
        <w:spacing w:before="20" w:beforeAutospacing="0" w:after="20" w:afterAutospacing="0" w:line="480" w:lineRule="auto"/>
        <w:rPr>
          <w:rFonts w:ascii="Verdana" w:hAnsi="Verdana"/>
          <w:color w:val="000000" w:themeColor="text1"/>
        </w:rPr>
      </w:pPr>
      <w:r w:rsidRPr="00983A68">
        <w:rPr>
          <w:rFonts w:ascii="Verdana" w:hAnsi="Verdana"/>
          <w:color w:val="000000" w:themeColor="text1"/>
        </w:rPr>
        <w:t xml:space="preserve">Base assessments on </w:t>
      </w:r>
      <w:r w:rsidRPr="00983A68">
        <w:rPr>
          <w:rStyle w:val="Strong"/>
          <w:rFonts w:ascii="Verdana" w:hAnsi="Verdana"/>
          <w:b w:val="0"/>
          <w:bCs w:val="0"/>
          <w:color w:val="000000" w:themeColor="text1"/>
        </w:rPr>
        <w:t>ranges rather than point forecasts</w:t>
      </w:r>
      <w:r w:rsidRPr="00983A68">
        <w:rPr>
          <w:rFonts w:ascii="Verdana" w:hAnsi="Verdana"/>
          <w:color w:val="000000" w:themeColor="text1"/>
        </w:rPr>
        <w:t xml:space="preserve"> to reduce sensitivity to small revisions.</w:t>
      </w:r>
    </w:p>
    <w:p w:rsidR="003D2DB4" w:rsidRPr="00983A68" w:rsidP="00983A68">
      <w:pPr>
        <w:pStyle w:val="NormalWeb"/>
        <w:numPr>
          <w:ilvl w:val="0"/>
          <w:numId w:val="14"/>
        </w:numPr>
        <w:spacing w:before="20" w:beforeAutospacing="0" w:after="20" w:afterAutospacing="0" w:line="480" w:lineRule="auto"/>
        <w:rPr>
          <w:rFonts w:ascii="Verdana" w:hAnsi="Verdana"/>
          <w:color w:val="000000" w:themeColor="text1"/>
        </w:rPr>
      </w:pPr>
      <w:r w:rsidRPr="00983A68">
        <w:rPr>
          <w:rFonts w:ascii="Verdana" w:hAnsi="Verdana"/>
          <w:color w:val="000000" w:themeColor="text1"/>
        </w:rPr>
        <w:t>Use dynamic scoring only for scenario analysis, not for rule compliance.</w:t>
      </w:r>
    </w:p>
    <w:p w:rsidR="003D2DB4" w:rsidRPr="00983A68" w:rsidP="00983A68">
      <w:pPr>
        <w:pStyle w:val="NormalWeb"/>
        <w:numPr>
          <w:ilvl w:val="0"/>
          <w:numId w:val="14"/>
        </w:numPr>
        <w:spacing w:before="20" w:beforeAutospacing="0" w:after="20" w:afterAutospacing="0" w:line="480" w:lineRule="auto"/>
        <w:rPr>
          <w:rFonts w:ascii="Verdana" w:hAnsi="Verdana"/>
          <w:color w:val="000000" w:themeColor="text1"/>
        </w:rPr>
      </w:pPr>
      <w:r w:rsidRPr="00983A68">
        <w:rPr>
          <w:rFonts w:ascii="Verdana" w:hAnsi="Verdana"/>
          <w:color w:val="000000" w:themeColor="text1"/>
        </w:rPr>
        <w:t>Reduce reliance on “fiscal headroom” as a headline indicator.</w:t>
      </w:r>
    </w:p>
    <w:p w:rsidR="003D2DB4" w:rsidRPr="00983A68" w:rsidP="00983A68">
      <w:pPr>
        <w:pStyle w:val="NormalWeb"/>
        <w:numPr>
          <w:ilvl w:val="0"/>
          <w:numId w:val="14"/>
        </w:numPr>
        <w:spacing w:before="20" w:beforeAutospacing="0" w:after="20" w:afterAutospacing="0" w:line="480" w:lineRule="auto"/>
        <w:rPr>
          <w:rFonts w:ascii="Verdana" w:hAnsi="Verdana"/>
          <w:color w:val="000000" w:themeColor="text1"/>
        </w:rPr>
      </w:pPr>
      <w:r w:rsidRPr="00983A68">
        <w:rPr>
          <w:rFonts w:ascii="Verdana" w:hAnsi="Verdana"/>
          <w:color w:val="000000" w:themeColor="text1"/>
        </w:rPr>
        <w:t>Enhance transparency around OBR judgement while preserving independence.</w:t>
      </w:r>
    </w:p>
    <w:p w:rsidR="003D2DB4" w:rsidRPr="00983A68" w:rsidP="00983A68">
      <w:pPr>
        <w:pStyle w:val="NormalWeb"/>
        <w:numPr>
          <w:ilvl w:val="0"/>
          <w:numId w:val="14"/>
        </w:numPr>
        <w:spacing w:before="20" w:beforeAutospacing="0" w:after="20" w:afterAutospacing="0" w:line="480" w:lineRule="auto"/>
        <w:rPr>
          <w:rFonts w:ascii="Verdana" w:hAnsi="Verdana"/>
          <w:color w:val="000000" w:themeColor="text1"/>
        </w:rPr>
      </w:pPr>
      <w:r w:rsidRPr="00983A68">
        <w:rPr>
          <w:rFonts w:ascii="Verdana" w:hAnsi="Verdana"/>
          <w:color w:val="000000" w:themeColor="text1"/>
        </w:rPr>
        <w:t>Ensure coordination across HMT, OBR, DWP, HMRC, the DMO and the Bank to align fiscal rules with macroeconomic stabilisation, not gilt-market signalling.</w:t>
      </w:r>
    </w:p>
    <w:p w:rsidR="003D2DB4" w:rsidRPr="00983A68" w:rsidP="00983A68">
      <w:pPr>
        <w:pStyle w:val="NormalWeb"/>
        <w:spacing w:before="20" w:beforeAutospacing="0" w:after="20" w:afterAutospacing="0" w:line="480" w:lineRule="auto"/>
        <w:rPr>
          <w:rFonts w:ascii="Verdana" w:hAnsi="Verdana"/>
          <w:color w:val="000000" w:themeColor="text1"/>
        </w:rPr>
      </w:pPr>
      <w:r w:rsidRPr="00983A68">
        <w:rPr>
          <w:rFonts w:ascii="Verdana" w:hAnsi="Verdana"/>
          <w:color w:val="000000" w:themeColor="text1"/>
        </w:rPr>
        <w:t xml:space="preserve">The UK’s fiscal rules, in their current form, risk becoming a </w:t>
      </w:r>
      <w:r w:rsidRPr="00983A68">
        <w:rPr>
          <w:rStyle w:val="Strong"/>
          <w:rFonts w:ascii="Verdana" w:hAnsi="Verdana"/>
          <w:b w:val="0"/>
          <w:bCs w:val="0"/>
          <w:color w:val="000000" w:themeColor="text1"/>
        </w:rPr>
        <w:t>source</w:t>
      </w:r>
      <w:r w:rsidRPr="00983A68">
        <w:rPr>
          <w:rFonts w:ascii="Verdana" w:hAnsi="Verdana"/>
          <w:color w:val="000000" w:themeColor="text1"/>
        </w:rPr>
        <w:t xml:space="preserve"> of macroeconomic instability rather than a solution. A more flexible, state-contingent and expenditure-anchored framework would better support fiscal sustainability, credibility, and economic performance.</w:t>
      </w:r>
    </w:p>
    <w:p w:rsidR="003D2DB4" w:rsidRPr="00983A68" w:rsidP="00983A68">
      <w:pPr>
        <w:spacing w:line="480" w:lineRule="auto"/>
        <w:rPr>
          <w:rFonts w:ascii="Verdana" w:eastAsia="Times New Roman" w:hAnsi="Verdana" w:cs="Times New Roman"/>
          <w:b/>
          <w:bCs/>
          <w:color w:val="000000" w:themeColor="text1"/>
          <w:szCs w:val="24"/>
          <w:lang w:val="en-GB" w:eastAsia="en-GB"/>
        </w:rPr>
      </w:pPr>
      <w:r w:rsidRPr="00983A68">
        <w:rPr>
          <w:rFonts w:ascii="Verdana" w:hAnsi="Verdana" w:cs="Times New Roman"/>
          <w:color w:val="000000" w:themeColor="text1"/>
          <w:szCs w:val="24"/>
        </w:rPr>
        <w:br w:type="page"/>
      </w:r>
      <w:r w:rsidRPr="00983A68">
        <w:rPr>
          <w:rFonts w:ascii="Verdana" w:hAnsi="Verdana" w:cs="Times New Roman"/>
          <w:b/>
          <w:bCs/>
          <w:color w:val="000000" w:themeColor="text1"/>
          <w:szCs w:val="24"/>
          <w:u w:val="single"/>
        </w:rPr>
        <w:t>Background and theoretical underpinnings</w:t>
      </w:r>
    </w:p>
    <w:p w:rsidR="003D2DB4" w:rsidRPr="00983A68" w:rsidP="00983A68">
      <w:pPr>
        <w:pStyle w:val="Heading2"/>
        <w:spacing w:before="20" w:after="20" w:line="480" w:lineRule="auto"/>
        <w:rPr>
          <w:rFonts w:ascii="Verdana" w:hAnsi="Verdana" w:cs="Times New Roman"/>
          <w:b w:val="0"/>
          <w:bCs w:val="0"/>
          <w:color w:val="000000" w:themeColor="text1"/>
          <w:sz w:val="24"/>
          <w:szCs w:val="24"/>
        </w:rPr>
      </w:pPr>
    </w:p>
    <w:p w:rsidR="003D2DB4" w:rsidRPr="00983A68" w:rsidP="00983A68">
      <w:pPr>
        <w:pStyle w:val="Heading2"/>
        <w:spacing w:before="20" w:after="20" w:line="480" w:lineRule="auto"/>
        <w:rPr>
          <w:rFonts w:ascii="Verdana" w:hAnsi="Verdana" w:cs="Times New Roman"/>
          <w:b w:val="0"/>
          <w:bCs w:val="0"/>
          <w:color w:val="000000" w:themeColor="text1"/>
          <w:sz w:val="24"/>
          <w:szCs w:val="24"/>
        </w:rPr>
      </w:pPr>
      <w:r w:rsidRPr="00983A68">
        <w:rPr>
          <w:rFonts w:ascii="Verdana" w:hAnsi="Verdana" w:cs="Times New Roman"/>
          <w:b w:val="0"/>
          <w:bCs w:val="0"/>
          <w:color w:val="000000" w:themeColor="text1"/>
          <w:sz w:val="24"/>
          <w:szCs w:val="24"/>
        </w:rPr>
        <w:t>The earliest theoretical justifications for strict, rule</w:t>
      </w:r>
      <w:r w:rsidRPr="00983A68">
        <w:rPr>
          <w:rFonts w:ascii="Cambria Math" w:hAnsi="Cambria Math" w:cs="Cambria Math"/>
          <w:b w:val="0"/>
          <w:bCs w:val="0"/>
          <w:color w:val="000000" w:themeColor="text1"/>
          <w:sz w:val="24"/>
          <w:szCs w:val="24"/>
        </w:rPr>
        <w:t>‑</w:t>
      </w:r>
      <w:r w:rsidRPr="00983A68">
        <w:rPr>
          <w:rFonts w:ascii="Verdana" w:hAnsi="Verdana" w:cs="Times New Roman"/>
          <w:b w:val="0"/>
          <w:bCs w:val="0"/>
          <w:color w:val="000000" w:themeColor="text1"/>
          <w:sz w:val="24"/>
          <w:szCs w:val="24"/>
        </w:rPr>
        <w:t>based macroeconomic policy is based on the premise that discretionary fiscal and monetary policy is prone to political manipulation and poor timing.</w:t>
      </w:r>
      <w:r>
        <w:rPr>
          <w:rStyle w:val="FootnoteReference"/>
          <w:rFonts w:ascii="Verdana" w:hAnsi="Verdana" w:cs="Times New Roman"/>
          <w:b w:val="0"/>
          <w:bCs w:val="0"/>
          <w:color w:val="000000" w:themeColor="text1"/>
          <w:sz w:val="24"/>
          <w:szCs w:val="24"/>
        </w:rPr>
        <w:footnoteReference w:id="2"/>
      </w:r>
      <w:r w:rsidRPr="00983A68">
        <w:rPr>
          <w:rFonts w:ascii="Verdana" w:hAnsi="Verdana" w:cs="Times New Roman"/>
          <w:b w:val="0"/>
          <w:bCs w:val="0"/>
          <w:color w:val="000000" w:themeColor="text1"/>
          <w:sz w:val="24"/>
          <w:szCs w:val="24"/>
        </w:rPr>
        <w:t xml:space="preserve"> Mechanical, state</w:t>
      </w:r>
      <w:r w:rsidRPr="00983A68">
        <w:rPr>
          <w:rFonts w:ascii="Cambria Math" w:hAnsi="Cambria Math" w:cs="Cambria Math"/>
          <w:b w:val="0"/>
          <w:bCs w:val="0"/>
          <w:color w:val="000000" w:themeColor="text1"/>
          <w:sz w:val="24"/>
          <w:szCs w:val="24"/>
        </w:rPr>
        <w:t>‑</w:t>
      </w:r>
      <w:r w:rsidRPr="00983A68">
        <w:rPr>
          <w:rFonts w:ascii="Verdana" w:hAnsi="Verdana" w:cs="Times New Roman"/>
          <w:b w:val="0"/>
          <w:bCs w:val="0"/>
          <w:color w:val="000000" w:themeColor="text1"/>
          <w:sz w:val="24"/>
          <w:szCs w:val="24"/>
        </w:rPr>
        <w:t>invariant rules, including a full</w:t>
      </w:r>
      <w:r w:rsidRPr="00983A68">
        <w:rPr>
          <w:rFonts w:ascii="Cambria Math" w:hAnsi="Cambria Math" w:cs="Cambria Math"/>
          <w:b w:val="0"/>
          <w:bCs w:val="0"/>
          <w:color w:val="000000" w:themeColor="text1"/>
          <w:sz w:val="24"/>
          <w:szCs w:val="24"/>
        </w:rPr>
        <w:t>‑</w:t>
      </w:r>
      <w:r w:rsidRPr="00983A68">
        <w:rPr>
          <w:rFonts w:ascii="Verdana" w:hAnsi="Verdana" w:cs="Times New Roman"/>
          <w:b w:val="0"/>
          <w:bCs w:val="0"/>
          <w:color w:val="000000" w:themeColor="text1"/>
          <w:sz w:val="24"/>
          <w:szCs w:val="24"/>
        </w:rPr>
        <w:t>employment balanced budget, automatic fiscal responses determined by fixed formulas, and a prohibition on discretionary borrowing will eliminate these effects and anchor expectations through transparent and automatic behaviour.</w:t>
      </w:r>
      <w:r w:rsidRPr="00983A68">
        <w:rPr>
          <w:rFonts w:ascii="Verdana" w:hAnsi="Verdana" w:cs="Times New Roman"/>
          <w:color w:val="000000" w:themeColor="text1"/>
          <w:sz w:val="24"/>
          <w:szCs w:val="24"/>
        </w:rPr>
        <w:t xml:space="preserve"> </w:t>
      </w:r>
    </w:p>
    <w:p w:rsidR="003D2DB4" w:rsidRPr="00983A68" w:rsidP="00983A68">
      <w:pPr>
        <w:spacing w:before="20" w:after="20" w:line="480" w:lineRule="auto"/>
        <w:rPr>
          <w:rFonts w:ascii="Verdana" w:hAnsi="Verdana" w:cs="Times New Roman"/>
          <w:color w:val="000000" w:themeColor="text1"/>
          <w:szCs w:val="24"/>
        </w:rPr>
      </w:pPr>
    </w:p>
    <w:p w:rsidR="003D2DB4" w:rsidRPr="00983A68" w:rsidP="00983A68">
      <w:pPr>
        <w:spacing w:before="20" w:after="20" w:line="480" w:lineRule="auto"/>
        <w:rPr>
          <w:rFonts w:ascii="Verdana" w:hAnsi="Verdana" w:cs="Times New Roman"/>
          <w:color w:val="000000" w:themeColor="text1"/>
          <w:szCs w:val="24"/>
        </w:rPr>
      </w:pPr>
      <w:r w:rsidRPr="00983A68">
        <w:rPr>
          <w:rFonts w:ascii="Verdana" w:hAnsi="Verdana" w:cs="Times New Roman"/>
          <w:color w:val="000000" w:themeColor="text1"/>
          <w:szCs w:val="24"/>
        </w:rPr>
        <w:t xml:space="preserve">Policy announcements that are thought to be desirable ex-ante, may not be ex-post introducing an incentive to deviate from the pre-announced policies (“keeping to the Manifesto”). </w:t>
      </w:r>
      <w:r w:rsidRPr="00983A68">
        <w:rPr>
          <w:rFonts w:ascii="Verdana" w:hAnsi="Verdana" w:cs="Times New Roman"/>
          <w:color w:val="000000" w:themeColor="text1"/>
          <w:szCs w:val="24"/>
        </w:rPr>
        <w:t>Rule based</w:t>
      </w:r>
      <w:r w:rsidRPr="00983A68">
        <w:rPr>
          <w:rFonts w:ascii="Verdana" w:hAnsi="Verdana" w:cs="Times New Roman"/>
          <w:color w:val="000000" w:themeColor="text1"/>
          <w:szCs w:val="24"/>
        </w:rPr>
        <w:t xml:space="preserve"> policy making is a way to eliminate this potential credibility problem.</w:t>
      </w:r>
      <w:r>
        <w:rPr>
          <w:rStyle w:val="FootnoteReference"/>
          <w:rFonts w:ascii="Verdana" w:hAnsi="Verdana" w:cs="Times New Roman"/>
          <w:color w:val="000000" w:themeColor="text1"/>
          <w:szCs w:val="24"/>
        </w:rPr>
        <w:footnoteReference w:id="3"/>
      </w:r>
      <w:r w:rsidRPr="00983A68">
        <w:rPr>
          <w:rFonts w:ascii="Verdana" w:hAnsi="Verdana" w:cs="Times New Roman"/>
          <w:color w:val="000000" w:themeColor="text1"/>
          <w:szCs w:val="24"/>
        </w:rPr>
        <w:t xml:space="preserve"> Subsequent research showed why governments may persistently run deficits even when they recognise the costs of high debt.</w:t>
      </w:r>
      <w:r>
        <w:rPr>
          <w:rStyle w:val="FootnoteReference"/>
          <w:rFonts w:ascii="Verdana" w:hAnsi="Verdana" w:cs="Times New Roman"/>
          <w:color w:val="000000" w:themeColor="text1"/>
          <w:szCs w:val="24"/>
        </w:rPr>
        <w:footnoteReference w:id="4"/>
      </w:r>
      <w:r w:rsidRPr="00983A68">
        <w:rPr>
          <w:rFonts w:ascii="Verdana" w:hAnsi="Verdana" w:cs="Times New Roman"/>
          <w:color w:val="000000" w:themeColor="text1"/>
          <w:szCs w:val="24"/>
        </w:rPr>
        <w:t xml:space="preserve"> This deficit </w:t>
      </w:r>
      <w:r w:rsidRPr="00983A68">
        <w:rPr>
          <w:rFonts w:ascii="Verdana" w:hAnsi="Verdana" w:cs="Times New Roman"/>
          <w:color w:val="000000" w:themeColor="text1"/>
          <w:szCs w:val="24"/>
        </w:rPr>
        <w:t>bias arises in democratic societies due to incumbents seeking to constraint future government with different agendas. Fiscal rules and institutions are needed to counteract time</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inconsistent behaviour and strategic use of debt.</w:t>
      </w:r>
    </w:p>
    <w:p w:rsidR="003D2DB4" w:rsidRPr="00983A68" w:rsidP="00983A68">
      <w:pPr>
        <w:spacing w:before="20" w:after="20" w:line="480" w:lineRule="auto"/>
        <w:rPr>
          <w:rFonts w:ascii="Verdana" w:hAnsi="Verdana" w:cs="Times New Roman"/>
          <w:color w:val="000000" w:themeColor="text1"/>
          <w:szCs w:val="24"/>
        </w:rPr>
      </w:pPr>
    </w:p>
    <w:p w:rsidR="003D2DB4" w:rsidRPr="00983A68" w:rsidP="00983A68">
      <w:pPr>
        <w:spacing w:before="20" w:after="20" w:line="480" w:lineRule="auto"/>
        <w:rPr>
          <w:rFonts w:ascii="Verdana" w:hAnsi="Verdana" w:cs="Times New Roman"/>
          <w:color w:val="000000" w:themeColor="text1"/>
          <w:szCs w:val="24"/>
        </w:rPr>
      </w:pPr>
      <w:r w:rsidRPr="00983A68">
        <w:rPr>
          <w:rFonts w:ascii="Verdana" w:hAnsi="Verdana" w:cs="Times New Roman"/>
          <w:color w:val="000000" w:themeColor="text1"/>
          <w:szCs w:val="24"/>
        </w:rPr>
        <w:t>However, non-state contingent tightly binding fiscal rules themselves become destabilizing.</w:t>
      </w:r>
      <w:r>
        <w:rPr>
          <w:rStyle w:val="FootnoteReference"/>
          <w:rFonts w:ascii="Verdana" w:hAnsi="Verdana" w:cs="Times New Roman"/>
          <w:color w:val="000000" w:themeColor="text1"/>
          <w:szCs w:val="24"/>
        </w:rPr>
        <w:footnoteReference w:id="5"/>
      </w:r>
      <w:r w:rsidRPr="00983A68">
        <w:rPr>
          <w:rFonts w:ascii="Verdana" w:hAnsi="Verdana" w:cs="Times New Roman"/>
          <w:color w:val="000000" w:themeColor="text1"/>
          <w:szCs w:val="24"/>
        </w:rPr>
        <w:t xml:space="preserve"> Such rules can lead to self-fulfilling beliefs: as the rules become binding, beliefs about future actions such as increased taxes can reduce current economic activity. This necessitates increased taxes so that rules are not breached, i.e. the beliefs about future changes become self-fulfilling. These self-fulfilling beliefs are called “sunspots” as they are not fundamental uncertainty but just beliefs on which actions are coordinated.</w:t>
      </w:r>
      <w:r>
        <w:rPr>
          <w:rStyle w:val="FootnoteReference"/>
          <w:rFonts w:ascii="Verdana" w:hAnsi="Verdana" w:cs="Times New Roman"/>
          <w:color w:val="000000" w:themeColor="text1"/>
          <w:szCs w:val="24"/>
        </w:rPr>
        <w:footnoteReference w:id="6"/>
      </w:r>
      <w:r w:rsidRPr="00983A68">
        <w:rPr>
          <w:rFonts w:ascii="Verdana" w:hAnsi="Verdana" w:cs="Times New Roman"/>
          <w:color w:val="000000" w:themeColor="text1"/>
          <w:szCs w:val="24"/>
        </w:rPr>
        <w:t xml:space="preserve"> Normally, fiscal policy acts as an automatic stabilizer as the size of deficit is anti-cyclical, that is in an economic upswing, tax receipts go up and social welfare payments fall reducing size of deficit, and the reverse in a recession. With non-contingent, binding policy rules, it becomes destabilizing – in a recession, as tax receipts fall and social welfare payments increase, the reduction in the fiscal headroom implies that </w:t>
      </w:r>
      <w:r w:rsidRPr="00983A68">
        <w:rPr>
          <w:rFonts w:ascii="Verdana" w:hAnsi="Verdana" w:cs="Times New Roman"/>
          <w:color w:val="000000" w:themeColor="text1"/>
          <w:szCs w:val="24"/>
        </w:rPr>
        <w:t>either taxes are increased or social welfare payments reduced both of which exacerbate the recession. This insight is directly relevant to the present UK framework, which combines tight constraints with limited flexibility.</w:t>
      </w:r>
    </w:p>
    <w:p w:rsidR="003D2DB4" w:rsidRPr="00983A68" w:rsidP="00983A68">
      <w:pPr>
        <w:spacing w:before="20" w:after="20" w:line="480" w:lineRule="auto"/>
        <w:rPr>
          <w:rFonts w:ascii="Verdana" w:hAnsi="Verdana" w:cs="Times New Roman"/>
          <w:color w:val="000000" w:themeColor="text1"/>
          <w:szCs w:val="24"/>
        </w:rPr>
      </w:pPr>
    </w:p>
    <w:p w:rsidR="003D2DB4" w:rsidRPr="00983A68" w:rsidP="00983A68">
      <w:pPr>
        <w:pStyle w:val="Heading2"/>
        <w:spacing w:before="20" w:after="20" w:line="480" w:lineRule="auto"/>
        <w:rPr>
          <w:rFonts w:ascii="Verdana" w:hAnsi="Verdana" w:cs="Times New Roman"/>
          <w:color w:val="000000" w:themeColor="text1"/>
          <w:sz w:val="24"/>
          <w:szCs w:val="24"/>
          <w:u w:val="single"/>
        </w:rPr>
      </w:pPr>
      <w:r w:rsidRPr="00983A68">
        <w:rPr>
          <w:rFonts w:ascii="Verdana" w:hAnsi="Verdana" w:cs="Times New Roman"/>
          <w:color w:val="000000" w:themeColor="text1"/>
          <w:sz w:val="24"/>
          <w:szCs w:val="24"/>
          <w:u w:val="single"/>
        </w:rPr>
        <w:t>Evolution of UK Fiscal Rules and the Current Framework</w:t>
      </w:r>
    </w:p>
    <w:p w:rsidR="003D2DB4" w:rsidRPr="00983A68" w:rsidP="00983A68">
      <w:pPr>
        <w:pStyle w:val="Heading2"/>
        <w:spacing w:before="20" w:after="20" w:line="480" w:lineRule="auto"/>
        <w:rPr>
          <w:rFonts w:ascii="Verdana" w:hAnsi="Verdana" w:cs="Times New Roman"/>
          <w:color w:val="000000" w:themeColor="text1"/>
          <w:sz w:val="24"/>
          <w:szCs w:val="24"/>
        </w:rPr>
      </w:pPr>
    </w:p>
    <w:p w:rsidR="003D2DB4" w:rsidRPr="00983A68" w:rsidP="00983A68">
      <w:pPr>
        <w:pStyle w:val="Heading2"/>
        <w:spacing w:before="20" w:after="20" w:line="480" w:lineRule="auto"/>
        <w:rPr>
          <w:rFonts w:ascii="Verdana" w:hAnsi="Verdana" w:cs="Times New Roman"/>
          <w:b w:val="0"/>
          <w:bCs w:val="0"/>
          <w:color w:val="000000" w:themeColor="text1"/>
          <w:sz w:val="24"/>
          <w:szCs w:val="24"/>
        </w:rPr>
      </w:pPr>
      <w:r w:rsidRPr="00983A68">
        <w:rPr>
          <w:rFonts w:ascii="Verdana" w:hAnsi="Verdana" w:cs="Times New Roman"/>
          <w:b w:val="0"/>
          <w:bCs w:val="0"/>
          <w:color w:val="000000" w:themeColor="text1"/>
          <w:sz w:val="24"/>
          <w:szCs w:val="24"/>
        </w:rPr>
        <w:t>Since 1997 the United Kingdom has experienced a high degree of change in its fiscal framework. The early Labour Government adopted the “golden rule” (current budget balance over the economic cycle) and the “sustainable investment rule” (public sector net debt below 40 per cent of GDP). After the global financial crisis, successive governments replaced these with various rolling deficit and debt targets, including cyclically</w:t>
      </w:r>
      <w:r w:rsidRPr="00983A68">
        <w:rPr>
          <w:rFonts w:ascii="Cambria Math" w:hAnsi="Cambria Math" w:cs="Cambria Math"/>
          <w:b w:val="0"/>
          <w:bCs w:val="0"/>
          <w:color w:val="000000" w:themeColor="text1"/>
          <w:sz w:val="24"/>
          <w:szCs w:val="24"/>
        </w:rPr>
        <w:t>‑</w:t>
      </w:r>
      <w:r w:rsidRPr="00983A68">
        <w:rPr>
          <w:rFonts w:ascii="Verdana" w:hAnsi="Verdana" w:cs="Times New Roman"/>
          <w:b w:val="0"/>
          <w:bCs w:val="0"/>
          <w:color w:val="000000" w:themeColor="text1"/>
          <w:sz w:val="24"/>
          <w:szCs w:val="24"/>
        </w:rPr>
        <w:t>adjusted balance mandates and debt</w:t>
      </w:r>
      <w:r w:rsidRPr="00983A68">
        <w:rPr>
          <w:rFonts w:ascii="Cambria Math" w:hAnsi="Cambria Math" w:cs="Cambria Math"/>
          <w:b w:val="0"/>
          <w:bCs w:val="0"/>
          <w:color w:val="000000" w:themeColor="text1"/>
          <w:sz w:val="24"/>
          <w:szCs w:val="24"/>
        </w:rPr>
        <w:t>‑</w:t>
      </w:r>
      <w:r w:rsidRPr="00983A68">
        <w:rPr>
          <w:rFonts w:ascii="Verdana" w:hAnsi="Verdana" w:cs="Times New Roman"/>
          <w:b w:val="0"/>
          <w:bCs w:val="0"/>
          <w:color w:val="000000" w:themeColor="text1"/>
          <w:sz w:val="24"/>
          <w:szCs w:val="24"/>
        </w:rPr>
        <w:t>fall requirements over fixed horizons. In total, there have been ten distinct rule regimes since 1997, nine of them introduced after 2008. This frequency of change is unusually high by OECD standards and weakens the credibility and clarity of the system.</w:t>
      </w:r>
    </w:p>
    <w:p w:rsidR="003D2DB4" w:rsidRPr="00983A68" w:rsidP="00983A68">
      <w:pPr>
        <w:spacing w:before="20" w:after="20" w:line="480" w:lineRule="auto"/>
        <w:rPr>
          <w:rFonts w:ascii="Verdana" w:hAnsi="Verdana" w:cs="Times New Roman"/>
          <w:szCs w:val="24"/>
        </w:rPr>
      </w:pPr>
    </w:p>
    <w:p w:rsidR="003D2DB4" w:rsidRPr="00983A68" w:rsidP="00983A68">
      <w:pPr>
        <w:spacing w:before="20" w:after="20" w:line="480" w:lineRule="auto"/>
        <w:rPr>
          <w:rFonts w:ascii="Verdana" w:hAnsi="Verdana" w:cs="Times New Roman"/>
          <w:color w:val="000000" w:themeColor="text1"/>
          <w:szCs w:val="24"/>
        </w:rPr>
      </w:pPr>
      <w:r w:rsidRPr="00983A68">
        <w:rPr>
          <w:rFonts w:ascii="Verdana" w:hAnsi="Verdana" w:cs="Times New Roman"/>
          <w:color w:val="000000" w:themeColor="text1"/>
          <w:szCs w:val="24"/>
        </w:rPr>
        <w:t>The current framework, set out in 2024</w:t>
      </w:r>
      <w:r>
        <w:rPr>
          <w:rStyle w:val="FootnoteReference"/>
          <w:rFonts w:ascii="Verdana" w:hAnsi="Verdana" w:cs="Times New Roman"/>
          <w:color w:val="000000" w:themeColor="text1"/>
          <w:szCs w:val="24"/>
        </w:rPr>
        <w:footnoteReference w:id="7"/>
      </w:r>
      <w:r w:rsidRPr="00983A68">
        <w:rPr>
          <w:rFonts w:ascii="Verdana" w:hAnsi="Verdana" w:cs="Times New Roman"/>
          <w:color w:val="000000" w:themeColor="text1"/>
          <w:szCs w:val="24"/>
        </w:rPr>
        <w:t>, comprises some main rules. First, a stability rule requires the current budget to be in balance, or in surplus, by 2029–30. Secondly, an investment rule requires public sector net financial liabilities (PSNFL) to be falling as a share of GDP by 2029–30. Thirdly, expenditure on welfare is contained with a predetermined cap and margin. Compliance is assessed on a rolling basis using the OBR’s medium</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 xml:space="preserve">term forecasts rather than outturns, so the rules are binding </w:t>
      </w:r>
      <w:r w:rsidRPr="00983A68">
        <w:rPr>
          <w:rFonts w:ascii="Verdana" w:hAnsi="Verdana" w:cs="Times New Roman"/>
          <w:color w:val="000000" w:themeColor="text1"/>
          <w:szCs w:val="24"/>
        </w:rPr>
        <w:t>on the basis of</w:t>
      </w:r>
      <w:r w:rsidRPr="00983A68">
        <w:rPr>
          <w:rFonts w:ascii="Verdana" w:hAnsi="Verdana" w:cs="Times New Roman"/>
          <w:color w:val="000000" w:themeColor="text1"/>
          <w:szCs w:val="24"/>
        </w:rPr>
        <w:t xml:space="preserve"> model</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based projections for a specific future year. The horizon for meeting budget balance (which is as a surplus or deficit within 0.5% of GDP rather than “be in surplus”).</w:t>
      </w:r>
      <w:r>
        <w:rPr>
          <w:rStyle w:val="FootnoteReference"/>
          <w:rFonts w:ascii="Verdana" w:hAnsi="Verdana" w:cs="Times New Roman"/>
          <w:color w:val="000000" w:themeColor="text1"/>
          <w:szCs w:val="24"/>
        </w:rPr>
        <w:footnoteReference w:id="8"/>
      </w:r>
    </w:p>
    <w:p w:rsidR="003D2DB4" w:rsidRPr="00983A68" w:rsidP="00983A68">
      <w:pPr>
        <w:spacing w:before="20" w:after="20" w:line="480" w:lineRule="auto"/>
        <w:rPr>
          <w:rFonts w:ascii="Verdana" w:hAnsi="Verdana" w:cs="Times New Roman"/>
          <w:color w:val="000000" w:themeColor="text1"/>
          <w:szCs w:val="24"/>
        </w:rPr>
      </w:pPr>
    </w:p>
    <w:p w:rsidR="003D2DB4" w:rsidRPr="00983A68" w:rsidP="00983A68">
      <w:pPr>
        <w:spacing w:before="20" w:after="20" w:line="480" w:lineRule="auto"/>
        <w:rPr>
          <w:rFonts w:ascii="Verdana" w:hAnsi="Verdana" w:cs="Times New Roman"/>
          <w:color w:val="000000" w:themeColor="text1"/>
          <w:szCs w:val="24"/>
        </w:rPr>
      </w:pPr>
      <w:r w:rsidRPr="00983A68">
        <w:rPr>
          <w:rFonts w:ascii="Verdana" w:hAnsi="Verdana" w:cs="Times New Roman"/>
          <w:color w:val="000000" w:themeColor="text1"/>
          <w:szCs w:val="24"/>
        </w:rPr>
        <w:t>Fiscal policy has also been shaped by the rising cost of servicing public debt. In 2024-2025 the Government spent £104.9 billion on debt interest, equivalent to approximately 8.2 per cent of total public expenditure.</w:t>
      </w:r>
      <w:r>
        <w:rPr>
          <w:rStyle w:val="FootnoteReference"/>
          <w:rFonts w:ascii="Verdana" w:hAnsi="Verdana" w:cs="Times New Roman"/>
          <w:color w:val="000000" w:themeColor="text1"/>
          <w:szCs w:val="24"/>
        </w:rPr>
        <w:footnoteReference w:id="9"/>
      </w:r>
      <w:r w:rsidRPr="00983A68">
        <w:rPr>
          <w:rFonts w:ascii="Verdana" w:hAnsi="Verdana" w:cs="Times New Roman"/>
          <w:color w:val="000000" w:themeColor="text1"/>
          <w:szCs w:val="24"/>
        </w:rPr>
        <w:t xml:space="preserve"> Official projections indicate that debt</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interest costs are likely to remain elevated over the medium term. This has increased the sensitivity of the fiscal position to movements in gilt yields.</w:t>
      </w:r>
    </w:p>
    <w:p w:rsidR="003D2DB4" w:rsidRPr="00983A68" w:rsidP="00983A68">
      <w:pPr>
        <w:spacing w:before="20" w:after="20" w:line="480" w:lineRule="auto"/>
        <w:rPr>
          <w:rFonts w:ascii="Verdana" w:hAnsi="Verdana" w:cs="Times New Roman"/>
          <w:color w:val="000000" w:themeColor="text1"/>
          <w:szCs w:val="24"/>
        </w:rPr>
      </w:pPr>
    </w:p>
    <w:p w:rsidR="003D2DB4" w:rsidRPr="00983A68" w:rsidP="00983A68">
      <w:pPr>
        <w:spacing w:before="20" w:after="20" w:line="480" w:lineRule="auto"/>
        <w:rPr>
          <w:rFonts w:ascii="Verdana" w:hAnsi="Verdana" w:cs="Times New Roman"/>
          <w:color w:val="000000" w:themeColor="text1"/>
          <w:szCs w:val="24"/>
        </w:rPr>
      </w:pPr>
      <w:r w:rsidRPr="00983A68">
        <w:rPr>
          <w:rFonts w:ascii="Verdana" w:hAnsi="Verdana" w:cs="Times New Roman"/>
          <w:color w:val="000000" w:themeColor="text1"/>
          <w:szCs w:val="24"/>
        </w:rPr>
        <w:t>The September 2022 “mini</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budget</w:t>
      </w:r>
      <w:r w:rsidRPr="00983A68">
        <w:rPr>
          <w:rFonts w:ascii="Verdana" w:hAnsi="Verdana" w:cs="Verdana"/>
          <w:color w:val="000000" w:themeColor="text1"/>
          <w:szCs w:val="24"/>
        </w:rPr>
        <w:t>”</w:t>
      </w:r>
      <w:r w:rsidRPr="00983A68">
        <w:rPr>
          <w:rFonts w:ascii="Verdana" w:hAnsi="Verdana" w:cs="Times New Roman"/>
          <w:color w:val="000000" w:themeColor="text1"/>
          <w:szCs w:val="24"/>
        </w:rPr>
        <w:t>, which contained large unfunded tax cuts and was not accompanied by an OBR forecast, triggered a sharp rise in gilt yields, a fall in sterling to historic lows against the US dollar, and an emergency Bank of England gilt</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purchase programme to stabilise liability</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driven investment (LDI) pension strategies. In the aftermath, fiscal rules came to be used explicitly as a signalling device to reassure gilt markets that fiscal policy would remain disciplined. While understandable, this has tilted the framework towards a narrow focus on debt</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market credibility rather than macroeconomic stabilisation and expenditure control.</w:t>
      </w:r>
    </w:p>
    <w:p w:rsidR="003D2DB4" w:rsidRPr="00983A68" w:rsidP="00983A68">
      <w:pPr>
        <w:spacing w:before="20" w:after="20" w:line="480" w:lineRule="auto"/>
        <w:rPr>
          <w:rFonts w:ascii="Verdana" w:hAnsi="Verdana" w:cs="Times New Roman"/>
          <w:color w:val="000000" w:themeColor="text1"/>
          <w:szCs w:val="24"/>
        </w:rPr>
      </w:pPr>
    </w:p>
    <w:p w:rsidR="003D2DB4" w:rsidRPr="00983A68" w:rsidP="00983A68">
      <w:pPr>
        <w:spacing w:before="20" w:after="20" w:line="480" w:lineRule="auto"/>
        <w:rPr>
          <w:rFonts w:ascii="Verdana" w:hAnsi="Verdana" w:cs="Times New Roman"/>
          <w:color w:val="000000" w:themeColor="text1"/>
          <w:szCs w:val="24"/>
        </w:rPr>
      </w:pPr>
      <w:r w:rsidRPr="00983A68">
        <w:rPr>
          <w:rFonts w:ascii="Verdana" w:hAnsi="Verdana" w:cs="Times New Roman"/>
          <w:color w:val="000000" w:themeColor="text1"/>
          <w:szCs w:val="24"/>
        </w:rPr>
        <w:t>International guidance from the OECD</w:t>
      </w:r>
      <w:r>
        <w:rPr>
          <w:rStyle w:val="FootnoteReference"/>
          <w:rFonts w:ascii="Verdana" w:hAnsi="Verdana" w:cs="Times New Roman"/>
          <w:color w:val="000000" w:themeColor="text1"/>
          <w:szCs w:val="24"/>
        </w:rPr>
        <w:footnoteReference w:id="10"/>
      </w:r>
      <w:r w:rsidRPr="00983A68">
        <w:rPr>
          <w:rFonts w:ascii="Verdana" w:hAnsi="Verdana" w:cs="Times New Roman"/>
          <w:color w:val="000000" w:themeColor="text1"/>
          <w:szCs w:val="24"/>
        </w:rPr>
        <w:t xml:space="preserve"> and IMF</w:t>
      </w:r>
      <w:r>
        <w:rPr>
          <w:rStyle w:val="FootnoteReference"/>
          <w:rFonts w:ascii="Verdana" w:hAnsi="Verdana" w:cs="Times New Roman"/>
          <w:color w:val="000000" w:themeColor="text1"/>
          <w:szCs w:val="24"/>
        </w:rPr>
        <w:footnoteReference w:id="11"/>
      </w:r>
      <w:r w:rsidRPr="00983A68">
        <w:rPr>
          <w:rFonts w:ascii="Verdana" w:hAnsi="Verdana" w:cs="Times New Roman"/>
          <w:color w:val="000000" w:themeColor="text1"/>
          <w:szCs w:val="24"/>
        </w:rPr>
        <w:t xml:space="preserve"> stresses several design principles for effective fiscal frameworks. These include: (i) a clear medium</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term fiscal anchor, typically expressed as a debt or balance objective; (ii) operational rules based on multi</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year expenditure ceilings under direct government control; (iii) explicit, state</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 xml:space="preserve">contingent escape clauses for large shocks; and (iv) avoidance of </w:t>
      </w:r>
      <w:r w:rsidRPr="00983A68">
        <w:rPr>
          <w:rFonts w:ascii="Verdana" w:hAnsi="Verdana" w:cs="Times New Roman"/>
          <w:color w:val="000000" w:themeColor="text1"/>
          <w:szCs w:val="24"/>
        </w:rPr>
        <w:t>excessive reliance on single</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year point forecasts. By these benchmarks, the UK diverges in important respects. It lacks a formal, legislated multi</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year expenditure ceiling; it relies on a rolling requirement for PSNFL to be falling in a single target year; it has no fully codified escape clause; and compliance depends on OBR point forecasts rather than on ranges or multi</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year averages.</w:t>
      </w:r>
    </w:p>
    <w:p w:rsidR="003D2DB4" w:rsidRPr="00983A68" w:rsidP="00983A68">
      <w:pPr>
        <w:spacing w:before="20" w:after="20" w:line="480" w:lineRule="auto"/>
        <w:rPr>
          <w:rFonts w:ascii="Verdana" w:hAnsi="Verdana" w:cs="Times New Roman"/>
          <w:color w:val="000000" w:themeColor="text1"/>
          <w:szCs w:val="24"/>
        </w:rPr>
      </w:pPr>
    </w:p>
    <w:p w:rsidR="003D2DB4" w:rsidRPr="00983A68" w:rsidP="00983A68">
      <w:pPr>
        <w:spacing w:before="20" w:after="20" w:line="480" w:lineRule="auto"/>
        <w:rPr>
          <w:rFonts w:ascii="Verdana" w:hAnsi="Verdana" w:cs="Times New Roman"/>
          <w:color w:val="000000" w:themeColor="text1"/>
          <w:szCs w:val="24"/>
        </w:rPr>
      </w:pPr>
      <w:r w:rsidRPr="00983A68">
        <w:rPr>
          <w:rFonts w:ascii="Verdana" w:hAnsi="Verdana" w:cs="Times New Roman"/>
          <w:color w:val="000000" w:themeColor="text1"/>
          <w:szCs w:val="24"/>
        </w:rPr>
        <w:t>Because the key rules are assessed based on a single five</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year</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 xml:space="preserve">ahead forecast, small revisions in assumptions about growth, inflation, interest rates or energy prices can produce large changes in projected </w:t>
      </w:r>
      <w:r w:rsidRPr="00983A68">
        <w:rPr>
          <w:rFonts w:ascii="Verdana" w:hAnsi="Verdana" w:cs="Verdana"/>
          <w:color w:val="000000" w:themeColor="text1"/>
          <w:szCs w:val="24"/>
        </w:rPr>
        <w:t>“</w:t>
      </w:r>
      <w:r w:rsidRPr="00983A68">
        <w:rPr>
          <w:rFonts w:ascii="Verdana" w:hAnsi="Verdana" w:cs="Times New Roman"/>
          <w:color w:val="000000" w:themeColor="text1"/>
          <w:szCs w:val="24"/>
        </w:rPr>
        <w:t>headroom</w:t>
      </w:r>
      <w:r w:rsidRPr="00983A68">
        <w:rPr>
          <w:rFonts w:ascii="Verdana" w:hAnsi="Verdana" w:cs="Verdana"/>
          <w:color w:val="000000" w:themeColor="text1"/>
          <w:szCs w:val="24"/>
        </w:rPr>
        <w:t>”</w:t>
      </w:r>
      <w:r w:rsidRPr="00983A68">
        <w:rPr>
          <w:rFonts w:ascii="Verdana" w:hAnsi="Verdana" w:cs="Times New Roman"/>
          <w:color w:val="000000" w:themeColor="text1"/>
          <w:szCs w:val="24"/>
        </w:rPr>
        <w:t>. This structure generates volatility in political narratives and expectations about future tax and spending policy, especially at Budgets and Autumn Statements. It is precisely in such environments that the mechanism of belief</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driven fluctuations arising from rigid constraints can become relevant.</w:t>
      </w:r>
    </w:p>
    <w:p w:rsidR="003D2DB4" w:rsidRPr="00983A68" w:rsidP="00983A68">
      <w:pPr>
        <w:spacing w:before="20" w:after="20" w:line="480" w:lineRule="auto"/>
        <w:rPr>
          <w:rFonts w:ascii="Verdana" w:hAnsi="Verdana" w:cs="Times New Roman"/>
          <w:color w:val="000000" w:themeColor="text1"/>
          <w:szCs w:val="24"/>
        </w:rPr>
      </w:pPr>
    </w:p>
    <w:p w:rsidR="003D2DB4" w:rsidRPr="00983A68" w:rsidP="00983A68">
      <w:pPr>
        <w:pStyle w:val="Heading2"/>
        <w:spacing w:before="20" w:after="20" w:line="480" w:lineRule="auto"/>
        <w:rPr>
          <w:rFonts w:ascii="Verdana" w:hAnsi="Verdana" w:cs="Times New Roman"/>
          <w:color w:val="000000" w:themeColor="text1"/>
          <w:sz w:val="24"/>
          <w:szCs w:val="24"/>
          <w:u w:val="single"/>
        </w:rPr>
      </w:pPr>
      <w:r w:rsidRPr="00983A68">
        <w:rPr>
          <w:rFonts w:ascii="Verdana" w:hAnsi="Verdana" w:cs="Times New Roman"/>
          <w:color w:val="000000" w:themeColor="text1"/>
          <w:sz w:val="24"/>
          <w:szCs w:val="24"/>
          <w:u w:val="single"/>
        </w:rPr>
        <w:t>The OBR’s Forecasting Framework - Strengths and Limitations</w:t>
      </w:r>
    </w:p>
    <w:p w:rsidR="003D2DB4" w:rsidRPr="00983A68" w:rsidP="00983A68">
      <w:pPr>
        <w:pStyle w:val="Heading2"/>
        <w:spacing w:before="20" w:after="20" w:line="480" w:lineRule="auto"/>
        <w:rPr>
          <w:rFonts w:ascii="Verdana" w:hAnsi="Verdana" w:cs="Times New Roman"/>
          <w:color w:val="000000" w:themeColor="text1"/>
          <w:sz w:val="24"/>
          <w:szCs w:val="24"/>
        </w:rPr>
      </w:pPr>
    </w:p>
    <w:p w:rsidR="003D2DB4" w:rsidRPr="00983A68" w:rsidP="00983A68">
      <w:pPr>
        <w:pStyle w:val="Heading2"/>
        <w:spacing w:before="20" w:after="20" w:line="480" w:lineRule="auto"/>
        <w:rPr>
          <w:rFonts w:ascii="Verdana" w:hAnsi="Verdana" w:cs="Times New Roman"/>
          <w:b w:val="0"/>
          <w:bCs w:val="0"/>
          <w:color w:val="000000" w:themeColor="text1"/>
          <w:sz w:val="24"/>
          <w:szCs w:val="24"/>
        </w:rPr>
      </w:pPr>
      <w:r w:rsidRPr="00983A68">
        <w:rPr>
          <w:rFonts w:ascii="Verdana" w:hAnsi="Verdana" w:cs="Times New Roman"/>
          <w:b w:val="0"/>
          <w:bCs w:val="0"/>
          <w:color w:val="000000" w:themeColor="text1"/>
          <w:sz w:val="24"/>
          <w:szCs w:val="24"/>
        </w:rPr>
        <w:t>The OBR uses a large macro</w:t>
      </w:r>
      <w:r w:rsidRPr="00983A68">
        <w:rPr>
          <w:rFonts w:ascii="Cambria Math" w:hAnsi="Cambria Math" w:cs="Cambria Math"/>
          <w:b w:val="0"/>
          <w:bCs w:val="0"/>
          <w:color w:val="000000" w:themeColor="text1"/>
          <w:sz w:val="24"/>
          <w:szCs w:val="24"/>
        </w:rPr>
        <w:t>‑</w:t>
      </w:r>
      <w:r w:rsidRPr="00983A68">
        <w:rPr>
          <w:rFonts w:ascii="Verdana" w:hAnsi="Verdana" w:cs="Times New Roman"/>
          <w:b w:val="0"/>
          <w:bCs w:val="0"/>
          <w:color w:val="000000" w:themeColor="text1"/>
          <w:sz w:val="24"/>
          <w:szCs w:val="24"/>
        </w:rPr>
        <w:t>econometric model, maintained jointly with HM Treasury, as one of the tools in producing its Economic and Fiscal Outlook (EFO).</w:t>
      </w:r>
      <w:r>
        <w:rPr>
          <w:rStyle w:val="FootnoteReference"/>
          <w:rFonts w:ascii="Verdana" w:hAnsi="Verdana" w:cs="Times New Roman"/>
          <w:b w:val="0"/>
          <w:bCs w:val="0"/>
          <w:color w:val="000000" w:themeColor="text1"/>
          <w:sz w:val="24"/>
          <w:szCs w:val="24"/>
        </w:rPr>
        <w:footnoteReference w:id="12"/>
      </w:r>
      <w:r w:rsidRPr="00983A68">
        <w:rPr>
          <w:rFonts w:ascii="Verdana" w:hAnsi="Verdana" w:cs="Times New Roman"/>
          <w:b w:val="0"/>
          <w:bCs w:val="0"/>
          <w:color w:val="000000" w:themeColor="text1"/>
          <w:sz w:val="24"/>
          <w:szCs w:val="24"/>
        </w:rPr>
        <w:t>This model uses detailed estimated behavioural relationships based on past observations (reduced form modelling) rather than structural modelling which is based on the decision rules of economic agents – households, firms, etc. However, behavioural relationships are not invariant to policy changes as economic agents will change their behaviour if the environment in which they function changes.</w:t>
      </w:r>
      <w:r>
        <w:rPr>
          <w:rStyle w:val="FootnoteReference"/>
          <w:rFonts w:ascii="Verdana" w:hAnsi="Verdana" w:cs="Times New Roman"/>
          <w:b w:val="0"/>
          <w:bCs w:val="0"/>
          <w:color w:val="000000" w:themeColor="text1"/>
          <w:sz w:val="24"/>
          <w:szCs w:val="24"/>
        </w:rPr>
        <w:footnoteReference w:id="13"/>
      </w:r>
      <w:r w:rsidRPr="00983A68">
        <w:rPr>
          <w:rFonts w:ascii="Verdana" w:hAnsi="Verdana" w:cs="Times New Roman"/>
          <w:b w:val="0"/>
          <w:bCs w:val="0"/>
          <w:color w:val="000000" w:themeColor="text1"/>
          <w:sz w:val="24"/>
          <w:szCs w:val="24"/>
        </w:rPr>
        <w:t xml:space="preserve"> That is economic agents are not planets with invariant laws of behaviour. This limits the model’s suitability for rigorous policy evaluation and forecasting, especially for long-term forecasts which underpin compliance with fiscal rules as they do not consider the changing policy and economic landscape. </w:t>
      </w:r>
    </w:p>
    <w:p w:rsidR="003D2DB4" w:rsidRPr="00983A68" w:rsidP="00983A68">
      <w:pPr>
        <w:spacing w:before="20" w:after="20" w:line="480" w:lineRule="auto"/>
        <w:rPr>
          <w:rFonts w:ascii="Verdana" w:hAnsi="Verdana" w:cs="Times New Roman"/>
          <w:szCs w:val="24"/>
        </w:rPr>
      </w:pPr>
    </w:p>
    <w:p w:rsidR="003D2DB4" w:rsidRPr="00983A68" w:rsidP="00983A68">
      <w:pPr>
        <w:spacing w:before="20" w:after="20" w:line="480" w:lineRule="auto"/>
        <w:rPr>
          <w:rFonts w:ascii="Verdana" w:hAnsi="Verdana" w:cs="Times New Roman"/>
          <w:color w:val="000000" w:themeColor="text1"/>
          <w:szCs w:val="24"/>
        </w:rPr>
      </w:pPr>
      <w:r w:rsidRPr="00983A68">
        <w:rPr>
          <w:rFonts w:ascii="Verdana" w:hAnsi="Verdana" w:cs="Times New Roman"/>
          <w:color w:val="000000" w:themeColor="text1"/>
          <w:szCs w:val="24"/>
        </w:rPr>
        <w:t xml:space="preserve">Since late 2023 the OBR has incorporated dynamic scoring into aspects of its analysis, modelling behavioural responses to certain tax </w:t>
      </w:r>
      <w:r w:rsidRPr="00983A68">
        <w:rPr>
          <w:rFonts w:ascii="Verdana" w:hAnsi="Verdana" w:cs="Times New Roman"/>
          <w:color w:val="000000" w:themeColor="text1"/>
          <w:szCs w:val="24"/>
        </w:rPr>
        <w:t>and spending changes. While this represents a step towards a more comprehensive assessment of policy impacts, dynamic scoring in a macro</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econometric framework remains highly sensitive to specification choices and assumptions about how agents respond to policy. It is therefore best suited to scenario analysis and broad judgement rather than to determining compliance with binding statutory rules.</w:t>
      </w:r>
    </w:p>
    <w:p w:rsidR="003D2DB4" w:rsidRPr="00983A68" w:rsidP="00983A68">
      <w:pPr>
        <w:spacing w:before="20" w:after="20" w:line="480" w:lineRule="auto"/>
        <w:rPr>
          <w:rFonts w:ascii="Verdana" w:hAnsi="Verdana" w:cs="Times New Roman"/>
          <w:color w:val="000000" w:themeColor="text1"/>
          <w:szCs w:val="24"/>
        </w:rPr>
      </w:pPr>
    </w:p>
    <w:p w:rsidR="003D2DB4" w:rsidRPr="00983A68" w:rsidP="00983A68">
      <w:pPr>
        <w:spacing w:before="20" w:after="20" w:line="480" w:lineRule="auto"/>
        <w:rPr>
          <w:rFonts w:ascii="Verdana" w:hAnsi="Verdana" w:cs="Times New Roman"/>
          <w:color w:val="000000" w:themeColor="text1"/>
          <w:szCs w:val="24"/>
        </w:rPr>
      </w:pPr>
      <w:r w:rsidRPr="00983A68">
        <w:rPr>
          <w:rFonts w:ascii="Verdana" w:hAnsi="Verdana" w:cs="Times New Roman"/>
          <w:color w:val="000000" w:themeColor="text1"/>
          <w:szCs w:val="24"/>
        </w:rPr>
        <w:t>The deeper issue is that forecast</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based rules create a structural feedback loop: forecasts drive compliance assessments; assessments influence policy decisions; and policy decisions in turn affect the forecasts. When compliance hinges on a single five</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year</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 xml:space="preserve">ahead point estimate, this loop can amplify the effect of forecast revisions on the perceived need for fiscal tightening or loosening, or the feedback loop becomes self-fulfilling. </w:t>
      </w:r>
    </w:p>
    <w:p w:rsidR="003D2DB4" w:rsidRPr="00983A68" w:rsidP="00983A68">
      <w:pPr>
        <w:spacing w:line="480" w:lineRule="auto"/>
        <w:rPr>
          <w:rFonts w:ascii="Verdana" w:hAnsi="Verdana" w:cs="Times New Roman"/>
          <w:szCs w:val="24"/>
        </w:rPr>
      </w:pPr>
    </w:p>
    <w:p w:rsidR="003D2DB4" w:rsidRPr="00983A68" w:rsidP="00983A68">
      <w:pPr>
        <w:pStyle w:val="Heading2"/>
        <w:spacing w:before="20" w:after="20" w:line="480" w:lineRule="auto"/>
        <w:rPr>
          <w:rFonts w:ascii="Verdana" w:hAnsi="Verdana" w:cs="Times New Roman"/>
          <w:color w:val="000000" w:themeColor="text1"/>
          <w:sz w:val="24"/>
          <w:szCs w:val="24"/>
          <w:u w:val="single"/>
        </w:rPr>
      </w:pPr>
      <w:r w:rsidRPr="00983A68">
        <w:rPr>
          <w:rFonts w:ascii="Verdana" w:hAnsi="Verdana" w:cs="Times New Roman"/>
          <w:color w:val="000000" w:themeColor="text1"/>
          <w:sz w:val="24"/>
          <w:szCs w:val="24"/>
          <w:u w:val="single"/>
        </w:rPr>
        <w:t>New Evidence - Fiscal</w:t>
      </w:r>
      <w:r w:rsidRPr="00983A68">
        <w:rPr>
          <w:rFonts w:ascii="Cambria Math" w:hAnsi="Cambria Math" w:cs="Cambria Math"/>
          <w:color w:val="000000" w:themeColor="text1"/>
          <w:sz w:val="24"/>
          <w:szCs w:val="24"/>
          <w:u w:val="single"/>
        </w:rPr>
        <w:t>‑</w:t>
      </w:r>
      <w:r w:rsidRPr="00983A68">
        <w:rPr>
          <w:rFonts w:ascii="Verdana" w:hAnsi="Verdana" w:cs="Times New Roman"/>
          <w:color w:val="000000" w:themeColor="text1"/>
          <w:sz w:val="24"/>
          <w:szCs w:val="24"/>
          <w:u w:val="single"/>
        </w:rPr>
        <w:t>Rule Salience, Market Stability and Real Activity</w:t>
      </w:r>
    </w:p>
    <w:p w:rsidR="003D2DB4" w:rsidRPr="00983A68" w:rsidP="00983A68">
      <w:pPr>
        <w:pStyle w:val="Heading2"/>
        <w:spacing w:before="20" w:after="20" w:line="480" w:lineRule="auto"/>
        <w:rPr>
          <w:rFonts w:ascii="Verdana" w:hAnsi="Verdana" w:cs="Times New Roman"/>
          <w:color w:val="000000" w:themeColor="text1"/>
          <w:sz w:val="24"/>
          <w:szCs w:val="24"/>
        </w:rPr>
      </w:pPr>
    </w:p>
    <w:p w:rsidR="003D2DB4" w:rsidRPr="00983A68" w:rsidP="00983A68">
      <w:pPr>
        <w:pStyle w:val="Heading2"/>
        <w:spacing w:before="20" w:after="20" w:line="480" w:lineRule="auto"/>
        <w:rPr>
          <w:rFonts w:ascii="Verdana" w:hAnsi="Verdana" w:cs="Times New Roman"/>
          <w:b w:val="0"/>
          <w:bCs w:val="0"/>
          <w:color w:val="000000" w:themeColor="text1"/>
          <w:sz w:val="24"/>
          <w:szCs w:val="24"/>
        </w:rPr>
      </w:pPr>
      <w:r w:rsidRPr="00983A68">
        <w:rPr>
          <w:rFonts w:ascii="Verdana" w:hAnsi="Verdana" w:cs="Times New Roman"/>
          <w:b w:val="0"/>
          <w:bCs w:val="0"/>
          <w:color w:val="000000" w:themeColor="text1"/>
          <w:sz w:val="24"/>
          <w:szCs w:val="24"/>
        </w:rPr>
        <w:t>Since 2022 there has been a marked increase in the public and media salience of fiscal rules, debt targets and “fiscal headroom”. Peaks in salience coincide closely with key fiscal events: Budgets, Autumn Statements, OBR EFO releases, major rating</w:t>
      </w:r>
      <w:r w:rsidRPr="00983A68">
        <w:rPr>
          <w:rFonts w:ascii="Cambria Math" w:hAnsi="Cambria Math" w:cs="Cambria Math"/>
          <w:b w:val="0"/>
          <w:bCs w:val="0"/>
          <w:color w:val="000000" w:themeColor="text1"/>
          <w:sz w:val="24"/>
          <w:szCs w:val="24"/>
        </w:rPr>
        <w:t>‑</w:t>
      </w:r>
      <w:r w:rsidRPr="00983A68">
        <w:rPr>
          <w:rFonts w:ascii="Verdana" w:hAnsi="Verdana" w:cs="Times New Roman"/>
          <w:b w:val="0"/>
          <w:bCs w:val="0"/>
          <w:color w:val="000000" w:themeColor="text1"/>
          <w:sz w:val="24"/>
          <w:szCs w:val="24"/>
        </w:rPr>
        <w:t>agency announcements, and prominent reports by institutions such as the Institute for Fiscal Studies and the National Institute of Economic and Social Research. In practice, fiscal rules have become narrative anchors shaping how fiscal policy is reported and debated.</w:t>
      </w:r>
    </w:p>
    <w:p w:rsidR="003D2DB4" w:rsidRPr="00983A68" w:rsidP="00983A68">
      <w:pPr>
        <w:spacing w:before="20" w:after="20" w:line="480" w:lineRule="auto"/>
        <w:rPr>
          <w:rFonts w:ascii="Verdana" w:hAnsi="Verdana" w:cs="Times New Roman"/>
          <w:color w:val="000000" w:themeColor="text1"/>
          <w:szCs w:val="24"/>
        </w:rPr>
      </w:pPr>
    </w:p>
    <w:p w:rsidR="003D2DB4" w:rsidRPr="00704B9E" w:rsidP="00983A68">
      <w:pPr>
        <w:spacing w:before="20" w:after="20" w:line="480" w:lineRule="auto"/>
        <w:rPr>
          <w:rFonts w:cs="Times New Roman"/>
          <w:color w:val="000000" w:themeColor="text1"/>
          <w:szCs w:val="24"/>
        </w:rPr>
      </w:pPr>
      <w:r w:rsidRPr="00983A68">
        <w:rPr>
          <w:rFonts w:ascii="Verdana" w:hAnsi="Verdana" w:cs="Times New Roman"/>
          <w:color w:val="000000" w:themeColor="text1"/>
          <w:szCs w:val="24"/>
        </w:rPr>
        <w:t>A constructed media</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based salience index and a range of high</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frequency indicators suggest a striking pattern. Periods of elevated fiscal</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rule salience are associated with in lower gilt</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 xml:space="preserve">yield abnormal returns (AR) and abnormal volatility (AV) since 2024, indicating that markets draw reassurance from the Government’s </w:t>
      </w:r>
      <w:r w:rsidRPr="00983A68">
        <w:rPr>
          <w:rFonts w:ascii="Verdana" w:hAnsi="Verdana" w:cs="Times New Roman"/>
          <w:color w:val="000000" w:themeColor="text1"/>
          <w:szCs w:val="24"/>
        </w:rPr>
        <w:t>adherence to its current rules.</w:t>
      </w:r>
      <w:r w:rsidRPr="00704B9E">
        <w:rPr>
          <w:rFonts w:cs="Times New Roman"/>
          <w:color w:val="000000" w:themeColor="text1"/>
          <w:szCs w:val="24"/>
        </w:rPr>
        <w:t xml:space="preserve"> </w:t>
      </w:r>
      <w:r w:rsidRPr="00704B9E">
        <w:rPr>
          <w:rFonts w:cs="Times New Roman"/>
          <w:noProof/>
          <w:color w:val="000000" w:themeColor="text1"/>
          <w:szCs w:val="24"/>
        </w:rPr>
        <w:drawing>
          <wp:inline distT="0" distB="0" distL="0" distR="0">
            <wp:extent cx="5486400" cy="2905125"/>
            <wp:effectExtent l="0" t="0" r="0" b="3175"/>
            <wp:docPr id="343558036" name="图片 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558036" name="图片 1" descr="图表&#10;&#10;AI 生成的内容可能不正确。"/>
                    <pic:cNvPicPr/>
                  </pic:nvPicPr>
                  <pic:blipFill>
                    <a:blip xmlns:r="http://schemas.openxmlformats.org/officeDocument/2006/relationships" r:embed="rId6"/>
                    <a:stretch>
                      <a:fillRect/>
                    </a:stretch>
                  </pic:blipFill>
                  <pic:spPr>
                    <a:xfrm>
                      <a:off x="0" y="0"/>
                      <a:ext cx="5516054" cy="2920827"/>
                    </a:xfrm>
                    <a:prstGeom prst="rect">
                      <a:avLst/>
                    </a:prstGeom>
                  </pic:spPr>
                </pic:pic>
              </a:graphicData>
            </a:graphic>
          </wp:inline>
        </w:drawing>
      </w:r>
    </w:p>
    <w:p w:rsidR="003D2DB4" w:rsidP="00983A68">
      <w:pPr>
        <w:spacing w:before="20" w:after="20" w:line="480" w:lineRule="auto"/>
        <w:jc w:val="center"/>
        <w:rPr>
          <w:rFonts w:cs="Times New Roman"/>
          <w:color w:val="000000" w:themeColor="text1"/>
          <w:sz w:val="22"/>
          <w:lang w:eastAsia="zh-CN"/>
        </w:rPr>
      </w:pPr>
      <w:r w:rsidRPr="00704B9E">
        <w:rPr>
          <w:rFonts w:cs="Times New Roman"/>
          <w:color w:val="000000" w:themeColor="text1"/>
          <w:sz w:val="22"/>
          <w:lang w:eastAsia="zh-CN"/>
        </w:rPr>
        <w:t>Figure 1: Time Series Evolution of Fiscal Rule Salience and Gilt Market Indicators (2015–2025)</w:t>
      </w:r>
    </w:p>
    <w:p w:rsidR="00983A68" w:rsidRPr="00704B9E" w:rsidP="00983A68">
      <w:pPr>
        <w:spacing w:before="20" w:after="20" w:line="480" w:lineRule="auto"/>
        <w:jc w:val="center"/>
        <w:rPr>
          <w:rFonts w:cs="Times New Roman"/>
          <w:color w:val="000000" w:themeColor="text1"/>
          <w:sz w:val="22"/>
        </w:rPr>
      </w:pPr>
    </w:p>
    <w:p w:rsidR="003D2DB4" w:rsidRPr="00983A68" w:rsidP="00983A68">
      <w:pPr>
        <w:spacing w:before="20" w:after="20" w:line="480" w:lineRule="auto"/>
        <w:rPr>
          <w:rFonts w:ascii="Verdana" w:hAnsi="Verdana" w:cs="Times New Roman"/>
          <w:color w:val="000000" w:themeColor="text1"/>
          <w:szCs w:val="24"/>
        </w:rPr>
      </w:pPr>
      <w:r w:rsidRPr="00983A68">
        <w:rPr>
          <w:rFonts w:ascii="Verdana" w:hAnsi="Verdana" w:cs="Times New Roman"/>
          <w:color w:val="000000" w:themeColor="text1"/>
          <w:szCs w:val="24"/>
        </w:rPr>
        <w:t>Note: The blue line represents the Composite Media Salience Index (Z-score). The green and orange lines represent the Abnormal Returns (AR_GILT) and Abnormal Volatility (AV_GILT) of UK Gilts, respectively. Labels (e.g., B21, SS22) indicate key fiscal events such as Budgets and Spring Statements. The vertical dashed line marks the start of the current fiscal rule regime.</w:t>
      </w:r>
    </w:p>
    <w:p w:rsidR="003D2DB4" w:rsidRPr="00983A68" w:rsidP="00983A68">
      <w:pPr>
        <w:spacing w:before="20" w:after="20" w:line="480" w:lineRule="auto"/>
        <w:rPr>
          <w:rFonts w:ascii="Verdana" w:hAnsi="Verdana" w:cs="Times New Roman"/>
          <w:color w:val="000000" w:themeColor="text1"/>
          <w:szCs w:val="24"/>
        </w:rPr>
      </w:pPr>
    </w:p>
    <w:p w:rsidR="003D2DB4" w:rsidRPr="00983A68" w:rsidP="00983A68">
      <w:pPr>
        <w:spacing w:before="20" w:after="20" w:line="480" w:lineRule="auto"/>
        <w:rPr>
          <w:rFonts w:ascii="Verdana" w:hAnsi="Verdana" w:cs="Times New Roman"/>
          <w:color w:val="000000" w:themeColor="text1"/>
          <w:szCs w:val="24"/>
        </w:rPr>
      </w:pPr>
      <w:r w:rsidRPr="00983A68">
        <w:rPr>
          <w:rFonts w:ascii="Verdana" w:hAnsi="Verdana" w:cs="Times New Roman"/>
          <w:color w:val="000000" w:themeColor="text1"/>
          <w:szCs w:val="24"/>
        </w:rPr>
        <w:t xml:space="preserve">At the same time, higher salience is associated with weaker indicators of real activity, including retail sales volume and consumer confidence. While GDP remains statistically insignificant due to transmission lags, Business and Consumer Confidence, and Retail </w:t>
      </w:r>
      <w:r w:rsidRPr="00983A68">
        <w:rPr>
          <w:rFonts w:ascii="Verdana" w:hAnsi="Verdana" w:cs="Times New Roman"/>
          <w:color w:val="000000" w:themeColor="text1"/>
          <w:szCs w:val="24"/>
        </w:rPr>
        <w:t>Sales</w:t>
      </w:r>
      <w:r w:rsidRPr="00983A68">
        <w:rPr>
          <w:rFonts w:ascii="Verdana" w:hAnsi="Verdana" w:cs="Times New Roman"/>
          <w:color w:val="000000" w:themeColor="text1"/>
          <w:szCs w:val="24"/>
        </w:rPr>
        <w:t xml:space="preserve"> shows a highly </w:t>
      </w:r>
      <w:r w:rsidRPr="00983A68">
        <w:rPr>
          <w:rFonts w:ascii="Verdana" w:hAnsi="Verdana" w:cs="Times New Roman"/>
          <w:color w:val="000000" w:themeColor="text1"/>
          <w:szCs w:val="24"/>
        </w:rPr>
        <w:t>significant negative response. This indicates that the adverse impact of media salience is broad-based, affecting not just household sentiment but also corporate decision-making.</w:t>
      </w:r>
      <w:r>
        <w:rPr>
          <w:rStyle w:val="FootnoteReference"/>
          <w:rFonts w:ascii="Verdana" w:hAnsi="Verdana" w:cs="Times New Roman"/>
          <w:color w:val="000000" w:themeColor="text1"/>
          <w:szCs w:val="24"/>
        </w:rPr>
        <w:footnoteReference w:id="14"/>
      </w:r>
      <w:r w:rsidRPr="00983A68">
        <w:rPr>
          <w:rFonts w:ascii="Verdana" w:hAnsi="Verdana" w:cs="Times New Roman"/>
          <w:color w:val="000000" w:themeColor="text1"/>
          <w:szCs w:val="24"/>
        </w:rPr>
        <w:t xml:space="preserve"> Media salience acts like a coordinating device for consumers and business to anchor their expectations. It acts like sunspots. </w:t>
      </w:r>
    </w:p>
    <w:p w:rsidR="003D2DB4" w:rsidRPr="00983A68" w:rsidP="00983A68">
      <w:pPr>
        <w:spacing w:before="20" w:after="20" w:line="480" w:lineRule="auto"/>
        <w:rPr>
          <w:rFonts w:ascii="Verdana" w:hAnsi="Verdana" w:cs="Times New Roman"/>
          <w:color w:val="000000" w:themeColor="text1"/>
          <w:szCs w:val="24"/>
        </w:rPr>
      </w:pPr>
    </w:p>
    <w:p w:rsidR="003D2DB4" w:rsidRPr="00983A68" w:rsidP="00983A68">
      <w:pPr>
        <w:spacing w:before="20" w:after="20" w:line="480" w:lineRule="auto"/>
        <w:rPr>
          <w:rFonts w:ascii="Verdana" w:hAnsi="Verdana" w:cs="Times New Roman"/>
          <w:color w:val="000000" w:themeColor="text1"/>
          <w:szCs w:val="24"/>
        </w:rPr>
      </w:pPr>
      <w:r w:rsidRPr="00983A68">
        <w:rPr>
          <w:rFonts w:ascii="Verdana" w:hAnsi="Verdana" w:cs="Times New Roman"/>
          <w:color w:val="000000" w:themeColor="text1"/>
          <w:szCs w:val="24"/>
        </w:rPr>
        <w:t>One interpretation is that tight and highly salient rules stabilise gilt markets by convincing investors that fiscal policy will remain constrained, but that this expectation of constraint leads households and firms to reduce spending, hiring and investment. This is consistent with the theoretical insight that rigid fiscal rules can calm one margin of the system—debt markets—at the expense of greater fragility in the wider economy.</w:t>
      </w:r>
    </w:p>
    <w:p w:rsidR="003D2DB4" w:rsidRPr="00983A68" w:rsidP="00983A68">
      <w:pPr>
        <w:spacing w:before="20" w:after="20" w:line="480" w:lineRule="auto"/>
        <w:rPr>
          <w:rFonts w:ascii="Verdana" w:hAnsi="Verdana" w:cs="Times New Roman"/>
          <w:color w:val="000000" w:themeColor="text1"/>
          <w:szCs w:val="24"/>
        </w:rPr>
      </w:pPr>
    </w:p>
    <w:p w:rsidR="003D2DB4" w:rsidRPr="00983A68" w:rsidP="00983A68">
      <w:pPr>
        <w:spacing w:before="20" w:after="20" w:line="480" w:lineRule="auto"/>
        <w:rPr>
          <w:rFonts w:ascii="Verdana" w:hAnsi="Verdana" w:cs="Times New Roman"/>
          <w:color w:val="000000" w:themeColor="text1"/>
          <w:szCs w:val="24"/>
        </w:rPr>
      </w:pPr>
      <w:r w:rsidRPr="00983A68">
        <w:rPr>
          <w:rFonts w:ascii="Verdana" w:hAnsi="Verdana" w:cs="Times New Roman"/>
          <w:color w:val="000000" w:themeColor="text1"/>
          <w:szCs w:val="24"/>
        </w:rPr>
        <w:t>The evidence also indicates that media salience has a negative dynamic impact on retail sales with impact peaking after 2 months, and it acts like a stagflationary shock, i.e. real economic activity is dampened but inflation pressures remain unanchored.</w:t>
      </w:r>
      <w:r>
        <w:rPr>
          <w:rStyle w:val="FootnoteReference"/>
          <w:rFonts w:ascii="Verdana" w:hAnsi="Verdana" w:cs="Times New Roman"/>
          <w:color w:val="000000" w:themeColor="text1"/>
          <w:szCs w:val="24"/>
        </w:rPr>
        <w:footnoteReference w:id="15"/>
      </w:r>
    </w:p>
    <w:p w:rsidR="003D2DB4" w:rsidRPr="00704B9E" w:rsidP="00D06BF8">
      <w:pPr>
        <w:spacing w:before="20" w:after="20" w:line="240" w:lineRule="auto"/>
        <w:rPr>
          <w:rFonts w:cs="Times New Roman"/>
          <w:color w:val="000000" w:themeColor="text1"/>
          <w:szCs w:val="24"/>
        </w:rPr>
      </w:pPr>
    </w:p>
    <w:p w:rsidR="003D2DB4" w:rsidRPr="00704B9E" w:rsidP="001D2F66">
      <w:pPr>
        <w:spacing w:before="20" w:after="20" w:line="240" w:lineRule="auto"/>
        <w:rPr>
          <w:rFonts w:cs="Times New Roman"/>
          <w:color w:val="000000" w:themeColor="text1"/>
          <w:szCs w:val="24"/>
        </w:rPr>
      </w:pPr>
    </w:p>
    <w:p w:rsidR="003D2DB4" w:rsidRPr="00704B9E" w:rsidP="001D2F66">
      <w:pPr>
        <w:spacing w:before="20" w:after="20" w:line="240" w:lineRule="auto"/>
        <w:rPr>
          <w:rFonts w:cs="Times New Roman"/>
          <w:color w:val="000000" w:themeColor="text1"/>
          <w:szCs w:val="24"/>
        </w:rPr>
      </w:pPr>
    </w:p>
    <w:p w:rsidR="003D2DB4" w:rsidRPr="00704B9E" w:rsidP="001D2F66">
      <w:pPr>
        <w:spacing w:before="20" w:after="20" w:line="240" w:lineRule="auto"/>
        <w:rPr>
          <w:rFonts w:cs="Times New Roman"/>
          <w:noProof/>
          <w:lang w:eastAsia="zh-CN"/>
        </w:rPr>
      </w:pPr>
      <w:r w:rsidRPr="00704B9E">
        <w:rPr>
          <w:rFonts w:cs="Times New Roman"/>
          <w:noProof/>
        </w:rPr>
        <w:t xml:space="preserve"> </w:t>
      </w:r>
      <w:r w:rsidRPr="00704B9E">
        <w:rPr>
          <w:rFonts w:cs="Times New Roman"/>
          <w:noProof/>
          <w:color w:val="000000" w:themeColor="text1"/>
          <w:szCs w:val="24"/>
        </w:rPr>
        <w:drawing>
          <wp:inline distT="0" distB="0" distL="0" distR="0">
            <wp:extent cx="5486400" cy="2252345"/>
            <wp:effectExtent l="0" t="0" r="0" b="0"/>
            <wp:docPr id="1863460493" name="图片 1" descr="图表, 条形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460493" name="图片 1" descr="图表, 条形图&#10;&#10;AI 生成的内容可能不正确。"/>
                    <pic:cNvPicPr/>
                  </pic:nvPicPr>
                  <pic:blipFill>
                    <a:blip xmlns:r="http://schemas.openxmlformats.org/officeDocument/2006/relationships" r:embed="rId7"/>
                    <a:stretch>
                      <a:fillRect/>
                    </a:stretch>
                  </pic:blipFill>
                  <pic:spPr>
                    <a:xfrm>
                      <a:off x="0" y="0"/>
                      <a:ext cx="5507636" cy="2261063"/>
                    </a:xfrm>
                    <a:prstGeom prst="rect">
                      <a:avLst/>
                    </a:prstGeom>
                  </pic:spPr>
                </pic:pic>
              </a:graphicData>
            </a:graphic>
          </wp:inline>
        </w:drawing>
      </w:r>
    </w:p>
    <w:p w:rsidR="003D2DB4" w:rsidRPr="00D06BF8" w:rsidP="00983A68">
      <w:pPr>
        <w:spacing w:before="20" w:after="20" w:line="480" w:lineRule="auto"/>
        <w:jc w:val="center"/>
        <w:rPr>
          <w:rFonts w:cs="Times New Roman"/>
          <w:color w:val="000000" w:themeColor="text1"/>
          <w:sz w:val="22"/>
          <w:lang w:eastAsia="zh-CN"/>
        </w:rPr>
      </w:pPr>
      <w:r w:rsidRPr="00704B9E">
        <w:rPr>
          <w:rFonts w:cs="Times New Roman"/>
          <w:color w:val="000000" w:themeColor="text1"/>
          <w:sz w:val="22"/>
          <w:lang w:eastAsia="zh-CN"/>
        </w:rPr>
        <w:t>Figure 2: Estimated Impact of Media Salience on Real Economic Indicators (Multivariate Model)</w:t>
      </w:r>
    </w:p>
    <w:p w:rsidR="003D2DB4" w:rsidRPr="00704B9E" w:rsidP="00983A68">
      <w:pPr>
        <w:spacing w:before="20" w:after="20" w:line="480" w:lineRule="auto"/>
        <w:rPr>
          <w:rFonts w:cs="Times New Roman"/>
          <w:color w:val="000000" w:themeColor="text1"/>
          <w:szCs w:val="24"/>
        </w:rPr>
      </w:pPr>
    </w:p>
    <w:p w:rsidR="003D2DB4" w:rsidRPr="00983A68" w:rsidP="00983A68">
      <w:pPr>
        <w:pStyle w:val="Heading2"/>
        <w:spacing w:before="20" w:after="20" w:line="480" w:lineRule="auto"/>
        <w:rPr>
          <w:rFonts w:ascii="Verdana" w:hAnsi="Verdana" w:cs="Times New Roman"/>
          <w:color w:val="000000" w:themeColor="text1"/>
          <w:sz w:val="24"/>
          <w:szCs w:val="24"/>
        </w:rPr>
      </w:pPr>
      <w:r w:rsidRPr="00983A68">
        <w:rPr>
          <w:rFonts w:ascii="Verdana" w:hAnsi="Verdana" w:cs="Times New Roman"/>
          <w:color w:val="000000" w:themeColor="text1"/>
          <w:sz w:val="24"/>
          <w:szCs w:val="24"/>
        </w:rPr>
        <w:t>Policy Recommendations</w:t>
      </w:r>
    </w:p>
    <w:p w:rsidR="00983A68" w:rsidP="00983A68">
      <w:pPr>
        <w:spacing w:before="20" w:after="20" w:line="480" w:lineRule="auto"/>
        <w:rPr>
          <w:rFonts w:ascii="Verdana" w:hAnsi="Verdana" w:cs="Times New Roman"/>
          <w:color w:val="000000" w:themeColor="text1"/>
          <w:szCs w:val="24"/>
        </w:rPr>
      </w:pPr>
      <w:r w:rsidRPr="00983A68">
        <w:rPr>
          <w:rFonts w:ascii="Verdana" w:hAnsi="Verdana" w:cs="Times New Roman"/>
          <w:color w:val="000000" w:themeColor="text1"/>
          <w:szCs w:val="24"/>
        </w:rPr>
        <w:t>In light of the above, several reforms could bring the UK fiscal framework more closely into line with international best practice while preserving credibility:</w:t>
      </w:r>
      <w:r w:rsidRPr="00983A68">
        <w:rPr>
          <w:rFonts w:ascii="Verdana" w:hAnsi="Verdana" w:cs="Times New Roman"/>
          <w:color w:val="000000" w:themeColor="text1"/>
          <w:szCs w:val="24"/>
        </w:rPr>
        <w:br/>
      </w:r>
      <w:r w:rsidRPr="00983A68">
        <w:rPr>
          <w:rFonts w:ascii="Verdana" w:hAnsi="Verdana" w:cs="Times New Roman"/>
          <w:color w:val="000000" w:themeColor="text1"/>
          <w:szCs w:val="24"/>
        </w:rPr>
        <w:br/>
        <w:t>• Replace the “PSNFL falling in year five” rule with a medium</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term debt anchor combined with a multi</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year expenditure ceiling under direct government control.</w:t>
      </w:r>
      <w:r w:rsidRPr="00983A68">
        <w:rPr>
          <w:rFonts w:ascii="Verdana" w:hAnsi="Verdana" w:cs="Times New Roman"/>
          <w:color w:val="000000" w:themeColor="text1"/>
          <w:szCs w:val="24"/>
        </w:rPr>
        <w:br/>
      </w:r>
      <w:r w:rsidRPr="00983A68">
        <w:rPr>
          <w:rFonts w:ascii="Verdana" w:hAnsi="Verdana" w:cs="Verdana"/>
          <w:color w:val="000000" w:themeColor="text1"/>
          <w:szCs w:val="24"/>
        </w:rPr>
        <w:t>•</w:t>
      </w:r>
      <w:r w:rsidRPr="00983A68">
        <w:rPr>
          <w:rFonts w:ascii="Verdana" w:hAnsi="Verdana" w:cs="Times New Roman"/>
          <w:color w:val="000000" w:themeColor="text1"/>
          <w:szCs w:val="24"/>
        </w:rPr>
        <w:t xml:space="preserve"> Move from point</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estimate compliance tests to assessments based on forecast ranges or multi</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year averages, reducing the sensitivity of policy to small revisions.</w:t>
      </w:r>
      <w:r w:rsidRPr="00983A68">
        <w:rPr>
          <w:rFonts w:ascii="Verdana" w:hAnsi="Verdana" w:cs="Times New Roman"/>
          <w:color w:val="000000" w:themeColor="text1"/>
          <w:szCs w:val="24"/>
        </w:rPr>
        <w:br/>
      </w:r>
      <w:r w:rsidRPr="00983A68">
        <w:rPr>
          <w:rFonts w:ascii="Verdana" w:hAnsi="Verdana" w:cs="Verdana"/>
          <w:color w:val="000000" w:themeColor="text1"/>
          <w:szCs w:val="24"/>
        </w:rPr>
        <w:t>•</w:t>
      </w:r>
      <w:r w:rsidRPr="00983A68">
        <w:rPr>
          <w:rFonts w:ascii="Verdana" w:hAnsi="Verdana" w:cs="Times New Roman"/>
          <w:color w:val="000000" w:themeColor="text1"/>
          <w:szCs w:val="24"/>
        </w:rPr>
        <w:t xml:space="preserve"> Introduce explicit, codified and state</w:t>
      </w:r>
      <w:r w:rsidRPr="00983A68">
        <w:rPr>
          <w:rFonts w:ascii="Cambria Math" w:hAnsi="Cambria Math" w:cs="Cambria Math"/>
          <w:color w:val="000000" w:themeColor="text1"/>
          <w:szCs w:val="24"/>
        </w:rPr>
        <w:t>‑</w:t>
      </w:r>
      <w:r w:rsidRPr="00983A68">
        <w:rPr>
          <w:rFonts w:ascii="Verdana" w:hAnsi="Verdana" w:cs="Times New Roman"/>
          <w:color w:val="000000" w:themeColor="text1"/>
          <w:szCs w:val="24"/>
        </w:rPr>
        <w:t>contingent escape clauses for large shocks, with clear triggers and independent oversight.</w:t>
      </w:r>
      <w:r w:rsidRPr="00983A68">
        <w:rPr>
          <w:rFonts w:ascii="Verdana" w:hAnsi="Verdana" w:cs="Times New Roman"/>
          <w:color w:val="000000" w:themeColor="text1"/>
          <w:szCs w:val="24"/>
        </w:rPr>
        <w:br/>
      </w:r>
      <w:r w:rsidRPr="00983A68">
        <w:rPr>
          <w:rFonts w:ascii="Verdana" w:hAnsi="Verdana" w:cs="Verdana"/>
          <w:color w:val="000000" w:themeColor="text1"/>
          <w:szCs w:val="24"/>
        </w:rPr>
        <w:t>•</w:t>
      </w:r>
      <w:r w:rsidRPr="00983A68">
        <w:rPr>
          <w:rFonts w:ascii="Verdana" w:hAnsi="Verdana" w:cs="Times New Roman"/>
          <w:color w:val="000000" w:themeColor="text1"/>
          <w:szCs w:val="24"/>
        </w:rPr>
        <w:t xml:space="preserve"> Use dynamic scoring as a supplementary analytical tool rather than </w:t>
      </w:r>
      <w:r w:rsidRPr="00983A68">
        <w:rPr>
          <w:rFonts w:ascii="Verdana" w:hAnsi="Verdana" w:cs="Times New Roman"/>
          <w:color w:val="000000" w:themeColor="text1"/>
          <w:szCs w:val="24"/>
        </w:rPr>
        <w:t>as the basis for statutory compliance.</w:t>
      </w:r>
      <w:r w:rsidRPr="00983A68">
        <w:rPr>
          <w:rFonts w:ascii="Verdana" w:hAnsi="Verdana" w:cs="Times New Roman"/>
          <w:color w:val="000000" w:themeColor="text1"/>
          <w:szCs w:val="24"/>
        </w:rPr>
        <w:br/>
      </w:r>
      <w:r w:rsidRPr="00983A68">
        <w:rPr>
          <w:rFonts w:ascii="Verdana" w:hAnsi="Verdana" w:cs="Verdana"/>
          <w:color w:val="000000" w:themeColor="text1"/>
          <w:szCs w:val="24"/>
        </w:rPr>
        <w:t>•</w:t>
      </w:r>
      <w:r w:rsidRPr="00983A68">
        <w:rPr>
          <w:rFonts w:ascii="Verdana" w:hAnsi="Verdana" w:cs="Times New Roman"/>
          <w:color w:val="000000" w:themeColor="text1"/>
          <w:szCs w:val="24"/>
        </w:rPr>
        <w:t xml:space="preserve"> Reduce the prominence of </w:t>
      </w:r>
      <w:r w:rsidRPr="00983A68">
        <w:rPr>
          <w:rFonts w:ascii="Verdana" w:hAnsi="Verdana" w:cs="Verdana"/>
          <w:color w:val="000000" w:themeColor="text1"/>
          <w:szCs w:val="24"/>
        </w:rPr>
        <w:t>“</w:t>
      </w:r>
      <w:r w:rsidRPr="00983A68">
        <w:rPr>
          <w:rFonts w:ascii="Verdana" w:hAnsi="Verdana" w:cs="Times New Roman"/>
          <w:color w:val="000000" w:themeColor="text1"/>
          <w:szCs w:val="24"/>
        </w:rPr>
        <w:t>fiscal headroom</w:t>
      </w:r>
      <w:r w:rsidRPr="00983A68">
        <w:rPr>
          <w:rFonts w:ascii="Verdana" w:hAnsi="Verdana" w:cs="Verdana"/>
          <w:color w:val="000000" w:themeColor="text1"/>
          <w:szCs w:val="24"/>
        </w:rPr>
        <w:t>”</w:t>
      </w:r>
      <w:r w:rsidRPr="00983A68">
        <w:rPr>
          <w:rFonts w:ascii="Verdana" w:hAnsi="Verdana" w:cs="Times New Roman"/>
          <w:color w:val="000000" w:themeColor="text1"/>
          <w:szCs w:val="24"/>
        </w:rPr>
        <w:t xml:space="preserve"> in political discourse and media reporting, focusing instead on broader measures of fiscal sustainability and investment.</w:t>
      </w:r>
      <w:r w:rsidRPr="00983A68">
        <w:rPr>
          <w:rFonts w:ascii="Verdana" w:hAnsi="Verdana" w:cs="Times New Roman"/>
          <w:color w:val="000000" w:themeColor="text1"/>
          <w:szCs w:val="24"/>
        </w:rPr>
        <w:br/>
      </w:r>
      <w:r w:rsidRPr="00983A68">
        <w:rPr>
          <w:rFonts w:ascii="Verdana" w:hAnsi="Verdana" w:cs="Verdana"/>
          <w:color w:val="000000" w:themeColor="text1"/>
          <w:szCs w:val="24"/>
        </w:rPr>
        <w:t>•</w:t>
      </w:r>
      <w:r w:rsidRPr="00983A68">
        <w:rPr>
          <w:rFonts w:ascii="Verdana" w:hAnsi="Verdana" w:cs="Times New Roman"/>
          <w:color w:val="000000" w:themeColor="text1"/>
          <w:szCs w:val="24"/>
        </w:rPr>
        <w:t xml:space="preserve"> Use structural rather than reduced form modelling to anchor OBR forecasts, without undermining its operational independence.</w:t>
      </w:r>
      <w:r w:rsidRPr="00983A68">
        <w:rPr>
          <w:rFonts w:ascii="Verdana" w:hAnsi="Verdana" w:cs="Times New Roman"/>
          <w:color w:val="000000" w:themeColor="text1"/>
          <w:szCs w:val="24"/>
        </w:rPr>
        <w:br/>
        <w:t>• Strengthen the alignment of the UK framework with OECD and IMF principles of durability, countercyclicality and expenditure control.</w:t>
      </w:r>
      <w:r>
        <w:rPr>
          <w:rFonts w:ascii="Verdana" w:hAnsi="Verdana" w:cs="Times New Roman"/>
          <w:color w:val="000000" w:themeColor="text1"/>
          <w:szCs w:val="24"/>
        </w:rPr>
        <w:t xml:space="preserve"> C</w:t>
      </w:r>
    </w:p>
    <w:p w:rsidR="00983A68" w:rsidP="00983A68">
      <w:pPr>
        <w:spacing w:before="20" w:after="20" w:line="480" w:lineRule="auto"/>
        <w:rPr>
          <w:rFonts w:ascii="Verdana" w:hAnsi="Verdana" w:cs="Times New Roman"/>
          <w:color w:val="000000" w:themeColor="text1"/>
          <w:szCs w:val="24"/>
        </w:rPr>
      </w:pPr>
    </w:p>
    <w:p w:rsidR="00983A68" w:rsidP="00983A68">
      <w:pPr>
        <w:spacing w:before="20" w:after="20" w:line="480" w:lineRule="auto"/>
        <w:rPr>
          <w:rFonts w:ascii="Verdana" w:hAnsi="Verdana" w:cs="Times New Roman"/>
          <w:b/>
          <w:bCs/>
          <w:color w:val="000000" w:themeColor="text1"/>
          <w:szCs w:val="24"/>
        </w:rPr>
      </w:pPr>
      <w:r w:rsidRPr="00983A68">
        <w:rPr>
          <w:rFonts w:ascii="Verdana" w:hAnsi="Verdana" w:cs="Times New Roman"/>
          <w:b/>
          <w:bCs/>
          <w:color w:val="000000" w:themeColor="text1"/>
          <w:szCs w:val="24"/>
        </w:rPr>
        <w:t>C</w:t>
      </w:r>
      <w:r w:rsidRPr="00983A68" w:rsidR="003D2DB4">
        <w:rPr>
          <w:rFonts w:ascii="Verdana" w:hAnsi="Verdana" w:cs="Times New Roman"/>
          <w:b/>
          <w:bCs/>
          <w:color w:val="000000" w:themeColor="text1"/>
          <w:szCs w:val="24"/>
        </w:rPr>
        <w:t>onclusion</w:t>
      </w:r>
    </w:p>
    <w:p w:rsidR="00983A68" w:rsidP="00983A68">
      <w:pPr>
        <w:spacing w:before="20" w:after="20" w:line="480" w:lineRule="auto"/>
        <w:rPr>
          <w:rFonts w:ascii="Verdana" w:hAnsi="Verdana" w:cs="Times New Roman"/>
          <w:b/>
          <w:bCs/>
          <w:color w:val="000000" w:themeColor="text1"/>
          <w:szCs w:val="24"/>
        </w:rPr>
      </w:pPr>
    </w:p>
    <w:p w:rsidR="00983A68" w:rsidRPr="00983A68" w:rsidP="00983A68">
      <w:pPr>
        <w:spacing w:before="20" w:after="20" w:line="480" w:lineRule="auto"/>
        <w:rPr>
          <w:rFonts w:ascii="Verdana" w:hAnsi="Verdana" w:cs="Times New Roman"/>
          <w:szCs w:val="24"/>
        </w:rPr>
      </w:pPr>
      <w:r w:rsidRPr="00983A68">
        <w:rPr>
          <w:rFonts w:ascii="Verdana" w:hAnsi="Verdana" w:cs="Times New Roman"/>
          <w:color w:val="000000" w:themeColor="text1"/>
          <w:szCs w:val="24"/>
        </w:rPr>
        <w:t>T</w:t>
      </w:r>
      <w:r w:rsidRPr="00983A68" w:rsidR="003D2DB4">
        <w:rPr>
          <w:rFonts w:ascii="Verdana" w:hAnsi="Verdana" w:cs="Times New Roman"/>
          <w:color w:val="000000" w:themeColor="text1"/>
          <w:szCs w:val="24"/>
        </w:rPr>
        <w:t>he UK’s fiscal framework is at a critical juncture. The combination of tight, forecast</w:t>
      </w:r>
      <w:r w:rsidRPr="00983A68" w:rsidR="003D2DB4">
        <w:rPr>
          <w:rFonts w:ascii="Cambria Math" w:hAnsi="Cambria Math" w:cs="Cambria Math"/>
          <w:color w:val="000000" w:themeColor="text1"/>
          <w:szCs w:val="24"/>
        </w:rPr>
        <w:t>‑</w:t>
      </w:r>
      <w:r w:rsidRPr="00983A68" w:rsidR="003D2DB4">
        <w:rPr>
          <w:rFonts w:ascii="Verdana" w:hAnsi="Verdana" w:cs="Times New Roman"/>
          <w:color w:val="000000" w:themeColor="text1"/>
          <w:szCs w:val="24"/>
        </w:rPr>
        <w:t>driven rules, heightened media and political salience, and a judgement</w:t>
      </w:r>
      <w:r w:rsidRPr="00983A68" w:rsidR="003D2DB4">
        <w:rPr>
          <w:rFonts w:ascii="Cambria Math" w:hAnsi="Cambria Math" w:cs="Cambria Math"/>
          <w:color w:val="000000" w:themeColor="text1"/>
          <w:szCs w:val="24"/>
        </w:rPr>
        <w:t>‑</w:t>
      </w:r>
      <w:r w:rsidRPr="00983A68" w:rsidR="003D2DB4">
        <w:rPr>
          <w:rFonts w:ascii="Verdana" w:hAnsi="Verdana" w:cs="Times New Roman"/>
          <w:color w:val="000000" w:themeColor="text1"/>
          <w:szCs w:val="24"/>
        </w:rPr>
        <w:t>heavy OBR modelling framework has created a system that risks generating the very instability it is intended to prevent. While the current rules have helped to reassure gilt markets in the aftermath of the September 2022 mini</w:t>
      </w:r>
      <w:r w:rsidRPr="00983A68" w:rsidR="003D2DB4">
        <w:rPr>
          <w:rFonts w:ascii="Cambria Math" w:hAnsi="Cambria Math" w:cs="Cambria Math"/>
          <w:color w:val="000000" w:themeColor="text1"/>
          <w:szCs w:val="24"/>
        </w:rPr>
        <w:t>‑</w:t>
      </w:r>
      <w:r w:rsidRPr="00983A68" w:rsidR="003D2DB4">
        <w:rPr>
          <w:rFonts w:ascii="Verdana" w:hAnsi="Verdana" w:cs="Times New Roman"/>
          <w:color w:val="000000" w:themeColor="text1"/>
          <w:szCs w:val="24"/>
        </w:rPr>
        <w:t>budget, this stabilisation has come at the cost of flexibility and macroeconomic responsiveness, particularly when fiscal headroom is narrow.</w:t>
      </w:r>
      <w:r w:rsidRPr="00983A68" w:rsidR="003D2DB4">
        <w:rPr>
          <w:rFonts w:ascii="Verdana" w:hAnsi="Verdana" w:cs="Times New Roman"/>
          <w:color w:val="000000" w:themeColor="text1"/>
          <w:szCs w:val="24"/>
        </w:rPr>
        <w:br/>
      </w:r>
      <w:r w:rsidRPr="00983A68" w:rsidR="003D2DB4">
        <w:rPr>
          <w:rFonts w:ascii="Verdana" w:hAnsi="Verdana" w:cs="Times New Roman"/>
          <w:color w:val="000000" w:themeColor="text1"/>
          <w:szCs w:val="24"/>
        </w:rPr>
        <w:br/>
        <w:t xml:space="preserve">A modernised framework aligned with OECD and IMF best practice would rebalance the system. Moving towards a combination of a </w:t>
      </w:r>
      <w:r w:rsidRPr="00983A68" w:rsidR="003D2DB4">
        <w:rPr>
          <w:rFonts w:ascii="Verdana" w:hAnsi="Verdana" w:cs="Times New Roman"/>
          <w:color w:val="000000" w:themeColor="text1"/>
          <w:szCs w:val="24"/>
        </w:rPr>
        <w:t>medium</w:t>
      </w:r>
      <w:r w:rsidRPr="00983A68" w:rsidR="003D2DB4">
        <w:rPr>
          <w:rFonts w:ascii="Cambria Math" w:hAnsi="Cambria Math" w:cs="Cambria Math"/>
          <w:color w:val="000000" w:themeColor="text1"/>
          <w:szCs w:val="24"/>
        </w:rPr>
        <w:t>‑</w:t>
      </w:r>
      <w:r w:rsidRPr="00983A68" w:rsidR="003D2DB4">
        <w:rPr>
          <w:rFonts w:ascii="Verdana" w:hAnsi="Verdana" w:cs="Times New Roman"/>
          <w:color w:val="000000" w:themeColor="text1"/>
          <w:szCs w:val="24"/>
        </w:rPr>
        <w:t>term debt anchor, credible expenditure ceilings, codified escape clauses and assessment based on forecast ranges rather than point targets would reduce volatility, improve policy stability and strengthen public understanding of the Government</w:t>
      </w:r>
      <w:r w:rsidRPr="00983A68" w:rsidR="003D2DB4">
        <w:rPr>
          <w:rFonts w:ascii="Verdana" w:hAnsi="Verdana" w:cs="Verdana"/>
          <w:color w:val="000000" w:themeColor="text1"/>
          <w:szCs w:val="24"/>
        </w:rPr>
        <w:t>’</w:t>
      </w:r>
      <w:r w:rsidRPr="00983A68" w:rsidR="003D2DB4">
        <w:rPr>
          <w:rFonts w:ascii="Verdana" w:hAnsi="Verdana" w:cs="Times New Roman"/>
          <w:color w:val="000000" w:themeColor="text1"/>
          <w:szCs w:val="24"/>
        </w:rPr>
        <w:t>s fiscal strategy. Fiscal rules should support sustainable growth and macroeconomic stability, not act as a source of unnecessary constraint or uncertainty.</w:t>
      </w:r>
      <w:r w:rsidRPr="00983A68" w:rsidR="003D2DB4">
        <w:rPr>
          <w:rFonts w:ascii="Verdana" w:hAnsi="Verdana" w:cs="Times New Roman"/>
          <w:color w:val="000000" w:themeColor="text1"/>
          <w:szCs w:val="24"/>
        </w:rPr>
        <w:br/>
      </w:r>
      <w:r w:rsidRPr="00983A68" w:rsidR="003D2DB4">
        <w:rPr>
          <w:rFonts w:ascii="Verdana" w:hAnsi="Verdana" w:cs="Times New Roman"/>
          <w:color w:val="000000" w:themeColor="text1"/>
          <w:szCs w:val="24"/>
        </w:rPr>
        <w:br/>
        <w:t>Reforming the framework along these lines would ensure that fiscal rules continue to anchor expectations and maintain market confidence, while also allowing the flexibility needed to respond to shocks, support investment and promote a more resilient UK economy.</w:t>
      </w:r>
    </w:p>
    <w:p w:rsidR="00983A68" w:rsidRPr="00983A68" w:rsidP="00983A68">
      <w:pPr>
        <w:rPr>
          <w:rFonts w:cs="Times New Roman"/>
          <w:szCs w:val="24"/>
        </w:rPr>
      </w:pPr>
    </w:p>
    <w:p w:rsidR="00983A68" w:rsidP="00983A68">
      <w:pPr>
        <w:spacing w:before="30" w:after="30" w:line="480" w:lineRule="auto"/>
        <w:jc w:val="center"/>
        <w:rPr>
          <w:rFonts w:ascii="Verdana" w:hAnsi="Verdana" w:cs="Times New Roman"/>
          <w:b/>
          <w:bCs/>
          <w:color w:val="000000" w:themeColor="text1"/>
          <w:szCs w:val="24"/>
        </w:rPr>
      </w:pPr>
    </w:p>
    <w:p w:rsidR="00983A68" w:rsidP="00983A68">
      <w:pPr>
        <w:spacing w:before="30" w:after="30" w:line="480" w:lineRule="auto"/>
        <w:jc w:val="center"/>
        <w:rPr>
          <w:rFonts w:ascii="Verdana" w:hAnsi="Verdana" w:cs="Times New Roman"/>
          <w:b/>
          <w:bCs/>
          <w:color w:val="000000" w:themeColor="text1"/>
          <w:szCs w:val="24"/>
        </w:rPr>
      </w:pPr>
    </w:p>
    <w:p w:rsidR="00983A68" w:rsidP="00983A68">
      <w:pPr>
        <w:spacing w:before="30" w:after="30" w:line="480" w:lineRule="auto"/>
        <w:jc w:val="center"/>
        <w:rPr>
          <w:rFonts w:ascii="Verdana" w:hAnsi="Verdana" w:cs="Times New Roman"/>
          <w:b/>
          <w:bCs/>
          <w:color w:val="000000" w:themeColor="text1"/>
          <w:szCs w:val="24"/>
        </w:rPr>
      </w:pPr>
    </w:p>
    <w:p w:rsidR="00983A68" w:rsidP="00983A68">
      <w:pPr>
        <w:spacing w:before="30" w:after="30" w:line="480" w:lineRule="auto"/>
        <w:jc w:val="center"/>
        <w:rPr>
          <w:rFonts w:ascii="Verdana" w:hAnsi="Verdana" w:cs="Times New Roman"/>
          <w:b/>
          <w:bCs/>
          <w:color w:val="000000" w:themeColor="text1"/>
          <w:szCs w:val="24"/>
        </w:rPr>
      </w:pPr>
    </w:p>
    <w:p w:rsidR="00983A68" w:rsidP="00983A68">
      <w:pPr>
        <w:spacing w:before="30" w:after="30" w:line="480" w:lineRule="auto"/>
        <w:jc w:val="center"/>
        <w:rPr>
          <w:rFonts w:ascii="Verdana" w:hAnsi="Verdana" w:cs="Times New Roman"/>
          <w:b/>
          <w:bCs/>
          <w:color w:val="000000" w:themeColor="text1"/>
          <w:szCs w:val="24"/>
        </w:rPr>
      </w:pPr>
    </w:p>
    <w:p w:rsidR="00983A68" w:rsidP="00983A68">
      <w:pPr>
        <w:spacing w:before="30" w:after="30" w:line="480" w:lineRule="auto"/>
        <w:jc w:val="center"/>
        <w:rPr>
          <w:rFonts w:ascii="Verdana" w:hAnsi="Verdana" w:cs="Times New Roman"/>
          <w:b/>
          <w:bCs/>
          <w:color w:val="000000" w:themeColor="text1"/>
          <w:szCs w:val="24"/>
        </w:rPr>
      </w:pPr>
    </w:p>
    <w:p w:rsidR="00983A68" w:rsidP="00983A68">
      <w:pPr>
        <w:spacing w:before="30" w:after="30" w:line="480" w:lineRule="auto"/>
        <w:jc w:val="center"/>
        <w:rPr>
          <w:rFonts w:ascii="Verdana" w:hAnsi="Verdana" w:cs="Times New Roman"/>
          <w:b/>
          <w:bCs/>
          <w:color w:val="000000" w:themeColor="text1"/>
          <w:szCs w:val="24"/>
        </w:rPr>
      </w:pPr>
    </w:p>
    <w:p w:rsidR="00983A68" w:rsidP="00983A68">
      <w:pPr>
        <w:spacing w:before="30" w:after="30" w:line="480" w:lineRule="auto"/>
        <w:jc w:val="center"/>
        <w:rPr>
          <w:rFonts w:ascii="Verdana" w:hAnsi="Verdana" w:cs="Times New Roman"/>
          <w:b/>
          <w:bCs/>
          <w:color w:val="000000" w:themeColor="text1"/>
          <w:szCs w:val="24"/>
        </w:rPr>
      </w:pPr>
    </w:p>
    <w:p w:rsidR="00983A68" w:rsidP="00983A68">
      <w:pPr>
        <w:spacing w:before="30" w:after="30" w:line="480" w:lineRule="auto"/>
        <w:jc w:val="center"/>
        <w:rPr>
          <w:rFonts w:ascii="Verdana" w:hAnsi="Verdana" w:cs="Times New Roman"/>
          <w:b/>
          <w:bCs/>
          <w:color w:val="000000" w:themeColor="text1"/>
          <w:szCs w:val="24"/>
        </w:rPr>
      </w:pPr>
    </w:p>
    <w:p w:rsidR="00983A68" w:rsidP="00983A68">
      <w:pPr>
        <w:spacing w:before="30" w:after="30" w:line="480" w:lineRule="auto"/>
        <w:jc w:val="center"/>
        <w:rPr>
          <w:rFonts w:ascii="Verdana" w:hAnsi="Verdana" w:cs="Times New Roman"/>
          <w:b/>
          <w:bCs/>
          <w:color w:val="000000" w:themeColor="text1"/>
          <w:szCs w:val="24"/>
        </w:rPr>
      </w:pPr>
    </w:p>
    <w:p w:rsidR="003D2DB4" w:rsidRPr="00983A68" w:rsidP="008668AB">
      <w:pPr>
        <w:spacing w:before="30" w:after="30" w:line="480" w:lineRule="auto"/>
        <w:rPr>
          <w:rFonts w:ascii="Verdana" w:hAnsi="Verdana" w:cs="Times New Roman"/>
          <w:b/>
          <w:bCs/>
          <w:color w:val="000000" w:themeColor="text1"/>
          <w:szCs w:val="24"/>
        </w:rPr>
      </w:pPr>
      <w:r w:rsidRPr="00983A68">
        <w:rPr>
          <w:rFonts w:ascii="Verdana" w:hAnsi="Verdana" w:cs="Times New Roman"/>
          <w:b/>
          <w:bCs/>
          <w:color w:val="000000" w:themeColor="text1"/>
          <w:szCs w:val="24"/>
        </w:rPr>
        <w:t>Appendix 1</w:t>
      </w:r>
    </w:p>
    <w:p w:rsidR="003D2DB4" w:rsidRPr="00983A68" w:rsidP="00983A68">
      <w:pPr>
        <w:spacing w:before="30" w:after="30" w:line="480" w:lineRule="auto"/>
        <w:rPr>
          <w:rFonts w:ascii="Verdana" w:hAnsi="Verdana" w:cs="Times New Roman"/>
          <w:b/>
          <w:bCs/>
          <w:szCs w:val="24"/>
        </w:rPr>
      </w:pPr>
      <w:r w:rsidRPr="00983A68">
        <w:rPr>
          <w:rFonts w:ascii="Verdana" w:hAnsi="Verdana" w:cs="Times New Roman"/>
          <w:b/>
          <w:bCs/>
          <w:szCs w:val="24"/>
        </w:rPr>
        <w:t>1) Time coverage (2015–present)</w:t>
      </w:r>
    </w:p>
    <w:p w:rsidR="003D2DB4" w:rsidRPr="00983A68" w:rsidP="00983A68">
      <w:pPr>
        <w:spacing w:before="30" w:after="30" w:line="480" w:lineRule="auto"/>
        <w:rPr>
          <w:rFonts w:ascii="Verdana" w:hAnsi="Verdana" w:cs="Times New Roman"/>
          <w:szCs w:val="24"/>
        </w:rPr>
      </w:pPr>
      <w:r w:rsidRPr="00983A68">
        <w:rPr>
          <w:rFonts w:ascii="Verdana" w:hAnsi="Verdana" w:cs="Times New Roman"/>
          <w:szCs w:val="24"/>
        </w:rPr>
        <w:t xml:space="preserve">Rationale: GDELT-based coverage and UK media digitization are substantially more usable and consistent after 2015. </w:t>
      </w:r>
    </w:p>
    <w:p w:rsidR="003D2DB4" w:rsidRPr="00983A68" w:rsidP="00983A68">
      <w:pPr>
        <w:spacing w:before="30" w:after="30" w:line="480" w:lineRule="auto"/>
        <w:rPr>
          <w:rFonts w:ascii="Verdana" w:hAnsi="Verdana" w:cs="Times New Roman"/>
          <w:szCs w:val="24"/>
        </w:rPr>
      </w:pPr>
    </w:p>
    <w:p w:rsidR="003D2DB4" w:rsidRPr="00983A68" w:rsidP="00983A68">
      <w:pPr>
        <w:spacing w:before="30" w:after="30" w:line="480" w:lineRule="auto"/>
        <w:rPr>
          <w:rFonts w:ascii="Verdana" w:hAnsi="Verdana" w:cs="Times New Roman"/>
          <w:b/>
          <w:bCs/>
          <w:szCs w:val="24"/>
        </w:rPr>
      </w:pPr>
      <w:r w:rsidRPr="00983A68">
        <w:rPr>
          <w:rFonts w:ascii="Verdana" w:hAnsi="Verdana" w:cs="Times New Roman"/>
          <w:b/>
          <w:bCs/>
          <w:szCs w:val="24"/>
        </w:rPr>
        <w:t>2) Construction of Salience Index</w:t>
      </w:r>
    </w:p>
    <w:p w:rsidR="003D2DB4" w:rsidRPr="00983A68" w:rsidP="00983A68">
      <w:pPr>
        <w:spacing w:before="30" w:after="30" w:line="480" w:lineRule="auto"/>
        <w:rPr>
          <w:rFonts w:ascii="Verdana" w:hAnsi="Verdana" w:cs="Times New Roman"/>
          <w:b/>
          <w:bCs/>
          <w:szCs w:val="24"/>
        </w:rPr>
      </w:pPr>
      <w:r w:rsidRPr="00983A68">
        <w:rPr>
          <w:rFonts w:ascii="Verdana" w:hAnsi="Verdana" w:cs="Times New Roman"/>
          <w:b/>
          <w:bCs/>
          <w:szCs w:val="24"/>
        </w:rPr>
        <w:t>Pre-defined keyword dictionary (exact terms)</w:t>
      </w:r>
    </w:p>
    <w:p w:rsidR="003D2DB4" w:rsidRPr="00983A68" w:rsidP="00983A68">
      <w:pPr>
        <w:spacing w:before="30" w:after="30" w:line="480" w:lineRule="auto"/>
        <w:rPr>
          <w:rFonts w:ascii="Verdana" w:hAnsi="Verdana" w:cs="Times New Roman"/>
          <w:b/>
          <w:bCs/>
          <w:szCs w:val="24"/>
          <w:lang w:val="en-AU"/>
        </w:rPr>
      </w:pPr>
      <w:r w:rsidRPr="00983A68">
        <w:rPr>
          <w:rFonts w:ascii="Verdana" w:hAnsi="Verdana" w:cs="Times New Roman"/>
          <w:b/>
          <w:bCs/>
          <w:szCs w:val="24"/>
          <w:lang w:val="en-AU"/>
        </w:rPr>
        <w:t xml:space="preserve">1. </w:t>
      </w:r>
      <w:r w:rsidRPr="00983A68">
        <w:rPr>
          <w:rFonts w:ascii="Verdana" w:hAnsi="Verdana" w:cs="Times New Roman"/>
          <w:b/>
          <w:bCs/>
          <w:szCs w:val="24"/>
        </w:rPr>
        <w:t>Rule</w:t>
      </w:r>
    </w:p>
    <w:p w:rsidR="003D2DB4" w:rsidRPr="00983A68" w:rsidP="00983A68">
      <w:pPr>
        <w:spacing w:before="30" w:after="30" w:line="480" w:lineRule="auto"/>
        <w:rPr>
          <w:rFonts w:ascii="Verdana" w:hAnsi="Verdana" w:cs="Times New Roman"/>
          <w:szCs w:val="24"/>
          <w:lang w:val="en-AU"/>
        </w:rPr>
      </w:pPr>
      <w:r w:rsidRPr="00983A68">
        <w:rPr>
          <w:rFonts w:ascii="Verdana" w:hAnsi="Verdana" w:cs="Times New Roman"/>
          <w:szCs w:val="24"/>
        </w:rPr>
        <w:t>Fiscal rule</w:t>
      </w:r>
      <w:r w:rsidRPr="00983A68">
        <w:rPr>
          <w:rFonts w:ascii="Verdana" w:hAnsi="Verdana" w:cs="Times New Roman"/>
          <w:szCs w:val="24"/>
          <w:lang w:val="en-AU"/>
        </w:rPr>
        <w:t xml:space="preserve">; </w:t>
      </w:r>
      <w:r w:rsidRPr="00983A68">
        <w:rPr>
          <w:rFonts w:ascii="Verdana" w:hAnsi="Verdana" w:cs="Times New Roman"/>
          <w:szCs w:val="24"/>
        </w:rPr>
        <w:t>fiscal framework</w:t>
      </w:r>
      <w:r w:rsidRPr="00983A68">
        <w:rPr>
          <w:rFonts w:ascii="Verdana" w:hAnsi="Verdana" w:cs="Times New Roman"/>
          <w:szCs w:val="24"/>
          <w:lang w:val="en-AU"/>
        </w:rPr>
        <w:t xml:space="preserve">; </w:t>
      </w:r>
      <w:r w:rsidRPr="00983A68">
        <w:rPr>
          <w:rFonts w:ascii="Verdana" w:hAnsi="Verdana" w:cs="Times New Roman"/>
          <w:szCs w:val="24"/>
        </w:rPr>
        <w:t>fiscal mandate</w:t>
      </w:r>
      <w:r w:rsidRPr="00983A68">
        <w:rPr>
          <w:rFonts w:ascii="Verdana" w:hAnsi="Verdana" w:cs="Times New Roman"/>
          <w:szCs w:val="24"/>
          <w:lang w:val="en-AU"/>
        </w:rPr>
        <w:t xml:space="preserve">; </w:t>
      </w:r>
      <w:r w:rsidRPr="00983A68">
        <w:rPr>
          <w:rFonts w:ascii="Verdana" w:hAnsi="Verdana" w:cs="Times New Roman"/>
          <w:szCs w:val="24"/>
        </w:rPr>
        <w:t>debt must be falling</w:t>
      </w:r>
      <w:r w:rsidRPr="00983A68">
        <w:rPr>
          <w:rFonts w:ascii="Verdana" w:hAnsi="Verdana" w:cs="Times New Roman"/>
          <w:szCs w:val="24"/>
          <w:lang w:val="en-AU"/>
        </w:rPr>
        <w:t xml:space="preserve">; </w:t>
      </w:r>
      <w:r w:rsidRPr="00983A68">
        <w:rPr>
          <w:rFonts w:ascii="Verdana" w:hAnsi="Verdana" w:cs="Times New Roman"/>
          <w:szCs w:val="24"/>
        </w:rPr>
        <w:t>balancing the current budget</w:t>
      </w:r>
      <w:r w:rsidRPr="00983A68">
        <w:rPr>
          <w:rFonts w:ascii="Verdana" w:hAnsi="Verdana" w:cs="Times New Roman"/>
          <w:szCs w:val="24"/>
          <w:lang w:val="en-AU"/>
        </w:rPr>
        <w:t xml:space="preserve">; </w:t>
      </w:r>
      <w:r w:rsidRPr="00983A68">
        <w:rPr>
          <w:rFonts w:ascii="Verdana" w:hAnsi="Verdana" w:cs="Times New Roman"/>
          <w:szCs w:val="24"/>
        </w:rPr>
        <w:t>borrowing rule</w:t>
      </w:r>
      <w:r w:rsidRPr="00983A68">
        <w:rPr>
          <w:rFonts w:ascii="Verdana" w:hAnsi="Verdana" w:cs="Times New Roman"/>
          <w:szCs w:val="24"/>
          <w:lang w:val="en-AU"/>
        </w:rPr>
        <w:t xml:space="preserve">; </w:t>
      </w:r>
      <w:r w:rsidRPr="00983A68">
        <w:rPr>
          <w:rFonts w:ascii="Verdana" w:hAnsi="Verdana" w:cs="Times New Roman"/>
          <w:szCs w:val="24"/>
        </w:rPr>
        <w:t>fiscal anchor</w:t>
      </w:r>
      <w:r w:rsidRPr="00983A68">
        <w:rPr>
          <w:rFonts w:ascii="Verdana" w:hAnsi="Verdana" w:cs="Times New Roman"/>
          <w:szCs w:val="24"/>
          <w:lang w:val="en-AU"/>
        </w:rPr>
        <w:t xml:space="preserve">; </w:t>
      </w:r>
      <w:r w:rsidRPr="00983A68">
        <w:rPr>
          <w:rFonts w:ascii="Verdana" w:hAnsi="Verdana" w:cs="Times New Roman"/>
          <w:szCs w:val="24"/>
        </w:rPr>
        <w:t>fiscal credibility.</w:t>
      </w:r>
    </w:p>
    <w:p w:rsidR="003D2DB4" w:rsidRPr="00983A68" w:rsidP="00983A68">
      <w:pPr>
        <w:spacing w:before="30" w:after="30" w:line="480" w:lineRule="auto"/>
        <w:rPr>
          <w:rFonts w:ascii="Verdana" w:hAnsi="Verdana" w:cs="Times New Roman"/>
          <w:b/>
          <w:bCs/>
          <w:szCs w:val="24"/>
          <w:lang w:val="en-AU"/>
        </w:rPr>
      </w:pPr>
      <w:r w:rsidRPr="00983A68">
        <w:rPr>
          <w:rFonts w:ascii="Verdana" w:hAnsi="Verdana" w:cs="Times New Roman"/>
          <w:b/>
          <w:bCs/>
          <w:szCs w:val="24"/>
        </w:rPr>
        <w:t>2. Space</w:t>
      </w:r>
    </w:p>
    <w:p w:rsidR="003D2DB4" w:rsidRPr="00983A68" w:rsidP="00983A68">
      <w:pPr>
        <w:spacing w:before="30" w:after="30" w:line="480" w:lineRule="auto"/>
        <w:rPr>
          <w:rFonts w:ascii="Verdana" w:hAnsi="Verdana" w:cs="Times New Roman"/>
          <w:szCs w:val="24"/>
          <w:lang w:val="en-AU"/>
        </w:rPr>
      </w:pPr>
      <w:r w:rsidRPr="00983A68">
        <w:rPr>
          <w:rFonts w:ascii="Verdana" w:hAnsi="Verdana" w:cs="Times New Roman"/>
          <w:szCs w:val="24"/>
        </w:rPr>
        <w:t>fiscal headroom</w:t>
      </w:r>
      <w:r w:rsidRPr="00983A68">
        <w:rPr>
          <w:rFonts w:ascii="Verdana" w:hAnsi="Verdana" w:cs="Times New Roman"/>
          <w:szCs w:val="24"/>
          <w:lang w:val="en-AU"/>
        </w:rPr>
        <w:t xml:space="preserve">; </w:t>
      </w:r>
      <w:r w:rsidRPr="00983A68">
        <w:rPr>
          <w:rFonts w:ascii="Verdana" w:hAnsi="Verdana" w:cs="Times New Roman"/>
          <w:szCs w:val="24"/>
        </w:rPr>
        <w:t>fiscal headspace</w:t>
      </w:r>
      <w:r w:rsidRPr="00983A68">
        <w:rPr>
          <w:rFonts w:ascii="Verdana" w:hAnsi="Verdana" w:cs="Times New Roman"/>
          <w:szCs w:val="24"/>
          <w:lang w:val="en-AU"/>
        </w:rPr>
        <w:t xml:space="preserve">; </w:t>
      </w:r>
      <w:r w:rsidRPr="00983A68">
        <w:rPr>
          <w:rFonts w:ascii="Verdana" w:hAnsi="Verdana" w:cs="Times New Roman"/>
          <w:szCs w:val="24"/>
        </w:rPr>
        <w:t>fiscal space</w:t>
      </w:r>
      <w:r w:rsidRPr="00983A68">
        <w:rPr>
          <w:rFonts w:ascii="Verdana" w:hAnsi="Verdana" w:cs="Times New Roman"/>
          <w:szCs w:val="24"/>
          <w:lang w:val="en-AU"/>
        </w:rPr>
        <w:t xml:space="preserve">; </w:t>
      </w:r>
      <w:r w:rsidRPr="00983A68">
        <w:rPr>
          <w:rFonts w:ascii="Verdana" w:hAnsi="Verdana" w:cs="Times New Roman"/>
          <w:szCs w:val="24"/>
        </w:rPr>
        <w:t>room for maneuver</w:t>
      </w:r>
      <w:r w:rsidRPr="00983A68">
        <w:rPr>
          <w:rFonts w:ascii="Verdana" w:hAnsi="Verdana" w:cs="Times New Roman"/>
          <w:szCs w:val="24"/>
          <w:lang w:val="en-AU"/>
        </w:rPr>
        <w:t xml:space="preserve">; </w:t>
      </w:r>
      <w:r w:rsidRPr="00983A68">
        <w:rPr>
          <w:rFonts w:ascii="Verdana" w:hAnsi="Verdana" w:cs="Times New Roman"/>
          <w:szCs w:val="24"/>
        </w:rPr>
        <w:t>buffer against the fiscal rules</w:t>
      </w:r>
      <w:r w:rsidRPr="00983A68">
        <w:rPr>
          <w:rFonts w:ascii="Verdana" w:hAnsi="Verdana" w:cs="Times New Roman"/>
          <w:szCs w:val="24"/>
          <w:lang w:val="en-AU"/>
        </w:rPr>
        <w:t xml:space="preserve">; </w:t>
      </w:r>
      <w:r w:rsidRPr="00983A68">
        <w:rPr>
          <w:rFonts w:ascii="Verdana" w:hAnsi="Verdana" w:cs="Times New Roman"/>
          <w:szCs w:val="24"/>
        </w:rPr>
        <w:t>close to the limits</w:t>
      </w:r>
      <w:r w:rsidRPr="00983A68">
        <w:rPr>
          <w:rFonts w:ascii="Verdana" w:hAnsi="Verdana" w:cs="Times New Roman"/>
          <w:szCs w:val="24"/>
          <w:lang w:val="en-AU"/>
        </w:rPr>
        <w:t xml:space="preserve">; </w:t>
      </w:r>
      <w:r w:rsidRPr="00983A68">
        <w:rPr>
          <w:rFonts w:ascii="Verdana" w:hAnsi="Verdana" w:cs="Times New Roman"/>
          <w:szCs w:val="24"/>
        </w:rPr>
        <w:t>up against the rules.</w:t>
      </w:r>
    </w:p>
    <w:p w:rsidR="003D2DB4" w:rsidRPr="00983A68" w:rsidP="00983A68">
      <w:pPr>
        <w:spacing w:before="30" w:after="30" w:line="480" w:lineRule="auto"/>
        <w:rPr>
          <w:rFonts w:ascii="Verdana" w:hAnsi="Verdana" w:cs="Times New Roman"/>
          <w:b/>
          <w:bCs/>
          <w:szCs w:val="24"/>
          <w:lang w:val="en-AU"/>
        </w:rPr>
      </w:pPr>
      <w:r w:rsidRPr="00983A68">
        <w:rPr>
          <w:rFonts w:ascii="Verdana" w:hAnsi="Verdana" w:cs="Times New Roman"/>
          <w:b/>
          <w:bCs/>
          <w:szCs w:val="24"/>
        </w:rPr>
        <w:t>3. Adjustment</w:t>
      </w:r>
    </w:p>
    <w:p w:rsidR="003D2DB4" w:rsidRPr="00983A68" w:rsidP="00983A68">
      <w:pPr>
        <w:spacing w:before="30" w:after="30" w:line="480" w:lineRule="auto"/>
        <w:rPr>
          <w:rFonts w:ascii="Verdana" w:hAnsi="Verdana" w:cs="Times New Roman"/>
          <w:szCs w:val="24"/>
          <w:lang w:val="en-AU"/>
        </w:rPr>
      </w:pPr>
      <w:r w:rsidRPr="00983A68">
        <w:rPr>
          <w:rFonts w:ascii="Verdana" w:hAnsi="Verdana" w:cs="Times New Roman"/>
          <w:szCs w:val="24"/>
        </w:rPr>
        <w:t>Tax rises</w:t>
      </w:r>
      <w:r w:rsidRPr="00983A68">
        <w:rPr>
          <w:rFonts w:ascii="Verdana" w:hAnsi="Verdana" w:cs="Times New Roman"/>
          <w:szCs w:val="24"/>
          <w:lang w:val="en-AU"/>
        </w:rPr>
        <w:t xml:space="preserve">; </w:t>
      </w:r>
      <w:r w:rsidRPr="00983A68">
        <w:rPr>
          <w:rFonts w:ascii="Verdana" w:hAnsi="Verdana" w:cs="Times New Roman"/>
          <w:szCs w:val="24"/>
        </w:rPr>
        <w:t>tax increases</w:t>
      </w:r>
      <w:r w:rsidRPr="00983A68">
        <w:rPr>
          <w:rFonts w:ascii="Verdana" w:hAnsi="Verdana" w:cs="Times New Roman"/>
          <w:szCs w:val="24"/>
          <w:lang w:val="en-AU"/>
        </w:rPr>
        <w:t xml:space="preserve">; </w:t>
      </w:r>
      <w:r w:rsidRPr="00983A68">
        <w:rPr>
          <w:rFonts w:ascii="Verdana" w:hAnsi="Verdana" w:cs="Times New Roman"/>
          <w:szCs w:val="24"/>
        </w:rPr>
        <w:t>stealth tax</w:t>
      </w:r>
      <w:r w:rsidRPr="00983A68">
        <w:rPr>
          <w:rFonts w:ascii="Verdana" w:hAnsi="Verdana" w:cs="Times New Roman"/>
          <w:szCs w:val="24"/>
          <w:lang w:val="en-AU"/>
        </w:rPr>
        <w:t xml:space="preserve">; </w:t>
      </w:r>
      <w:r w:rsidRPr="00983A68">
        <w:rPr>
          <w:rFonts w:ascii="Verdana" w:hAnsi="Verdana" w:cs="Times New Roman"/>
          <w:szCs w:val="24"/>
        </w:rPr>
        <w:t>tightening</w:t>
      </w:r>
      <w:r w:rsidRPr="00983A68">
        <w:rPr>
          <w:rFonts w:ascii="Verdana" w:hAnsi="Verdana" w:cs="Times New Roman"/>
          <w:szCs w:val="24"/>
          <w:lang w:val="en-AU"/>
        </w:rPr>
        <w:t xml:space="preserve">; </w:t>
      </w:r>
      <w:r w:rsidRPr="00983A68">
        <w:rPr>
          <w:rFonts w:ascii="Verdana" w:hAnsi="Verdana" w:cs="Times New Roman"/>
          <w:szCs w:val="24"/>
        </w:rPr>
        <w:t>consolidation</w:t>
      </w:r>
      <w:r w:rsidRPr="00983A68">
        <w:rPr>
          <w:rFonts w:ascii="Verdana" w:hAnsi="Verdana" w:cs="Times New Roman"/>
          <w:szCs w:val="24"/>
          <w:lang w:val="en-AU"/>
        </w:rPr>
        <w:t xml:space="preserve">; </w:t>
      </w:r>
      <w:r w:rsidRPr="00983A68">
        <w:rPr>
          <w:rFonts w:ascii="Verdana" w:hAnsi="Verdana" w:cs="Times New Roman"/>
          <w:szCs w:val="24"/>
        </w:rPr>
        <w:t>spending cuts</w:t>
      </w:r>
      <w:r w:rsidRPr="00983A68">
        <w:rPr>
          <w:rFonts w:ascii="Verdana" w:hAnsi="Verdana" w:cs="Times New Roman"/>
          <w:szCs w:val="24"/>
          <w:lang w:val="en-AU"/>
        </w:rPr>
        <w:t xml:space="preserve">; </w:t>
      </w:r>
      <w:r w:rsidRPr="00983A68">
        <w:rPr>
          <w:rFonts w:ascii="Verdana" w:hAnsi="Verdana" w:cs="Times New Roman"/>
          <w:szCs w:val="24"/>
        </w:rPr>
        <w:t>difficult decisions</w:t>
      </w:r>
      <w:r w:rsidRPr="00983A68">
        <w:rPr>
          <w:rFonts w:ascii="Verdana" w:hAnsi="Verdana" w:cs="Times New Roman"/>
          <w:szCs w:val="24"/>
          <w:lang w:val="en-AU"/>
        </w:rPr>
        <w:t xml:space="preserve">; </w:t>
      </w:r>
      <w:r w:rsidRPr="00983A68">
        <w:rPr>
          <w:rFonts w:ascii="Verdana" w:hAnsi="Verdana" w:cs="Times New Roman"/>
          <w:szCs w:val="24"/>
        </w:rPr>
        <w:t>tough choices</w:t>
      </w:r>
    </w:p>
    <w:p w:rsidR="003D2DB4" w:rsidRPr="00983A68" w:rsidP="00983A68">
      <w:pPr>
        <w:spacing w:before="30" w:after="30" w:line="480" w:lineRule="auto"/>
        <w:rPr>
          <w:rFonts w:ascii="Verdana" w:hAnsi="Verdana" w:cs="Times New Roman"/>
          <w:b/>
          <w:bCs/>
          <w:szCs w:val="24"/>
        </w:rPr>
      </w:pPr>
      <w:r w:rsidRPr="00983A68">
        <w:rPr>
          <w:rFonts w:ascii="Verdana" w:hAnsi="Verdana" w:cs="Times New Roman"/>
          <w:b/>
          <w:bCs/>
          <w:szCs w:val="24"/>
        </w:rPr>
        <w:t>3) Data sources</w:t>
      </w:r>
    </w:p>
    <w:p w:rsidR="003D2DB4" w:rsidRPr="00983A68" w:rsidP="00983A68">
      <w:pPr>
        <w:spacing w:before="30" w:after="30" w:line="480" w:lineRule="auto"/>
        <w:rPr>
          <w:rFonts w:ascii="Verdana" w:hAnsi="Verdana" w:cs="Times New Roman"/>
          <w:b/>
          <w:bCs/>
          <w:szCs w:val="24"/>
          <w:lang w:val="en-AU"/>
        </w:rPr>
      </w:pPr>
      <w:r w:rsidRPr="00983A68">
        <w:rPr>
          <w:rFonts w:ascii="Verdana" w:hAnsi="Verdana" w:cs="Times New Roman"/>
          <w:b/>
          <w:bCs/>
          <w:szCs w:val="24"/>
        </w:rPr>
        <w:t>Market / financial data</w:t>
      </w:r>
    </w:p>
    <w:p w:rsidR="003D2DB4" w:rsidRPr="00983A68" w:rsidP="00983A68">
      <w:pPr>
        <w:pStyle w:val="ListParagraph"/>
        <w:numPr>
          <w:ilvl w:val="2"/>
          <w:numId w:val="13"/>
        </w:numPr>
        <w:spacing w:before="30" w:after="30" w:line="480" w:lineRule="auto"/>
        <w:rPr>
          <w:rFonts w:ascii="Verdana" w:hAnsi="Verdana" w:cs="Times New Roman"/>
          <w:b/>
          <w:bCs/>
          <w:szCs w:val="24"/>
          <w:lang w:val="en-AU"/>
        </w:rPr>
      </w:pPr>
      <w:r w:rsidRPr="00983A68">
        <w:rPr>
          <w:rFonts w:ascii="Verdana" w:hAnsi="Verdana" w:cs="Times New Roman"/>
          <w:b/>
          <w:bCs/>
          <w:szCs w:val="24"/>
        </w:rPr>
        <w:t>Yahoo Finance (as the primary market-data source).</w:t>
      </w:r>
    </w:p>
    <w:p w:rsidR="003D2DB4" w:rsidRPr="00983A68" w:rsidP="00983A68">
      <w:pPr>
        <w:pStyle w:val="ListParagraph"/>
        <w:spacing w:before="30" w:after="30" w:line="480" w:lineRule="auto"/>
        <w:ind w:left="360"/>
        <w:rPr>
          <w:rFonts w:ascii="Verdana" w:hAnsi="Verdana" w:cs="Times New Roman"/>
          <w:szCs w:val="24"/>
        </w:rPr>
      </w:pPr>
      <w:r w:rsidRPr="00983A68">
        <w:rPr>
          <w:rFonts w:ascii="Verdana" w:hAnsi="Verdana" w:cs="Times New Roman"/>
          <w:szCs w:val="24"/>
        </w:rPr>
        <w:t xml:space="preserve">Note: Bank of England series often rely on model-based </w:t>
      </w:r>
      <w:r w:rsidRPr="00983A68">
        <w:rPr>
          <w:rFonts w:ascii="Verdana" w:hAnsi="Verdana" w:cs="Times New Roman"/>
          <w:szCs w:val="24"/>
        </w:rPr>
        <w:t>constructs</w:t>
      </w:r>
      <w:r w:rsidRPr="00983A68">
        <w:rPr>
          <w:rFonts w:ascii="Verdana" w:hAnsi="Verdana" w:cs="Times New Roman"/>
          <w:szCs w:val="24"/>
        </w:rPr>
        <w:t xml:space="preserve"> rather than purely market-traded measures, which may not fully capture real-time market volatility for my purpose.</w:t>
      </w:r>
    </w:p>
    <w:p w:rsidR="003D2DB4" w:rsidRPr="00983A68" w:rsidP="00983A68">
      <w:pPr>
        <w:spacing w:before="30" w:after="30" w:line="480" w:lineRule="auto"/>
        <w:rPr>
          <w:rFonts w:ascii="Verdana" w:hAnsi="Verdana" w:cs="Times New Roman"/>
          <w:b/>
          <w:bCs/>
          <w:szCs w:val="24"/>
          <w:lang w:val="en-AU"/>
        </w:rPr>
      </w:pPr>
      <w:r w:rsidRPr="00983A68">
        <w:rPr>
          <w:rFonts w:ascii="Verdana" w:hAnsi="Verdana" w:cs="Times New Roman"/>
          <w:b/>
          <w:bCs/>
          <w:szCs w:val="24"/>
        </w:rPr>
        <w:t>News media data</w:t>
      </w:r>
    </w:p>
    <w:p w:rsidR="003D2DB4" w:rsidRPr="00983A68" w:rsidP="00983A68">
      <w:pPr>
        <w:pStyle w:val="ListParagraph"/>
        <w:widowControl w:val="0"/>
        <w:numPr>
          <w:ilvl w:val="0"/>
          <w:numId w:val="17"/>
        </w:numPr>
        <w:spacing w:before="30" w:after="30" w:line="480" w:lineRule="auto"/>
        <w:contextualSpacing w:val="0"/>
        <w:jc w:val="both"/>
        <w:rPr>
          <w:rFonts w:ascii="Verdana" w:hAnsi="Verdana" w:cs="Times New Roman"/>
          <w:b/>
          <w:bCs/>
          <w:szCs w:val="24"/>
        </w:rPr>
      </w:pPr>
      <w:r w:rsidRPr="00983A68">
        <w:rPr>
          <w:rFonts w:ascii="Verdana" w:hAnsi="Verdana" w:cs="Times New Roman"/>
          <w:b/>
          <w:bCs/>
          <w:szCs w:val="24"/>
        </w:rPr>
        <w:t>GDELT Project (GDELT 2.1; accessed via Google BigQuery)</w:t>
      </w:r>
    </w:p>
    <w:p w:rsidR="003D2DB4" w:rsidRPr="00983A68" w:rsidP="00983A68">
      <w:pPr>
        <w:pStyle w:val="ListParagraph"/>
        <w:spacing w:before="30" w:after="30" w:line="480" w:lineRule="auto"/>
        <w:ind w:left="360"/>
        <w:rPr>
          <w:rFonts w:ascii="Verdana" w:hAnsi="Verdana" w:cs="Times New Roman"/>
          <w:szCs w:val="24"/>
        </w:rPr>
      </w:pPr>
      <w:r w:rsidRPr="00983A68">
        <w:rPr>
          <w:rFonts w:ascii="Verdana" w:hAnsi="Verdana" w:cs="Times New Roman"/>
          <w:szCs w:val="24"/>
        </w:rPr>
        <w:t xml:space="preserve">Leetaru, K., &amp; Schrodt, P. A. (2013). GDELT: Global Data on Events, Location, and Tone, 1979–2012. ISA Annual Convention. The GDELT Project. Dataset </w:t>
      </w:r>
      <w:r w:rsidRPr="00983A68">
        <w:rPr>
          <w:rFonts w:ascii="Verdana" w:hAnsi="Verdana" w:cs="Times New Roman"/>
          <w:szCs w:val="24"/>
        </w:rPr>
        <w:t>accessed</w:t>
      </w:r>
      <w:r w:rsidRPr="00983A68">
        <w:rPr>
          <w:rFonts w:ascii="Verdana" w:hAnsi="Verdana" w:cs="Times New Roman"/>
          <w:szCs w:val="24"/>
        </w:rPr>
        <w:t xml:space="preserve"> via Google BigQuery on November 28, 2025. </w:t>
      </w:r>
      <w:r>
        <w:fldChar w:fldCharType="begin"/>
      </w:r>
      <w:r>
        <w:instrText xml:space="preserve"> HYPERLINK "https://www.gdeltproject.org/" </w:instrText>
      </w:r>
      <w:r>
        <w:fldChar w:fldCharType="separate"/>
      </w:r>
      <w:r w:rsidRPr="00983A68">
        <w:rPr>
          <w:rStyle w:val="Hyperlink"/>
          <w:rFonts w:ascii="Verdana" w:hAnsi="Verdana" w:cs="Times New Roman"/>
          <w:szCs w:val="24"/>
        </w:rPr>
        <w:t>https://www.gdeltproject.org/</w:t>
      </w:r>
      <w:r>
        <w:fldChar w:fldCharType="end"/>
      </w:r>
    </w:p>
    <w:p w:rsidR="003D2DB4" w:rsidRPr="00983A68" w:rsidP="00983A68">
      <w:pPr>
        <w:pStyle w:val="ListParagraph"/>
        <w:widowControl w:val="0"/>
        <w:numPr>
          <w:ilvl w:val="0"/>
          <w:numId w:val="17"/>
        </w:numPr>
        <w:spacing w:before="30" w:after="30" w:line="480" w:lineRule="auto"/>
        <w:contextualSpacing w:val="0"/>
        <w:jc w:val="both"/>
        <w:rPr>
          <w:rFonts w:ascii="Verdana" w:hAnsi="Verdana" w:cs="Times New Roman"/>
          <w:b/>
          <w:bCs/>
          <w:szCs w:val="24"/>
        </w:rPr>
      </w:pPr>
      <w:r w:rsidRPr="00983A68">
        <w:rPr>
          <w:rFonts w:ascii="Verdana" w:hAnsi="Verdana" w:cs="Times New Roman"/>
          <w:b/>
          <w:bCs/>
          <w:szCs w:val="24"/>
        </w:rPr>
        <w:t>Nexis Uni (LexisNexis) (full-text news database)</w:t>
      </w:r>
    </w:p>
    <w:p w:rsidR="003D2DB4" w:rsidRPr="00983A68" w:rsidP="00983A68">
      <w:pPr>
        <w:pStyle w:val="ListParagraph"/>
        <w:spacing w:before="30" w:after="30" w:line="480" w:lineRule="auto"/>
        <w:ind w:left="360"/>
        <w:rPr>
          <w:rFonts w:ascii="Verdana" w:hAnsi="Verdana" w:cs="Times New Roman"/>
          <w:b/>
          <w:bCs/>
          <w:szCs w:val="24"/>
        </w:rPr>
      </w:pPr>
      <w:r w:rsidRPr="00983A68">
        <w:rPr>
          <w:rFonts w:ascii="Verdana" w:hAnsi="Verdana" w:cs="Times New Roman"/>
          <w:szCs w:val="24"/>
        </w:rPr>
        <w:t xml:space="preserve">LexisNexis. (2025). Nexis Uni [Electronic database]. Retrieved November 28, 2025, from </w:t>
      </w:r>
      <w:r>
        <w:fldChar w:fldCharType="begin"/>
      </w:r>
      <w:r>
        <w:instrText xml:space="preserve"> HYPERLINK "https://www.lexisnexis.com/" </w:instrText>
      </w:r>
      <w:r>
        <w:fldChar w:fldCharType="separate"/>
      </w:r>
      <w:r w:rsidRPr="00983A68">
        <w:rPr>
          <w:rStyle w:val="Hyperlink"/>
          <w:rFonts w:ascii="Verdana" w:hAnsi="Verdana" w:cs="Times New Roman"/>
          <w:szCs w:val="24"/>
        </w:rPr>
        <w:t>https://www.lexisnexis.com/</w:t>
      </w:r>
      <w:r>
        <w:fldChar w:fldCharType="end"/>
      </w:r>
    </w:p>
    <w:p w:rsidR="003D2DB4" w:rsidRPr="00983A68" w:rsidP="00983A68">
      <w:pPr>
        <w:pStyle w:val="ListParagraph"/>
        <w:widowControl w:val="0"/>
        <w:numPr>
          <w:ilvl w:val="0"/>
          <w:numId w:val="17"/>
        </w:numPr>
        <w:spacing w:before="30" w:after="30" w:line="480" w:lineRule="auto"/>
        <w:contextualSpacing w:val="0"/>
        <w:jc w:val="both"/>
        <w:rPr>
          <w:rFonts w:ascii="Verdana" w:hAnsi="Verdana" w:cs="Times New Roman"/>
          <w:b/>
          <w:bCs/>
          <w:szCs w:val="24"/>
        </w:rPr>
      </w:pPr>
      <w:r w:rsidRPr="00983A68">
        <w:rPr>
          <w:rFonts w:ascii="Verdana" w:hAnsi="Verdana" w:cs="Times New Roman"/>
          <w:b/>
          <w:bCs/>
          <w:szCs w:val="24"/>
        </w:rPr>
        <w:t>The Guardian Open Platform (API)</w:t>
      </w:r>
    </w:p>
    <w:p w:rsidR="003D2DB4" w:rsidRPr="00983A68" w:rsidP="00983A68">
      <w:pPr>
        <w:pStyle w:val="ListParagraph"/>
        <w:spacing w:before="30" w:after="30" w:line="480" w:lineRule="auto"/>
        <w:ind w:left="360"/>
        <w:rPr>
          <w:rFonts w:ascii="Verdana" w:hAnsi="Verdana" w:cs="Times New Roman"/>
          <w:b/>
          <w:bCs/>
          <w:szCs w:val="24"/>
        </w:rPr>
      </w:pPr>
      <w:r w:rsidRPr="00983A68">
        <w:rPr>
          <w:rFonts w:ascii="Verdana" w:hAnsi="Verdana" w:cs="Times New Roman"/>
          <w:szCs w:val="24"/>
        </w:rPr>
        <w:t xml:space="preserve">The Guardian. (2025). Guardian Open Platform: UK News Article Corpus (2010–2025) [Data set]. Retrieved November 28, 2025, from </w:t>
      </w:r>
      <w:r>
        <w:fldChar w:fldCharType="begin"/>
      </w:r>
      <w:r>
        <w:instrText xml:space="preserve"> HYPERLINK "https://open-platform.theguardian.com/" </w:instrText>
      </w:r>
      <w:r>
        <w:fldChar w:fldCharType="separate"/>
      </w:r>
      <w:r w:rsidRPr="00983A68">
        <w:rPr>
          <w:rStyle w:val="Hyperlink"/>
          <w:rFonts w:ascii="Verdana" w:hAnsi="Verdana" w:cs="Times New Roman"/>
          <w:szCs w:val="24"/>
        </w:rPr>
        <w:t>https://open-platform.theguardian.com/</w:t>
      </w:r>
      <w:r>
        <w:fldChar w:fldCharType="end"/>
      </w:r>
    </w:p>
    <w:p w:rsidR="003D2DB4" w:rsidRPr="00983A68" w:rsidP="00983A68">
      <w:pPr>
        <w:spacing w:before="30" w:after="30" w:line="480" w:lineRule="auto"/>
        <w:rPr>
          <w:rFonts w:ascii="Verdana" w:hAnsi="Verdana" w:cs="Times New Roman"/>
          <w:b/>
          <w:bCs/>
          <w:szCs w:val="24"/>
          <w:lang w:eastAsia="zh-CN"/>
        </w:rPr>
      </w:pPr>
      <w:r w:rsidRPr="00983A68">
        <w:rPr>
          <w:rFonts w:ascii="Verdana" w:hAnsi="Verdana" w:cs="Times New Roman"/>
          <w:b/>
          <w:bCs/>
          <w:szCs w:val="24"/>
        </w:rPr>
        <w:t>Economic Indicator Data</w:t>
      </w:r>
    </w:p>
    <w:p w:rsidR="003D2DB4" w:rsidRPr="00983A68" w:rsidP="00983A68">
      <w:pPr>
        <w:pStyle w:val="ListParagraph"/>
        <w:numPr>
          <w:ilvl w:val="0"/>
          <w:numId w:val="20"/>
        </w:numPr>
        <w:spacing w:before="30" w:after="30" w:line="480" w:lineRule="auto"/>
        <w:rPr>
          <w:rFonts w:ascii="Verdana" w:hAnsi="Verdana" w:cs="Times New Roman"/>
          <w:b/>
          <w:bCs/>
          <w:szCs w:val="24"/>
        </w:rPr>
      </w:pPr>
      <w:r w:rsidRPr="00983A68">
        <w:rPr>
          <w:rFonts w:ascii="Verdana" w:hAnsi="Verdana" w:cs="Times New Roman"/>
          <w:b/>
          <w:bCs/>
          <w:szCs w:val="24"/>
        </w:rPr>
        <w:t>DBnomics</w:t>
      </w:r>
    </w:p>
    <w:p w:rsidR="003D2DB4" w:rsidRPr="00983A68" w:rsidP="00983A68">
      <w:pPr>
        <w:pStyle w:val="ListParagraph"/>
        <w:spacing w:before="30" w:after="30" w:line="480" w:lineRule="auto"/>
        <w:ind w:left="360"/>
        <w:rPr>
          <w:rFonts w:ascii="Verdana" w:hAnsi="Verdana" w:cs="Times New Roman"/>
          <w:szCs w:val="24"/>
        </w:rPr>
      </w:pPr>
      <w:r w:rsidRPr="00983A68">
        <w:rPr>
          <w:rFonts w:ascii="Verdana" w:hAnsi="Verdana" w:cs="Times New Roman"/>
          <w:szCs w:val="24"/>
        </w:rPr>
        <w:t xml:space="preserve">DBnomics Team. (2025). DBnomics: The open economic data platform [Data set]. CEPREMAP. </w:t>
      </w:r>
      <w:r>
        <w:fldChar w:fldCharType="begin"/>
      </w:r>
      <w:r>
        <w:instrText xml:space="preserve"> HYPERLINK "https://db.nomics.world/" </w:instrText>
      </w:r>
      <w:r>
        <w:fldChar w:fldCharType="separate"/>
      </w:r>
      <w:r w:rsidRPr="00983A68">
        <w:rPr>
          <w:rStyle w:val="Hyperlink"/>
          <w:rFonts w:ascii="Verdana" w:hAnsi="Verdana" w:cs="Times New Roman"/>
          <w:szCs w:val="24"/>
        </w:rPr>
        <w:t>https://db.nomics.world/</w:t>
      </w:r>
      <w:r>
        <w:fldChar w:fldCharType="end"/>
      </w:r>
    </w:p>
    <w:p w:rsidR="003D2DB4" w:rsidRPr="00983A68" w:rsidP="00983A68">
      <w:pPr>
        <w:pStyle w:val="ListParagraph"/>
        <w:numPr>
          <w:ilvl w:val="0"/>
          <w:numId w:val="20"/>
        </w:numPr>
        <w:spacing w:before="30" w:after="30" w:line="480" w:lineRule="auto"/>
        <w:rPr>
          <w:rFonts w:ascii="Verdana" w:hAnsi="Verdana" w:cs="Times New Roman"/>
          <w:b/>
          <w:bCs/>
          <w:szCs w:val="24"/>
        </w:rPr>
      </w:pPr>
      <w:r w:rsidRPr="00983A68">
        <w:rPr>
          <w:rFonts w:ascii="Verdana" w:hAnsi="Verdana" w:cs="Times New Roman"/>
          <w:b/>
          <w:bCs/>
          <w:szCs w:val="24"/>
        </w:rPr>
        <w:t>Definition of AR and AV</w:t>
      </w:r>
    </w:p>
    <w:p w:rsidR="003D2DB4" w:rsidRPr="00983A68" w:rsidP="00983A68">
      <w:pPr>
        <w:spacing w:line="480" w:lineRule="auto"/>
        <w:rPr>
          <w:rFonts w:ascii="Verdana" w:hAnsi="Verdana" w:cs="Times New Roman"/>
          <w:szCs w:val="24"/>
          <w:lang w:val="en-AU"/>
        </w:rPr>
      </w:pPr>
      <w:r w:rsidRPr="00983A68">
        <w:rPr>
          <w:rFonts w:ascii="Verdana" w:hAnsi="Verdana" w:cs="Times New Roman"/>
          <w:szCs w:val="24"/>
        </w:rPr>
        <w:t xml:space="preserve">Gilt return where </w:t>
      </w:r>
      <m:oMath>
        <m:sSub>
          <m:sSubPr>
            <m:ctrlPr>
              <w:rPr>
                <w:rFonts w:ascii="Cambria Math" w:hAnsi="Cambria Math" w:cs="Times New Roman"/>
                <w:i/>
                <w:szCs w:val="24"/>
                <w:lang w:val="en-AU"/>
              </w:rPr>
            </m:ctrlPr>
          </m:sSubPr>
          <m:e>
            <m:r>
              <w:rPr>
                <w:rFonts w:ascii="Cambria Math" w:hAnsi="Cambria Math" w:cs="Times New Roman"/>
                <w:szCs w:val="24"/>
                <w:lang w:val="en-AU"/>
              </w:rPr>
              <m:t>P</m:t>
            </m:r>
          </m:e>
          <m:sub>
            <m:r>
              <w:rPr>
                <w:rFonts w:ascii="Cambria Math" w:hAnsi="Cambria Math" w:cs="Times New Roman"/>
                <w:szCs w:val="24"/>
                <w:lang w:val="en-AU"/>
              </w:rPr>
              <m:t>t</m:t>
            </m:r>
          </m:sub>
        </m:sSub>
      </m:oMath>
      <w:r w:rsidRPr="00983A68">
        <w:rPr>
          <w:rFonts w:ascii="Verdana" w:hAnsi="Verdana" w:cs="Times New Roman"/>
          <w:szCs w:val="24"/>
        </w:rPr>
        <w:t xml:space="preserve"> is the Gilt price at date t:</w:t>
      </w:r>
    </w:p>
    <w:p w:rsidR="003D2DB4" w:rsidRPr="00983A68" w:rsidP="00983A68">
      <w:pPr>
        <w:spacing w:line="480" w:lineRule="auto"/>
        <w:rPr>
          <w:rFonts w:ascii="Verdana" w:hAnsi="Verdana" w:cs="Times New Roman"/>
          <w:szCs w:val="24"/>
          <w:lang w:val="en-AU"/>
        </w:rPr>
      </w:pPr>
      <w:r w:rsidRPr="000D36C1">
        <w:rPr>
          <w:rFonts w:ascii="Verdana" w:hAnsi="Verdana" w:cs="Times New Roman"/>
          <w:szCs w:val="24"/>
          <w:lang w:val="en-AU"/>
        </w:rPr>
        <w:drawing>
          <wp:inline distT="0" distB="0" distL="0" distR="0">
            <wp:extent cx="1339919" cy="825542"/>
            <wp:effectExtent l="0" t="0" r="0" b="0"/>
            <wp:docPr id="1950714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714555" name=""/>
                    <pic:cNvPicPr/>
                  </pic:nvPicPr>
                  <pic:blipFill>
                    <a:blip xmlns:r="http://schemas.openxmlformats.org/officeDocument/2006/relationships" r:embed="rId8"/>
                    <a:stretch>
                      <a:fillRect/>
                    </a:stretch>
                  </pic:blipFill>
                  <pic:spPr>
                    <a:xfrm>
                      <a:off x="0" y="0"/>
                      <a:ext cx="1339919" cy="825542"/>
                    </a:xfrm>
                    <a:prstGeom prst="rect">
                      <a:avLst/>
                    </a:prstGeom>
                  </pic:spPr>
                </pic:pic>
              </a:graphicData>
            </a:graphic>
          </wp:inline>
        </w:drawing>
      </w:r>
    </w:p>
    <w:p w:rsidR="003D2DB4" w:rsidRPr="00983A68" w:rsidP="00983A68">
      <w:pPr>
        <w:spacing w:line="480" w:lineRule="auto"/>
        <w:rPr>
          <w:rFonts w:ascii="Verdana" w:hAnsi="Verdana" w:cs="Times New Roman"/>
          <w:b/>
          <w:bCs/>
          <w:szCs w:val="24"/>
          <w:lang w:val="en-AU"/>
        </w:rPr>
      </w:pPr>
      <w:r w:rsidRPr="00983A68">
        <w:rPr>
          <w:rFonts w:ascii="Verdana" w:hAnsi="Verdana" w:cs="Times New Roman"/>
          <w:b/>
          <w:bCs/>
          <w:szCs w:val="24"/>
          <w:lang w:val="en-AU"/>
        </w:rPr>
        <w:t>For the Abnormal Return and Abnormal Volatility calculation</w:t>
      </w:r>
    </w:p>
    <w:p w:rsidR="003D2DB4" w:rsidRPr="00983A68" w:rsidP="00983A68">
      <w:pPr>
        <w:spacing w:line="480" w:lineRule="auto"/>
        <w:rPr>
          <w:rFonts w:ascii="Verdana" w:hAnsi="Verdana" w:cs="Times New Roman"/>
          <w:szCs w:val="24"/>
          <w:lang w:val="en-AU"/>
        </w:rPr>
      </w:pPr>
      <w:r w:rsidRPr="000D36C1">
        <w:rPr>
          <w:rFonts w:ascii="Verdana" w:hAnsi="Verdana" w:cs="Times New Roman"/>
          <w:szCs w:val="24"/>
          <w:lang w:val="en-AU"/>
        </w:rPr>
        <w:drawing>
          <wp:inline distT="0" distB="0" distL="0" distR="0">
            <wp:extent cx="4635738" cy="1968601"/>
            <wp:effectExtent l="0" t="0" r="0" b="0"/>
            <wp:docPr id="456867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867284" name=""/>
                    <pic:cNvPicPr/>
                  </pic:nvPicPr>
                  <pic:blipFill>
                    <a:blip xmlns:r="http://schemas.openxmlformats.org/officeDocument/2006/relationships" r:embed="rId9"/>
                    <a:stretch>
                      <a:fillRect/>
                    </a:stretch>
                  </pic:blipFill>
                  <pic:spPr>
                    <a:xfrm>
                      <a:off x="0" y="0"/>
                      <a:ext cx="4635738" cy="1968601"/>
                    </a:xfrm>
                    <a:prstGeom prst="rect">
                      <a:avLst/>
                    </a:prstGeom>
                  </pic:spPr>
                </pic:pic>
              </a:graphicData>
            </a:graphic>
          </wp:inline>
        </w:drawing>
      </w:r>
    </w:p>
    <w:p w:rsidR="003D2DB4" w:rsidRPr="00983A68" w:rsidP="00983A68">
      <w:pPr>
        <w:spacing w:before="30" w:after="30" w:line="480" w:lineRule="auto"/>
        <w:rPr>
          <w:rFonts w:ascii="Verdana" w:hAnsi="Verdana" w:cs="Times New Roman"/>
          <w:b/>
          <w:bCs/>
          <w:szCs w:val="24"/>
        </w:rPr>
      </w:pPr>
      <w:r w:rsidRPr="00983A68">
        <w:rPr>
          <w:rFonts w:ascii="Verdana" w:hAnsi="Verdana" w:cs="Times New Roman"/>
          <w:b/>
          <w:bCs/>
          <w:szCs w:val="24"/>
        </w:rPr>
        <w:t>Impact of media salience on economy</w:t>
      </w:r>
    </w:p>
    <w:p w:rsidR="003D2DB4" w:rsidRPr="00983A68" w:rsidP="00983A68">
      <w:pPr>
        <w:spacing w:before="30" w:after="30" w:line="480" w:lineRule="auto"/>
        <w:rPr>
          <w:rFonts w:ascii="Verdana" w:hAnsi="Verdana" w:cs="Times New Roman"/>
          <w:szCs w:val="24"/>
          <w:lang w:val="en-AU"/>
        </w:rPr>
      </w:pPr>
      <w:r w:rsidRPr="000D36C1">
        <w:rPr>
          <w:rFonts w:ascii="Verdana" w:hAnsi="Verdana" w:cs="Times New Roman"/>
          <w:szCs w:val="24"/>
          <w:lang w:val="en-AU"/>
        </w:rPr>
        <w:drawing>
          <wp:inline distT="0" distB="0" distL="0" distR="0">
            <wp:extent cx="4515082" cy="463574"/>
            <wp:effectExtent l="0" t="0" r="0" b="0"/>
            <wp:docPr id="51261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1744" name=""/>
                    <pic:cNvPicPr/>
                  </pic:nvPicPr>
                  <pic:blipFill>
                    <a:blip xmlns:r="http://schemas.openxmlformats.org/officeDocument/2006/relationships" r:embed="rId10"/>
                    <a:stretch>
                      <a:fillRect/>
                    </a:stretch>
                  </pic:blipFill>
                  <pic:spPr>
                    <a:xfrm>
                      <a:off x="0" y="0"/>
                      <a:ext cx="4515082" cy="463574"/>
                    </a:xfrm>
                    <a:prstGeom prst="rect">
                      <a:avLst/>
                    </a:prstGeom>
                  </pic:spPr>
                </pic:pic>
              </a:graphicData>
            </a:graphic>
          </wp:inline>
        </w:drawing>
      </w:r>
    </w:p>
    <w:p w:rsidR="003D2DB4" w:rsidRPr="00983A68" w:rsidP="00983A68">
      <w:pPr>
        <w:spacing w:before="30" w:after="30" w:line="480" w:lineRule="auto"/>
        <w:rPr>
          <w:rFonts w:ascii="Verdana" w:hAnsi="Verdana" w:cs="Times New Roman"/>
          <w:b/>
          <w:bCs/>
          <w:szCs w:val="24"/>
          <w:lang w:val="en-AU"/>
        </w:rPr>
      </w:pPr>
      <w:r w:rsidRPr="00983A68">
        <w:rPr>
          <w:rFonts w:ascii="Verdana" w:hAnsi="Verdana" w:cs="Times New Roman"/>
          <w:b/>
          <w:bCs/>
          <w:szCs w:val="24"/>
          <w:lang w:val="en-AU"/>
        </w:rPr>
        <w:t>Robustness to specifications</w:t>
      </w:r>
    </w:p>
    <w:tbl>
      <w:tblPr>
        <w:tblW w:w="0" w:type="auto"/>
        <w:tblCellMar>
          <w:left w:w="0" w:type="dxa"/>
          <w:right w:w="0" w:type="dxa"/>
        </w:tblCellMar>
        <w:tblLook w:val="04A0"/>
      </w:tblPr>
      <w:tblGrid>
        <w:gridCol w:w="1805"/>
        <w:gridCol w:w="2131"/>
        <w:gridCol w:w="2544"/>
        <w:gridCol w:w="2144"/>
      </w:tblGrid>
      <w:tr w:rsidTr="0016088B">
        <w:tblPrEx>
          <w:tblW w:w="0" w:type="auto"/>
          <w:tblCellMar>
            <w:left w:w="0" w:type="dxa"/>
            <w:right w:w="0" w:type="dxa"/>
          </w:tblCellMar>
          <w:tblLook w:val="04A0"/>
        </w:tblPrEx>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Dependent Variable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(1) Baseline Model (Strict Lag Structure)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(2) Contemporaneous Model (Immediate Impact)</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(3) Deep-Lag Controls (Robustness Check)</w:t>
            </w:r>
          </w:p>
        </w:tc>
      </w:tr>
      <w:tr w:rsidTr="0016088B">
        <w:tblPrEx>
          <w:tblW w:w="0" w:type="auto"/>
          <w:tblCellMar>
            <w:left w:w="0" w:type="dxa"/>
            <w:right w:w="0" w:type="dxa"/>
          </w:tblCellMar>
          <w:tblLook w:val="04A0"/>
        </w:tblPrEx>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Retail Sales Volume (YoY Growth)</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-0.97**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-1.05***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-0.98***</w:t>
            </w:r>
          </w:p>
        </w:tc>
      </w:tr>
      <w:tr w:rsidTr="0016088B">
        <w:tblPrEx>
          <w:tblW w:w="0" w:type="auto"/>
          <w:tblCellMar>
            <w:left w:w="0" w:type="dxa"/>
            <w:right w:w="0" w:type="dxa"/>
          </w:tblCellMar>
          <w:tblLook w:val="04A0"/>
        </w:tblPrEx>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(p=0.0019)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(p=0.0013)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(p=0.0002)</w:t>
            </w:r>
          </w:p>
        </w:tc>
      </w:tr>
      <w:tr w:rsidTr="0016088B">
        <w:tblPrEx>
          <w:tblW w:w="0" w:type="auto"/>
          <w:tblCellMar>
            <w:left w:w="0" w:type="dxa"/>
            <w:right w:w="0" w:type="dxa"/>
          </w:tblCellMar>
          <w:tblLook w:val="04A0"/>
        </w:tblPrEx>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Consumer Confidence (Index Level)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-3.52*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-4.63***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-4.31**</w:t>
            </w:r>
          </w:p>
        </w:tc>
      </w:tr>
      <w:tr w:rsidTr="0016088B">
        <w:tblPrEx>
          <w:tblW w:w="0" w:type="auto"/>
          <w:tblCellMar>
            <w:left w:w="0" w:type="dxa"/>
            <w:right w:w="0" w:type="dxa"/>
          </w:tblCellMar>
          <w:tblLook w:val="04A0"/>
        </w:tblPrEx>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(p=0.0542)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(p=0.0006)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(p=0.0174)</w:t>
            </w:r>
          </w:p>
        </w:tc>
      </w:tr>
      <w:tr w:rsidTr="0016088B">
        <w:tblPrEx>
          <w:tblW w:w="0" w:type="auto"/>
          <w:tblCellMar>
            <w:left w:w="0" w:type="dxa"/>
            <w:right w:w="0" w:type="dxa"/>
          </w:tblCellMar>
          <w:tblLook w:val="04A0"/>
        </w:tblPrEx>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Times New Roman" w:hAnsi="Verdana" w:cs="Times New Roman"/>
                <w:szCs w:val="24"/>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Times New Roman" w:hAnsi="Verdana" w:cs="Times New Roman"/>
                <w:szCs w:val="24"/>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Times New Roman" w:hAnsi="Verdana" w:cs="Times New Roman"/>
                <w:szCs w:val="24"/>
              </w:rPr>
            </w:pPr>
          </w:p>
        </w:tc>
      </w:tr>
      <w:tr w:rsidTr="0016088B">
        <w:tblPrEx>
          <w:tblW w:w="0" w:type="auto"/>
          <w:tblCellMar>
            <w:left w:w="0" w:type="dxa"/>
            <w:right w:w="0" w:type="dxa"/>
          </w:tblCellMar>
          <w:tblLook w:val="04A0"/>
        </w:tblPrEx>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Model Specification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Times New Roman" w:hAnsi="Verdana" w:cs="Times New Roman"/>
                <w:szCs w:val="24"/>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Times New Roman" w:hAnsi="Verdana" w:cs="Times New Roman"/>
                <w:szCs w:val="24"/>
              </w:rPr>
            </w:pPr>
          </w:p>
        </w:tc>
      </w:tr>
      <w:tr w:rsidTr="0016088B">
        <w:tblPrEx>
          <w:tblW w:w="0" w:type="auto"/>
          <w:tblCellMar>
            <w:left w:w="0" w:type="dxa"/>
            <w:right w:w="0" w:type="dxa"/>
          </w:tblCellMar>
          <w:tblLook w:val="04A0"/>
        </w:tblPrEx>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Salience Timing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Lag (t−1)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Current (t)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Lag (t−1)</w:t>
            </w:r>
          </w:p>
        </w:tc>
      </w:tr>
      <w:tr w:rsidTr="0016088B">
        <w:tblPrEx>
          <w:tblW w:w="0" w:type="auto"/>
          <w:tblCellMar>
            <w:left w:w="0" w:type="dxa"/>
            <w:right w:w="0" w:type="dxa"/>
          </w:tblCellMar>
          <w:tblLook w:val="04A0"/>
        </w:tblPrEx>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Control Timing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Lag (t−1)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Lag (t−1) &amp; (t−2)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 xml:space="preserve">Deep Lag </w:t>
            </w:r>
            <w:r w:rsidRPr="00983A68">
              <w:rPr>
                <w:rFonts w:ascii="Verdana" w:eastAsia="SimSun" w:hAnsi="Verdana" w:cs="Times New Roman"/>
                <w:szCs w:val="24"/>
              </w:rPr>
              <w:t>(t−</w:t>
            </w:r>
            <w:r w:rsidRPr="00983A68">
              <w:rPr>
                <w:rFonts w:ascii="Verdana" w:eastAsia="SimSun" w:hAnsi="Verdana" w:cs="Times New Roman"/>
                <w:szCs w:val="24"/>
              </w:rPr>
              <w:t>2)</w:t>
            </w:r>
          </w:p>
        </w:tc>
      </w:tr>
      <w:tr w:rsidTr="0016088B">
        <w:tblPrEx>
          <w:tblW w:w="0" w:type="auto"/>
          <w:tblCellMar>
            <w:left w:w="0" w:type="dxa"/>
            <w:right w:w="0" w:type="dxa"/>
          </w:tblCellMar>
          <w:tblLook w:val="04A0"/>
        </w:tblPrEx>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Controls Included</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CPI, Unemployment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CPI, Unemployment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D2DB4" w:rsidRPr="00983A68" w:rsidP="00983A68">
            <w:pPr>
              <w:spacing w:before="30" w:after="30" w:line="480" w:lineRule="auto"/>
              <w:rPr>
                <w:rFonts w:ascii="Verdana" w:eastAsia="SimSun" w:hAnsi="Verdana" w:cs="Times New Roman"/>
                <w:szCs w:val="24"/>
              </w:rPr>
            </w:pPr>
            <w:r w:rsidRPr="00983A68">
              <w:rPr>
                <w:rFonts w:ascii="Verdana" w:eastAsia="SimSun" w:hAnsi="Verdana" w:cs="Times New Roman"/>
                <w:szCs w:val="24"/>
              </w:rPr>
              <w:t>CPI, Unemployment</w:t>
            </w:r>
          </w:p>
        </w:tc>
      </w:tr>
    </w:tbl>
    <w:p w:rsidR="003D2DB4" w:rsidRPr="00704B9E" w:rsidP="00983A68">
      <w:pPr>
        <w:spacing w:before="30" w:after="30" w:line="480" w:lineRule="auto"/>
        <w:rPr>
          <w:rFonts w:cs="Times New Roman"/>
          <w:lang w:val="en-AU"/>
        </w:rPr>
      </w:pPr>
    </w:p>
    <w:p w:rsidR="003D2DB4" w:rsidRPr="00983A68" w:rsidP="008668AB">
      <w:pPr>
        <w:spacing w:before="30" w:after="30" w:line="480" w:lineRule="auto"/>
        <w:rPr>
          <w:rFonts w:ascii="Verdana" w:hAnsi="Verdana" w:cs="Times New Roman"/>
          <w:b/>
          <w:bCs/>
          <w:szCs w:val="24"/>
        </w:rPr>
      </w:pPr>
      <w:r w:rsidRPr="00983A68">
        <w:rPr>
          <w:rFonts w:ascii="Verdana" w:hAnsi="Verdana" w:cs="Times New Roman"/>
          <w:b/>
          <w:bCs/>
          <w:szCs w:val="24"/>
        </w:rPr>
        <w:t>Appendix 2</w:t>
      </w:r>
    </w:p>
    <w:p w:rsidR="003D2DB4" w:rsidRPr="00983A68" w:rsidP="008668AB">
      <w:pPr>
        <w:spacing w:before="30" w:after="30" w:line="480" w:lineRule="auto"/>
        <w:rPr>
          <w:rFonts w:ascii="Verdana" w:hAnsi="Verdana" w:cs="Times New Roman"/>
          <w:b/>
          <w:bCs/>
          <w:szCs w:val="24"/>
        </w:rPr>
      </w:pPr>
      <w:r w:rsidRPr="00983A68">
        <w:rPr>
          <w:rFonts w:ascii="Verdana" w:hAnsi="Verdana" w:cs="Times New Roman"/>
          <w:b/>
          <w:bCs/>
          <w:szCs w:val="24"/>
        </w:rPr>
        <w:t>Dynamic persistence of media salience</w:t>
      </w:r>
    </w:p>
    <w:p w:rsidR="003D2DB4" w:rsidRPr="00983A68" w:rsidP="00983A68">
      <w:pPr>
        <w:spacing w:before="30" w:after="30" w:line="480" w:lineRule="auto"/>
        <w:rPr>
          <w:rFonts w:ascii="Verdana" w:hAnsi="Verdana" w:cs="Times New Roman"/>
          <w:szCs w:val="24"/>
        </w:rPr>
      </w:pPr>
      <w:r w:rsidRPr="00983A68">
        <w:rPr>
          <w:rFonts w:ascii="Verdana" w:hAnsi="Verdana" w:cs="Times New Roman"/>
          <w:szCs w:val="24"/>
        </w:rPr>
        <w:t xml:space="preserve">To examine the dynamic persistence of </w:t>
      </w:r>
      <w:r w:rsidRPr="00983A68">
        <w:rPr>
          <w:rFonts w:ascii="Verdana" w:hAnsi="Verdana" w:cs="Times New Roman"/>
          <w:szCs w:val="24"/>
        </w:rPr>
        <w:t>the media</w:t>
      </w:r>
      <w:r w:rsidRPr="00983A68">
        <w:rPr>
          <w:rFonts w:ascii="Verdana" w:hAnsi="Verdana" w:cs="Times New Roman"/>
          <w:szCs w:val="24"/>
        </w:rPr>
        <w:t xml:space="preserve"> salience, we employ the Local Projections (LP) method.</w:t>
      </w:r>
      <w:r w:rsidRPr="00983A68">
        <w:rPr>
          <w:rStyle w:val="FootnoteReference"/>
          <w:rFonts w:ascii="Verdana" w:hAnsi="Verdana" w:cs="Times New Roman"/>
          <w:szCs w:val="24"/>
        </w:rPr>
        <w:t xml:space="preserve"> </w:t>
      </w:r>
      <w:r>
        <w:rPr>
          <w:rStyle w:val="FootnoteReference"/>
          <w:rFonts w:ascii="Verdana" w:hAnsi="Verdana" w:cs="Times New Roman"/>
          <w:szCs w:val="24"/>
        </w:rPr>
        <w:footnoteReference w:id="16"/>
      </w:r>
    </w:p>
    <w:p w:rsidR="003D2DB4" w:rsidP="00983A68">
      <w:pPr>
        <w:spacing w:before="30" w:after="30" w:line="480" w:lineRule="auto"/>
        <w:rPr>
          <w:rFonts w:ascii="Verdana" w:hAnsi="Verdana" w:cs="Times New Roman"/>
          <w:b/>
          <w:bCs/>
          <w:szCs w:val="24"/>
        </w:rPr>
      </w:pPr>
      <w:r w:rsidRPr="00983A68">
        <w:rPr>
          <w:rFonts w:ascii="Verdana" w:hAnsi="Verdana" w:cs="Times New Roman"/>
          <w:b/>
          <w:bCs/>
          <w:szCs w:val="24"/>
        </w:rPr>
        <w:t>Local Projectio</w:t>
      </w:r>
      <w:r w:rsidR="00A13F72">
        <w:rPr>
          <w:rFonts w:ascii="Verdana" w:hAnsi="Verdana" w:cs="Times New Roman"/>
          <w:b/>
          <w:bCs/>
          <w:szCs w:val="24"/>
        </w:rPr>
        <w:t>ns</w:t>
      </w:r>
    </w:p>
    <w:p w:rsidR="003D2DB4" w:rsidRPr="007B28DB" w:rsidP="00983A68">
      <w:pPr>
        <w:spacing w:before="30" w:after="30" w:line="480" w:lineRule="auto"/>
        <w:rPr>
          <w:rFonts w:ascii="Verdana" w:hAnsi="Verdana" w:cs="Times New Roman"/>
          <w:b/>
          <w:bCs/>
          <w:szCs w:val="24"/>
        </w:rPr>
      </w:pPr>
      <w:r w:rsidRPr="00A13F72">
        <w:rPr>
          <w:rFonts w:ascii="Verdana" w:hAnsi="Verdana" w:cs="Times New Roman"/>
          <w:b/>
          <w:bCs/>
          <w:szCs w:val="24"/>
        </w:rPr>
        <w:drawing>
          <wp:inline distT="0" distB="0" distL="0" distR="0">
            <wp:extent cx="3886400" cy="285765"/>
            <wp:effectExtent l="0" t="0" r="0" b="0"/>
            <wp:docPr id="2096824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824590" name=""/>
                    <pic:cNvPicPr/>
                  </pic:nvPicPr>
                  <pic:blipFill>
                    <a:blip xmlns:r="http://schemas.openxmlformats.org/officeDocument/2006/relationships" r:embed="rId11"/>
                    <a:stretch>
                      <a:fillRect/>
                    </a:stretch>
                  </pic:blipFill>
                  <pic:spPr>
                    <a:xfrm>
                      <a:off x="0" y="0"/>
                      <a:ext cx="3886400" cy="285765"/>
                    </a:xfrm>
                    <a:prstGeom prst="rect">
                      <a:avLst/>
                    </a:prstGeom>
                  </pic:spPr>
                </pic:pic>
              </a:graphicData>
            </a:graphic>
          </wp:inline>
        </w:drawing>
      </w:r>
    </w:p>
    <w:p w:rsidR="003D2DB4" w:rsidRPr="00A13F72" w:rsidP="00A13F72">
      <w:pPr>
        <w:spacing w:before="30" w:after="30" w:line="480" w:lineRule="auto"/>
        <w:rPr>
          <w:rFonts w:ascii="Verdana" w:hAnsi="Verdana" w:cs="Times New Roman"/>
          <w:szCs w:val="24"/>
          <w:lang w:val="en-AU"/>
        </w:rPr>
      </w:pPr>
      <w:r w:rsidRPr="00A13F72">
        <w:rPr>
          <w:rFonts w:ascii="Verdana" w:hAnsi="Verdana" w:cs="Times New Roman"/>
          <w:szCs w:val="24"/>
          <w:lang w:val="en-AU"/>
        </w:rPr>
        <w:drawing>
          <wp:inline distT="0" distB="0" distL="0" distR="0">
            <wp:extent cx="5486400" cy="4149090"/>
            <wp:effectExtent l="0" t="0" r="0" b="3810"/>
            <wp:docPr id="1578261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61487" name=""/>
                    <pic:cNvPicPr/>
                  </pic:nvPicPr>
                  <pic:blipFill>
                    <a:blip xmlns:r="http://schemas.openxmlformats.org/officeDocument/2006/relationships" r:embed="rId12"/>
                    <a:stretch>
                      <a:fillRect/>
                    </a:stretch>
                  </pic:blipFill>
                  <pic:spPr>
                    <a:xfrm>
                      <a:off x="0" y="0"/>
                      <a:ext cx="5486400" cy="4149090"/>
                    </a:xfrm>
                    <a:prstGeom prst="rect">
                      <a:avLst/>
                    </a:prstGeom>
                  </pic:spPr>
                </pic:pic>
              </a:graphicData>
            </a:graphic>
          </wp:inline>
        </w:drawing>
      </w:r>
    </w:p>
    <w:p w:rsidR="003D2DB4" w:rsidRPr="00704B9E" w:rsidP="00983A68">
      <w:pPr>
        <w:spacing w:before="30" w:after="30" w:line="480" w:lineRule="auto"/>
        <w:rPr>
          <w:rFonts w:cs="Times New Roman"/>
          <w:b/>
          <w:bCs/>
          <w:szCs w:val="24"/>
          <w:lang w:val="en-AU"/>
        </w:rPr>
      </w:pPr>
      <w:r w:rsidRPr="00704B9E">
        <w:rPr>
          <w:rFonts w:cs="Times New Roman"/>
          <w:b/>
          <w:bCs/>
          <w:noProof/>
          <w:szCs w:val="24"/>
        </w:rPr>
        <w:drawing>
          <wp:inline distT="0" distB="0" distL="0" distR="0">
            <wp:extent cx="6188710" cy="2846070"/>
            <wp:effectExtent l="0" t="0" r="0" b="0"/>
            <wp:docPr id="1153907298" name="图片 1"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907298" name="图片 1" descr="图表, 折线图&#10;&#10;AI 生成的内容可能不正确。"/>
                    <pic:cNvPicPr/>
                  </pic:nvPicPr>
                  <pic:blipFill>
                    <a:blip xmlns:r="http://schemas.openxmlformats.org/officeDocument/2006/relationships" r:embed="rId13"/>
                    <a:stretch>
                      <a:fillRect/>
                    </a:stretch>
                  </pic:blipFill>
                  <pic:spPr>
                    <a:xfrm>
                      <a:off x="0" y="0"/>
                      <a:ext cx="6214043" cy="2857720"/>
                    </a:xfrm>
                    <a:prstGeom prst="rect">
                      <a:avLst/>
                    </a:prstGeom>
                  </pic:spPr>
                </pic:pic>
              </a:graphicData>
            </a:graphic>
          </wp:inline>
        </w:drawing>
      </w:r>
    </w:p>
    <w:p w:rsidR="003D2DB4" w:rsidRPr="00704B9E" w:rsidP="00983A68">
      <w:pPr>
        <w:spacing w:before="30" w:after="30" w:line="480" w:lineRule="auto"/>
        <w:jc w:val="center"/>
        <w:rPr>
          <w:rFonts w:cs="Times New Roman"/>
          <w:b/>
          <w:bCs/>
          <w:szCs w:val="24"/>
          <w:lang w:val="en-AU"/>
        </w:rPr>
      </w:pPr>
      <w:r w:rsidRPr="00704B9E">
        <w:rPr>
          <w:rFonts w:cs="Times New Roman"/>
          <w:sz w:val="22"/>
          <w:lang w:val="en-AU"/>
        </w:rPr>
        <w:t xml:space="preserve">Figure </w:t>
      </w:r>
      <w:r>
        <w:rPr>
          <w:rFonts w:cs="Times New Roman"/>
          <w:sz w:val="22"/>
          <w:lang w:val="en-AU" w:eastAsia="zh-CN"/>
        </w:rPr>
        <w:t>3</w:t>
      </w:r>
      <w:r w:rsidRPr="00704B9E">
        <w:rPr>
          <w:rFonts w:cs="Times New Roman"/>
          <w:sz w:val="22"/>
          <w:lang w:val="en-AU"/>
        </w:rPr>
        <w:t>: Dynamic Response of Retail Sales to Media Salience Shock (Robust Local Projections)</w:t>
      </w:r>
    </w:p>
    <w:p w:rsidR="003D2DB4" w:rsidRPr="00704B9E" w:rsidP="00983A68">
      <w:pPr>
        <w:spacing w:before="30" w:after="30" w:line="480" w:lineRule="auto"/>
        <w:rPr>
          <w:rFonts w:cs="Times New Roman"/>
          <w:szCs w:val="24"/>
        </w:rPr>
      </w:pPr>
    </w:p>
    <w:p w:rsidR="003D2DB4" w:rsidRPr="00A13F72" w:rsidP="00A13F72">
      <w:pPr>
        <w:spacing w:before="30" w:after="30" w:line="480" w:lineRule="auto"/>
        <w:rPr>
          <w:rFonts w:ascii="Verdana" w:hAnsi="Verdana" w:cs="Times New Roman"/>
          <w:szCs w:val="24"/>
        </w:rPr>
      </w:pPr>
      <w:r w:rsidRPr="00A13F72">
        <w:rPr>
          <w:rFonts w:ascii="Verdana" w:hAnsi="Verdana" w:cs="Times New Roman"/>
          <w:szCs w:val="24"/>
        </w:rPr>
        <w:drawing>
          <wp:inline distT="0" distB="0" distL="0" distR="0">
            <wp:extent cx="5486400" cy="4272915"/>
            <wp:effectExtent l="0" t="0" r="0" b="0"/>
            <wp:docPr id="1788775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775884" name=""/>
                    <pic:cNvPicPr/>
                  </pic:nvPicPr>
                  <pic:blipFill>
                    <a:blip xmlns:r="http://schemas.openxmlformats.org/officeDocument/2006/relationships" r:embed="rId14"/>
                    <a:stretch>
                      <a:fillRect/>
                    </a:stretch>
                  </pic:blipFill>
                  <pic:spPr>
                    <a:xfrm>
                      <a:off x="0" y="0"/>
                      <a:ext cx="5486400" cy="4272915"/>
                    </a:xfrm>
                    <a:prstGeom prst="rect">
                      <a:avLst/>
                    </a:prstGeom>
                  </pic:spPr>
                </pic:pic>
              </a:graphicData>
            </a:graphic>
          </wp:inline>
        </w:drawing>
      </w:r>
    </w:p>
    <w:p w:rsidR="003D2DB4" w:rsidRPr="00A13F72" w:rsidP="00A13F72">
      <w:pPr>
        <w:pStyle w:val="ListParagraph"/>
        <w:widowControl w:val="0"/>
        <w:numPr>
          <w:ilvl w:val="0"/>
          <w:numId w:val="20"/>
        </w:numPr>
        <w:spacing w:before="30" w:after="30" w:line="480" w:lineRule="auto"/>
        <w:jc w:val="both"/>
        <w:rPr>
          <w:rFonts w:ascii="Verdana" w:hAnsi="Verdana" w:cs="Times New Roman"/>
          <w:szCs w:val="24"/>
        </w:rPr>
      </w:pPr>
      <w:r w:rsidRPr="00A13F72">
        <w:rPr>
          <w:rFonts w:ascii="Verdana" w:hAnsi="Verdana" w:cs="Times New Roman"/>
          <w:szCs w:val="24"/>
        </w:rPr>
        <w:t>The ‘Drag’ Effect: Since the model controls for the initial state, these negative coefficients imply that media salience acts as a headwind to recovery. Even if the economy attempts to recover from a trough, the ‘austerity narrative’ propagated by the media significantly dampens consumer spending power, effectively flattening the recovery curve. This confirms the hypothesis that while fiscal rules may satisfy bond markets, the associated media salience imposes a tangible medium-term cost on the real economy.</w:t>
      </w:r>
    </w:p>
    <w:p w:rsidR="003D2DB4" w:rsidRPr="00983A68" w:rsidP="00983A68">
      <w:pPr>
        <w:widowControl w:val="0"/>
        <w:spacing w:before="30" w:after="30" w:line="480" w:lineRule="auto"/>
        <w:jc w:val="both"/>
        <w:rPr>
          <w:rFonts w:ascii="Verdana" w:hAnsi="Verdana" w:cs="Times New Roman"/>
          <w:szCs w:val="24"/>
        </w:rPr>
      </w:pPr>
      <w:r w:rsidRPr="00983A68">
        <w:rPr>
          <w:rFonts w:ascii="Verdana" w:hAnsi="Verdana" w:cs="Times New Roman"/>
          <w:szCs w:val="24"/>
        </w:rPr>
        <w:t>This is related to the decline in consumer confidence.</w:t>
      </w:r>
    </w:p>
    <w:p w:rsidR="003D2DB4" w:rsidRPr="00704B9E" w:rsidP="00983A68">
      <w:pPr>
        <w:spacing w:before="30" w:after="30" w:line="480" w:lineRule="auto"/>
        <w:rPr>
          <w:rFonts w:cs="Times New Roman"/>
          <w:b/>
          <w:bCs/>
          <w:lang w:val="en-AU"/>
        </w:rPr>
      </w:pPr>
    </w:p>
    <w:p w:rsidR="003D2DB4" w:rsidRPr="00704B9E" w:rsidP="00983A68">
      <w:pPr>
        <w:spacing w:before="30" w:after="30" w:line="480" w:lineRule="auto"/>
        <w:rPr>
          <w:rFonts w:cs="Times New Roman"/>
          <w:b/>
          <w:bCs/>
          <w:lang w:val="en-AU"/>
        </w:rPr>
      </w:pPr>
      <w:r w:rsidRPr="00704B9E">
        <w:rPr>
          <w:rFonts w:cs="Times New Roman"/>
          <w:b/>
          <w:bCs/>
          <w:noProof/>
          <w:lang w:val="en-AU"/>
        </w:rPr>
        <w:drawing>
          <wp:inline distT="0" distB="0" distL="0" distR="0">
            <wp:extent cx="6188163" cy="2985770"/>
            <wp:effectExtent l="0" t="0" r="0" b="0"/>
            <wp:docPr id="1043930623" name="图片 1"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30623" name="图片 1" descr="图表, 折线图&#10;&#10;AI 生成的内容可能不正确。"/>
                    <pic:cNvPicPr/>
                  </pic:nvPicPr>
                  <pic:blipFill>
                    <a:blip xmlns:r="http://schemas.openxmlformats.org/officeDocument/2006/relationships" r:embed="rId15"/>
                    <a:stretch>
                      <a:fillRect/>
                    </a:stretch>
                  </pic:blipFill>
                  <pic:spPr>
                    <a:xfrm>
                      <a:off x="0" y="0"/>
                      <a:ext cx="6212636" cy="2997578"/>
                    </a:xfrm>
                    <a:prstGeom prst="rect">
                      <a:avLst/>
                    </a:prstGeom>
                  </pic:spPr>
                </pic:pic>
              </a:graphicData>
            </a:graphic>
          </wp:inline>
        </w:drawing>
      </w:r>
    </w:p>
    <w:p w:rsidR="003D2DB4" w:rsidRPr="00704B9E" w:rsidP="00983A68">
      <w:pPr>
        <w:spacing w:before="30" w:after="30" w:line="480" w:lineRule="auto"/>
        <w:jc w:val="center"/>
        <w:rPr>
          <w:rFonts w:cs="Times New Roman"/>
          <w:sz w:val="21"/>
          <w:szCs w:val="21"/>
          <w:lang w:val="en-AU"/>
        </w:rPr>
      </w:pPr>
      <w:r w:rsidRPr="00704B9E">
        <w:rPr>
          <w:rFonts w:cs="Times New Roman"/>
          <w:sz w:val="21"/>
          <w:szCs w:val="21"/>
          <w:lang w:val="en-AU"/>
        </w:rPr>
        <w:t xml:space="preserve">Figure </w:t>
      </w:r>
      <w:r>
        <w:rPr>
          <w:rFonts w:cs="Times New Roman"/>
          <w:sz w:val="21"/>
          <w:szCs w:val="21"/>
          <w:lang w:val="en-AU" w:eastAsia="zh-CN"/>
        </w:rPr>
        <w:t>4</w:t>
      </w:r>
      <w:r w:rsidRPr="00704B9E">
        <w:rPr>
          <w:rFonts w:cs="Times New Roman"/>
          <w:sz w:val="21"/>
          <w:szCs w:val="21"/>
          <w:lang w:val="en-AU"/>
        </w:rPr>
        <w:t>: Dynamic Response of CPI Inflation to Media Salience Shock (Robust Local Projections)</w:t>
      </w:r>
    </w:p>
    <w:p w:rsidR="003D2DB4" w:rsidRPr="00704B9E" w:rsidP="00983A68">
      <w:pPr>
        <w:spacing w:before="30" w:after="30" w:line="480" w:lineRule="auto"/>
        <w:rPr>
          <w:rFonts w:cs="Times New Roman"/>
          <w:szCs w:val="24"/>
          <w:lang w:val="en-AU"/>
        </w:rPr>
      </w:pPr>
    </w:p>
    <w:p w:rsidR="003D2DB4" w:rsidRPr="00983A68" w:rsidP="00983A68">
      <w:pPr>
        <w:widowControl w:val="0"/>
        <w:spacing w:before="30" w:after="30" w:line="480" w:lineRule="auto"/>
        <w:jc w:val="both"/>
        <w:rPr>
          <w:rFonts w:ascii="Verdana" w:hAnsi="Verdana" w:cs="Times New Roman"/>
          <w:szCs w:val="24"/>
          <w:lang w:val="en-AU"/>
        </w:rPr>
      </w:pPr>
      <w:r w:rsidRPr="00983A68">
        <w:rPr>
          <w:rFonts w:ascii="Verdana" w:hAnsi="Verdana" w:cs="Times New Roman"/>
          <w:szCs w:val="24"/>
          <w:lang w:val="en-AU"/>
        </w:rPr>
        <w:t xml:space="preserve">Inflationary Pressure: Figure </w:t>
      </w:r>
      <w:r w:rsidRPr="00983A68">
        <w:rPr>
          <w:rFonts w:ascii="Verdana" w:hAnsi="Verdana" w:cs="Times New Roman"/>
          <w:szCs w:val="24"/>
          <w:lang w:val="en-AU" w:eastAsia="zh-CN"/>
        </w:rPr>
        <w:t>4</w:t>
      </w:r>
      <w:r w:rsidRPr="00983A68">
        <w:rPr>
          <w:rFonts w:ascii="Verdana" w:hAnsi="Verdana" w:cs="Times New Roman"/>
          <w:szCs w:val="24"/>
          <w:lang w:val="en-AU"/>
        </w:rPr>
        <w:t xml:space="preserve"> shows that media salience shocks differ from standard demand shocks. Instead of lowering prices, high salience </w:t>
      </w:r>
      <w:r w:rsidRPr="00983A68">
        <w:rPr>
          <w:rFonts w:ascii="Verdana" w:hAnsi="Verdana" w:cs="Times New Roman"/>
          <w:szCs w:val="24"/>
          <w:lang w:val="en-AU"/>
        </w:rPr>
        <w:t>is associated with an immediate and significant surge in CPI Inflation.</w:t>
      </w:r>
    </w:p>
    <w:p w:rsidR="003D2DB4" w:rsidRPr="00983A68" w:rsidP="00983A68">
      <w:pPr>
        <w:spacing w:before="30" w:after="30" w:line="480" w:lineRule="auto"/>
        <w:rPr>
          <w:rFonts w:ascii="Verdana" w:hAnsi="Verdana" w:cs="Times New Roman"/>
          <w:szCs w:val="24"/>
          <w:lang w:val="en-AU"/>
        </w:rPr>
      </w:pPr>
    </w:p>
    <w:p w:rsidR="003D2DB4" w:rsidRPr="00983A68" w:rsidP="00983A68">
      <w:pPr>
        <w:spacing w:before="30" w:after="30" w:line="480" w:lineRule="auto"/>
        <w:rPr>
          <w:rFonts w:ascii="Verdana" w:hAnsi="Verdana" w:cs="Times New Roman"/>
          <w:szCs w:val="24"/>
          <w:lang w:val="en-AU"/>
        </w:rPr>
      </w:pPr>
      <w:r w:rsidRPr="00983A68">
        <w:rPr>
          <w:rFonts w:ascii="Verdana" w:hAnsi="Verdana" w:cs="Times New Roman"/>
          <w:szCs w:val="24"/>
          <w:lang w:val="en-AU"/>
        </w:rPr>
        <w:t>These divergent dynamics—falling real activity coupled with rising prices—suggest that media salience regarding fiscal rules operates akin to a supply-side shock. It creates a ‘stagflationary’ trap where the real economy suffers contraction while inflationary pressures remain unanchored.</w:t>
      </w:r>
    </w:p>
    <w:p w:rsidR="003D2DB4" w:rsidRPr="00983A68" w:rsidP="00983A68">
      <w:pPr>
        <w:spacing w:before="30" w:after="30" w:line="480" w:lineRule="auto"/>
        <w:rPr>
          <w:rFonts w:ascii="Verdana" w:hAnsi="Verdana" w:cs="Times New Roman"/>
          <w:i/>
          <w:iCs/>
          <w:szCs w:val="24"/>
          <w:lang w:val="en-AU"/>
        </w:rPr>
      </w:pPr>
      <w:r w:rsidRPr="00983A68">
        <w:rPr>
          <w:rFonts w:ascii="Verdana" w:hAnsi="Verdana" w:cs="Times New Roman"/>
          <w:i/>
          <w:iCs/>
          <w:szCs w:val="24"/>
          <w:lang w:val="en-AU"/>
        </w:rPr>
        <w:t>1 December 2025</w:t>
      </w:r>
    </w:p>
    <w:p w:rsidR="003D2DB4" w:rsidRPr="00704B9E" w:rsidP="00983A68">
      <w:pPr>
        <w:spacing w:before="30" w:after="30" w:line="480" w:lineRule="auto"/>
        <w:rPr>
          <w:rFonts w:cs="Times New Roman"/>
          <w:b/>
          <w:bCs/>
          <w:color w:val="000000" w:themeColor="text1"/>
          <w:szCs w:val="24"/>
        </w:rPr>
      </w:pPr>
    </w:p>
    <w:sectPr w:rsidSect="00034616">
      <w:footerReference w:type="even" r:id="rId16"/>
      <w:footerReference w:type="default" r:id="rId1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462120890"/>
      <w:docPartObj>
        <w:docPartGallery w:val="Page Numbers (Bottom of Page)"/>
        <w:docPartUnique/>
      </w:docPartObj>
    </w:sdtPr>
    <w:sdtEndPr>
      <w:rPr>
        <w:rStyle w:val="PageNumber"/>
      </w:rPr>
    </w:sdtEndPr>
    <w:sdtContent>
      <w:p w:rsidR="003D2DB4" w:rsidP="00442B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3D2DB4" w:rsidP="001E090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2DB4" w:rsidP="00442BBA">
    <w:pPr>
      <w:pStyle w:val="Footer"/>
      <w:framePr w:wrap="none" w:vAnchor="text" w:hAnchor="margin" w:xAlign="right" w:y="1"/>
      <w:rPr>
        <w:rStyle w:val="PageNumber"/>
      </w:rPr>
    </w:pPr>
  </w:p>
  <w:p w:rsidR="003D2DB4" w:rsidP="00983A68">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D2DB4" w:rsidP="001D2F66">
      <w:pPr>
        <w:spacing w:after="0" w:line="240" w:lineRule="auto"/>
      </w:pPr>
      <w:r>
        <w:separator/>
      </w:r>
    </w:p>
  </w:footnote>
  <w:footnote w:type="continuationSeparator" w:id="1">
    <w:p w:rsidR="003D2DB4" w:rsidP="001D2F66">
      <w:pPr>
        <w:spacing w:after="0" w:line="240" w:lineRule="auto"/>
      </w:pPr>
      <w:r>
        <w:continuationSeparator/>
      </w:r>
    </w:p>
  </w:footnote>
  <w:footnote w:id="2">
    <w:p w:rsidR="003D2DB4" w:rsidRPr="003D2DB4">
      <w:pPr>
        <w:pStyle w:val="FootnoteText"/>
        <w:rPr>
          <w:rFonts w:ascii="Verdana" w:hAnsi="Verdana"/>
          <w:lang w:val="en-GB"/>
        </w:rPr>
      </w:pPr>
      <w:r w:rsidRPr="003D2DB4">
        <w:rPr>
          <w:rStyle w:val="FootnoteReference"/>
          <w:rFonts w:ascii="Verdana" w:hAnsi="Verdana"/>
        </w:rPr>
        <w:footnoteRef/>
      </w:r>
      <w:r w:rsidRPr="003D2DB4">
        <w:rPr>
          <w:rFonts w:ascii="Verdana" w:hAnsi="Verdana"/>
        </w:rPr>
        <w:t xml:space="preserve"> </w:t>
      </w:r>
      <w:r w:rsidRPr="003D2DB4">
        <w:rPr>
          <w:rFonts w:ascii="Verdana" w:hAnsi="Verdana" w:cs="Times New Roman"/>
          <w:color w:val="000000" w:themeColor="text1"/>
          <w:szCs w:val="24"/>
        </w:rPr>
        <w:t xml:space="preserve">Friedman, M. (1948). A Monetary and Fiscal Framework for Economic Stability. </w:t>
      </w:r>
      <w:r w:rsidRPr="003D2DB4">
        <w:rPr>
          <w:rFonts w:ascii="Verdana" w:hAnsi="Verdana" w:cs="Times New Roman"/>
          <w:i/>
          <w:iCs/>
          <w:color w:val="000000" w:themeColor="text1"/>
          <w:szCs w:val="24"/>
        </w:rPr>
        <w:t>American Economic Review</w:t>
      </w:r>
      <w:r w:rsidRPr="003D2DB4">
        <w:rPr>
          <w:rFonts w:ascii="Verdana" w:hAnsi="Verdana" w:cs="Times New Roman"/>
          <w:color w:val="000000" w:themeColor="text1"/>
          <w:szCs w:val="24"/>
        </w:rPr>
        <w:t xml:space="preserve">, 38(3), 245-260 </w:t>
      </w:r>
      <w:r>
        <w:fldChar w:fldCharType="begin"/>
      </w:r>
      <w:r>
        <w:instrText xml:space="preserve"> HYPERLINK "https://www.jstor.org/stable/1810624" </w:instrText>
      </w:r>
      <w:r>
        <w:fldChar w:fldCharType="separate"/>
      </w:r>
      <w:r w:rsidRPr="003D2DB4">
        <w:rPr>
          <w:rStyle w:val="Hyperlink"/>
          <w:rFonts w:ascii="Verdana" w:hAnsi="Verdana" w:cs="Times New Roman"/>
          <w:szCs w:val="24"/>
        </w:rPr>
        <w:t>https://www.jstor.org/stable/1810624</w:t>
      </w:r>
      <w:r>
        <w:fldChar w:fldCharType="end"/>
      </w:r>
      <w:r w:rsidRPr="003D2DB4">
        <w:rPr>
          <w:rFonts w:ascii="Verdana" w:hAnsi="Verdana" w:cs="Times New Roman"/>
          <w:color w:val="000000" w:themeColor="text1"/>
          <w:szCs w:val="24"/>
        </w:rPr>
        <w:t xml:space="preserve"> </w:t>
      </w:r>
    </w:p>
  </w:footnote>
  <w:footnote w:id="3">
    <w:p w:rsidR="003D2DB4" w:rsidRPr="003D2DB4">
      <w:pPr>
        <w:pStyle w:val="FootnoteText"/>
        <w:rPr>
          <w:rFonts w:ascii="Verdana" w:hAnsi="Verdana"/>
          <w:lang w:val="en-GB"/>
        </w:rPr>
      </w:pPr>
      <w:r w:rsidRPr="003D2DB4">
        <w:rPr>
          <w:rStyle w:val="FootnoteReference"/>
          <w:rFonts w:ascii="Verdana" w:hAnsi="Verdana"/>
        </w:rPr>
        <w:footnoteRef/>
      </w:r>
      <w:r w:rsidRPr="003D2DB4">
        <w:rPr>
          <w:rFonts w:ascii="Verdana" w:hAnsi="Verdana"/>
        </w:rPr>
        <w:t xml:space="preserve"> </w:t>
      </w:r>
      <w:r w:rsidRPr="003D2DB4">
        <w:rPr>
          <w:rFonts w:ascii="Verdana" w:hAnsi="Verdana" w:cs="Times New Roman"/>
          <w:color w:val="000000" w:themeColor="text1"/>
          <w:szCs w:val="24"/>
        </w:rPr>
        <w:t xml:space="preserve">Kydland, F.E. and Prescott, E.C. (1977) Rules rather than discretion: The inconsistency of optimal plans, </w:t>
      </w:r>
      <w:r w:rsidRPr="003D2DB4">
        <w:rPr>
          <w:rFonts w:ascii="Verdana" w:hAnsi="Verdana" w:cs="Times New Roman"/>
          <w:i/>
          <w:iCs/>
          <w:color w:val="000000" w:themeColor="text1"/>
          <w:szCs w:val="24"/>
        </w:rPr>
        <w:t>Journal of Political Economy</w:t>
      </w:r>
      <w:r w:rsidRPr="003D2DB4">
        <w:rPr>
          <w:rFonts w:ascii="Verdana" w:hAnsi="Verdana" w:cs="Times New Roman"/>
          <w:color w:val="000000" w:themeColor="text1"/>
          <w:szCs w:val="24"/>
        </w:rPr>
        <w:t xml:space="preserve">, 85(3), 473-491 </w:t>
      </w:r>
      <w:r>
        <w:fldChar w:fldCharType="begin"/>
      </w:r>
      <w:r>
        <w:instrText xml:space="preserve"> HYPERLINK "https://www.jstor.org/stable/1830193" </w:instrText>
      </w:r>
      <w:r>
        <w:fldChar w:fldCharType="separate"/>
      </w:r>
      <w:r w:rsidRPr="003D2DB4">
        <w:rPr>
          <w:rStyle w:val="Hyperlink"/>
          <w:rFonts w:ascii="Verdana" w:hAnsi="Verdana" w:cs="Times New Roman"/>
          <w:szCs w:val="24"/>
        </w:rPr>
        <w:t>https://www.jstor.org/stable/1830193</w:t>
      </w:r>
      <w:r>
        <w:fldChar w:fldCharType="end"/>
      </w:r>
      <w:r w:rsidRPr="003D2DB4">
        <w:rPr>
          <w:rFonts w:ascii="Verdana" w:hAnsi="Verdana" w:cs="Times New Roman"/>
          <w:color w:val="000000" w:themeColor="text1"/>
          <w:szCs w:val="24"/>
        </w:rPr>
        <w:t xml:space="preserve"> </w:t>
      </w:r>
    </w:p>
  </w:footnote>
  <w:footnote w:id="4">
    <w:p w:rsidR="003D2DB4" w:rsidRPr="003D2DB4">
      <w:pPr>
        <w:pStyle w:val="FootnoteText"/>
        <w:rPr>
          <w:rFonts w:ascii="Verdana" w:hAnsi="Verdana"/>
          <w:lang w:val="en-GB"/>
        </w:rPr>
      </w:pPr>
      <w:r w:rsidRPr="003D2DB4">
        <w:rPr>
          <w:rStyle w:val="FootnoteReference"/>
          <w:rFonts w:ascii="Verdana" w:hAnsi="Verdana"/>
        </w:rPr>
        <w:footnoteRef/>
      </w:r>
      <w:r w:rsidRPr="003D2DB4">
        <w:rPr>
          <w:rFonts w:ascii="Verdana" w:hAnsi="Verdana"/>
        </w:rPr>
        <w:t xml:space="preserve"> </w:t>
      </w:r>
      <w:r w:rsidRPr="003D2DB4">
        <w:rPr>
          <w:rFonts w:ascii="Verdana" w:hAnsi="Verdana" w:cs="Times New Roman"/>
          <w:color w:val="000000" w:themeColor="text1"/>
          <w:szCs w:val="24"/>
        </w:rPr>
        <w:t xml:space="preserve">Alesina, A. and Tabellini, G. (1990). A Positive Theory of Fiscal Deficits and Government Debt. </w:t>
      </w:r>
      <w:r w:rsidRPr="003D2DB4">
        <w:rPr>
          <w:rFonts w:ascii="Verdana" w:hAnsi="Verdana" w:cs="Times New Roman"/>
          <w:i/>
          <w:iCs/>
          <w:color w:val="000000" w:themeColor="text1"/>
          <w:szCs w:val="24"/>
        </w:rPr>
        <w:t>Review of Economic Studies</w:t>
      </w:r>
      <w:r w:rsidRPr="003D2DB4">
        <w:rPr>
          <w:rFonts w:ascii="Verdana" w:hAnsi="Verdana" w:cs="Times New Roman"/>
          <w:color w:val="000000" w:themeColor="text1"/>
          <w:szCs w:val="24"/>
        </w:rPr>
        <w:t>, 57(3), 403-414</w:t>
      </w:r>
      <w:r w:rsidRPr="003D2DB4">
        <w:rPr>
          <w:rFonts w:ascii="Verdana" w:hAnsi="Verdana" w:cs="Times New Roman"/>
          <w:color w:val="000000" w:themeColor="text1"/>
        </w:rPr>
        <w:t xml:space="preserve"> </w:t>
      </w:r>
      <w:r>
        <w:fldChar w:fldCharType="begin"/>
      </w:r>
      <w:r>
        <w:instrText xml:space="preserve"> HYPERLINK "https://www.jstor.org/stable/2298021" </w:instrText>
      </w:r>
      <w:r>
        <w:fldChar w:fldCharType="separate"/>
      </w:r>
      <w:r w:rsidRPr="003D2DB4">
        <w:rPr>
          <w:rStyle w:val="Hyperlink"/>
          <w:rFonts w:ascii="Verdana" w:hAnsi="Verdana" w:cs="Times New Roman"/>
        </w:rPr>
        <w:t>https://www.jstor.org/stable/2298021</w:t>
      </w:r>
      <w:r>
        <w:fldChar w:fldCharType="end"/>
      </w:r>
      <w:r w:rsidRPr="003D2DB4">
        <w:rPr>
          <w:rFonts w:ascii="Verdana" w:hAnsi="Verdana" w:cs="Times New Roman"/>
          <w:color w:val="000000" w:themeColor="text1"/>
        </w:rPr>
        <w:t xml:space="preserve">, </w:t>
      </w:r>
      <w:r w:rsidRPr="003D2DB4">
        <w:rPr>
          <w:rFonts w:ascii="Verdana" w:hAnsi="Verdana" w:cs="Times New Roman"/>
          <w:color w:val="000000" w:themeColor="text1"/>
          <w:szCs w:val="24"/>
        </w:rPr>
        <w:t xml:space="preserve">Persson, T. and Svensson, L.E.O. (1989). Why a Stubborn Conservative Would Run a Deficit: Policy with Time-Inconsistent Preferences. </w:t>
      </w:r>
      <w:r w:rsidRPr="003D2DB4">
        <w:rPr>
          <w:rFonts w:ascii="Verdana" w:hAnsi="Verdana" w:cs="Times New Roman"/>
          <w:i/>
          <w:iCs/>
          <w:color w:val="000000" w:themeColor="text1"/>
          <w:szCs w:val="24"/>
        </w:rPr>
        <w:t>Quarterly Journal of Economics</w:t>
      </w:r>
      <w:r w:rsidRPr="003D2DB4">
        <w:rPr>
          <w:rFonts w:ascii="Verdana" w:hAnsi="Verdana" w:cs="Times New Roman"/>
          <w:color w:val="000000" w:themeColor="text1"/>
          <w:szCs w:val="24"/>
        </w:rPr>
        <w:t xml:space="preserve">, 104(2), 325-345, jstor.org/stable/2937850 </w:t>
      </w:r>
    </w:p>
  </w:footnote>
  <w:footnote w:id="5">
    <w:p w:rsidR="003D2DB4" w:rsidRPr="003D2DB4">
      <w:pPr>
        <w:pStyle w:val="FootnoteText"/>
        <w:rPr>
          <w:rFonts w:ascii="Verdana" w:hAnsi="Verdana"/>
          <w:lang w:val="en-GB"/>
        </w:rPr>
      </w:pPr>
      <w:r w:rsidRPr="003D2DB4">
        <w:rPr>
          <w:rStyle w:val="FootnoteReference"/>
          <w:rFonts w:ascii="Verdana" w:hAnsi="Verdana"/>
        </w:rPr>
        <w:footnoteRef/>
      </w:r>
      <w:r w:rsidRPr="003D2DB4">
        <w:rPr>
          <w:rFonts w:ascii="Verdana" w:hAnsi="Verdana"/>
        </w:rPr>
        <w:t xml:space="preserve"> </w:t>
      </w:r>
      <w:r w:rsidRPr="003D2DB4">
        <w:rPr>
          <w:rFonts w:ascii="Verdana" w:hAnsi="Verdana" w:cs="Times New Roman"/>
          <w:color w:val="000000" w:themeColor="text1"/>
          <w:szCs w:val="24"/>
        </w:rPr>
        <w:t xml:space="preserve">Goenka, A. (1994). Fiscal Rules and Extrinsic Uncertainty. </w:t>
      </w:r>
      <w:r w:rsidRPr="003D2DB4">
        <w:rPr>
          <w:rFonts w:ascii="Verdana" w:hAnsi="Verdana" w:cs="Times New Roman"/>
          <w:i/>
          <w:iCs/>
          <w:color w:val="000000" w:themeColor="text1"/>
          <w:szCs w:val="24"/>
        </w:rPr>
        <w:t>Economic Theory</w:t>
      </w:r>
      <w:r w:rsidRPr="003D2DB4">
        <w:rPr>
          <w:rFonts w:ascii="Verdana" w:hAnsi="Verdana" w:cs="Times New Roman"/>
          <w:color w:val="000000" w:themeColor="text1"/>
          <w:szCs w:val="24"/>
        </w:rPr>
        <w:t>, 4(3), 401-416</w:t>
      </w:r>
      <w:r w:rsidRPr="003D2DB4">
        <w:rPr>
          <w:rFonts w:ascii="Verdana" w:hAnsi="Verdana"/>
          <w:lang w:val="en-GB"/>
        </w:rPr>
        <w:t xml:space="preserve"> </w:t>
      </w:r>
      <w:r>
        <w:fldChar w:fldCharType="begin"/>
      </w:r>
      <w:r>
        <w:instrText xml:space="preserve"> HYPERLINK "https://www.jstor.org/stable/25054772" </w:instrText>
      </w:r>
      <w:r>
        <w:fldChar w:fldCharType="separate"/>
      </w:r>
      <w:r w:rsidRPr="003D2DB4">
        <w:rPr>
          <w:rStyle w:val="Hyperlink"/>
          <w:rFonts w:ascii="Verdana" w:hAnsi="Verdana"/>
          <w:lang w:val="en-GB"/>
        </w:rPr>
        <w:t>https://www.jstor.org/stable/25054772</w:t>
      </w:r>
      <w:r>
        <w:fldChar w:fldCharType="end"/>
      </w:r>
      <w:r w:rsidRPr="003D2DB4">
        <w:rPr>
          <w:rFonts w:ascii="Verdana" w:hAnsi="Verdana"/>
          <w:lang w:val="en-GB"/>
        </w:rPr>
        <w:t xml:space="preserve"> </w:t>
      </w:r>
    </w:p>
  </w:footnote>
  <w:footnote w:id="6">
    <w:p w:rsidR="003D2DB4" w:rsidRPr="00AF684D">
      <w:pPr>
        <w:pStyle w:val="FootnoteText"/>
        <w:rPr>
          <w:lang w:val="en-GB"/>
        </w:rPr>
      </w:pPr>
      <w:r w:rsidRPr="003D2DB4">
        <w:rPr>
          <w:rStyle w:val="FootnoteReference"/>
          <w:rFonts w:ascii="Verdana" w:hAnsi="Verdana"/>
        </w:rPr>
        <w:footnoteRef/>
      </w:r>
      <w:r w:rsidRPr="003D2DB4">
        <w:rPr>
          <w:rFonts w:ascii="Verdana" w:hAnsi="Verdana"/>
        </w:rPr>
        <w:t xml:space="preserve"> </w:t>
      </w:r>
      <w:r w:rsidRPr="003D2DB4">
        <w:rPr>
          <w:rFonts w:ascii="Verdana" w:hAnsi="Verdana" w:cs="Times New Roman"/>
          <w:color w:val="222222"/>
          <w:shd w:val="clear" w:color="auto" w:fill="FFFFFF"/>
        </w:rPr>
        <w:t xml:space="preserve">Cass, David, and Karl Shell (1983) Do sunspots matter? </w:t>
      </w:r>
      <w:r w:rsidRPr="003D2DB4">
        <w:rPr>
          <w:rFonts w:ascii="Verdana" w:hAnsi="Verdana" w:cs="Times New Roman"/>
          <w:i/>
          <w:iCs/>
          <w:color w:val="222222"/>
          <w:shd w:val="clear" w:color="auto" w:fill="FFFFFF"/>
        </w:rPr>
        <w:t>Journal of political economy</w:t>
      </w:r>
      <w:r w:rsidRPr="003D2DB4">
        <w:rPr>
          <w:rFonts w:ascii="Verdana" w:hAnsi="Verdana" w:cs="Times New Roman"/>
          <w:color w:val="222222"/>
          <w:shd w:val="clear" w:color="auto" w:fill="FFFFFF"/>
        </w:rPr>
        <w:t xml:space="preserve"> 91(2), 193-227. </w:t>
      </w:r>
      <w:r>
        <w:fldChar w:fldCharType="begin"/>
      </w:r>
      <w:r>
        <w:instrText xml:space="preserve"> HYPERLINK "https://www.jstor.org/stable/pdf/1832054.pdf" </w:instrText>
      </w:r>
      <w:r>
        <w:fldChar w:fldCharType="separate"/>
      </w:r>
      <w:r w:rsidRPr="003D2DB4">
        <w:rPr>
          <w:rStyle w:val="Hyperlink"/>
          <w:rFonts w:ascii="Verdana" w:hAnsi="Verdana" w:cs="Times New Roman"/>
          <w:shd w:val="clear" w:color="auto" w:fill="FFFFFF"/>
        </w:rPr>
        <w:t>https://www.jstor.org/stable/pdf/1832054.pdf</w:t>
      </w:r>
      <w:r>
        <w:fldChar w:fldCharType="end"/>
      </w:r>
      <w:r>
        <w:rPr>
          <w:rFonts w:ascii="Arial" w:hAnsi="Arial" w:cs="Arial"/>
          <w:color w:val="222222"/>
          <w:shd w:val="clear" w:color="auto" w:fill="FFFFFF"/>
        </w:rPr>
        <w:t xml:space="preserve"> </w:t>
      </w:r>
    </w:p>
  </w:footnote>
  <w:footnote w:id="7">
    <w:p w:rsidR="003D2DB4" w:rsidRPr="003D2DB4">
      <w:pPr>
        <w:pStyle w:val="FootnoteText"/>
        <w:rPr>
          <w:rFonts w:ascii="Verdana" w:hAnsi="Verdana"/>
          <w:lang w:val="en-GB"/>
        </w:rPr>
      </w:pPr>
      <w:r w:rsidRPr="003D2DB4">
        <w:rPr>
          <w:rStyle w:val="FootnoteReference"/>
          <w:rFonts w:ascii="Verdana" w:hAnsi="Verdana"/>
        </w:rPr>
        <w:footnoteRef/>
      </w:r>
      <w:r w:rsidRPr="003D2DB4">
        <w:rPr>
          <w:rFonts w:ascii="Verdana" w:hAnsi="Verdana"/>
        </w:rPr>
        <w:t xml:space="preserve"> </w:t>
      </w:r>
      <w:r w:rsidRPr="003D2DB4">
        <w:rPr>
          <w:rFonts w:ascii="Verdana" w:hAnsi="Verdana" w:cs="Times New Roman"/>
          <w:color w:val="000000" w:themeColor="text1"/>
          <w:szCs w:val="24"/>
        </w:rPr>
        <w:t>HMT (2024) Charter for Budget Responsibility: Autumn 2024</w:t>
      </w:r>
      <w:r w:rsidRPr="003D2DB4">
        <w:rPr>
          <w:rFonts w:ascii="Verdana" w:hAnsi="Verdana"/>
          <w:lang w:val="en-GB"/>
        </w:rPr>
        <w:t xml:space="preserve">. </w:t>
      </w:r>
      <w:r>
        <w:fldChar w:fldCharType="begin"/>
      </w:r>
      <w:r>
        <w:instrText xml:space="preserve"> HYPERLINK "https://www.gov.uk/government/publications/draft-charter-for-budget-responsibility-autumn-2024" </w:instrText>
      </w:r>
      <w:r>
        <w:fldChar w:fldCharType="separate"/>
      </w:r>
      <w:r w:rsidRPr="003D2DB4">
        <w:rPr>
          <w:rStyle w:val="Hyperlink"/>
          <w:rFonts w:ascii="Verdana" w:hAnsi="Verdana"/>
          <w:lang w:val="en-GB"/>
        </w:rPr>
        <w:t>https://www.gov.uk/government/publications/draft-charter-for-budget-responsibility-autumn-2024</w:t>
      </w:r>
      <w:r>
        <w:fldChar w:fldCharType="end"/>
      </w:r>
      <w:r w:rsidRPr="003D2DB4">
        <w:rPr>
          <w:rFonts w:ascii="Verdana" w:hAnsi="Verdana"/>
          <w:lang w:val="en-GB"/>
        </w:rPr>
        <w:t xml:space="preserve"> </w:t>
      </w:r>
    </w:p>
  </w:footnote>
  <w:footnote w:id="8">
    <w:p w:rsidR="003D2DB4" w:rsidRPr="003D2DB4" w:rsidP="0057674B">
      <w:pPr>
        <w:spacing w:before="20" w:after="20" w:line="240" w:lineRule="auto"/>
        <w:rPr>
          <w:rFonts w:ascii="Verdana" w:hAnsi="Verdana" w:cs="Times New Roman"/>
          <w:color w:val="000000" w:themeColor="text1"/>
          <w:sz w:val="20"/>
          <w:szCs w:val="20"/>
        </w:rPr>
      </w:pPr>
      <w:r w:rsidRPr="003D2DB4">
        <w:rPr>
          <w:rStyle w:val="FootnoteReference"/>
          <w:rFonts w:ascii="Verdana" w:hAnsi="Verdana"/>
        </w:rPr>
        <w:footnoteRef/>
      </w:r>
      <w:r w:rsidRPr="003D2DB4">
        <w:rPr>
          <w:rFonts w:ascii="Verdana" w:hAnsi="Verdana"/>
        </w:rPr>
        <w:t xml:space="preserve"> </w:t>
      </w:r>
      <w:r w:rsidRPr="003D2DB4">
        <w:rPr>
          <w:rFonts w:ascii="Verdana" w:hAnsi="Verdana" w:cs="Times New Roman"/>
          <w:color w:val="000000" w:themeColor="text1"/>
          <w:sz w:val="20"/>
          <w:szCs w:val="20"/>
        </w:rPr>
        <w:t xml:space="preserve">Institute for Government (2024) Current UK fiscal rules. </w:t>
      </w:r>
      <w:r>
        <w:fldChar w:fldCharType="begin"/>
      </w:r>
      <w:r>
        <w:instrText xml:space="preserve"> HYPERLINK "https://www.instituteforgovernment.org.uk/explainer/current-fiscal-rules" </w:instrText>
      </w:r>
      <w:r>
        <w:fldChar w:fldCharType="separate"/>
      </w:r>
      <w:r w:rsidRPr="003D2DB4">
        <w:rPr>
          <w:rStyle w:val="Hyperlink"/>
          <w:rFonts w:ascii="Verdana" w:hAnsi="Verdana" w:cs="Times New Roman"/>
          <w:sz w:val="20"/>
          <w:szCs w:val="20"/>
        </w:rPr>
        <w:t>https://www.instituteforgovernment.org.uk/explainer/current-fiscal-rules</w:t>
      </w:r>
      <w:r>
        <w:fldChar w:fldCharType="end"/>
      </w:r>
      <w:r w:rsidRPr="003D2DB4">
        <w:rPr>
          <w:rFonts w:ascii="Verdana" w:hAnsi="Verdana" w:cs="Times New Roman"/>
          <w:color w:val="000000" w:themeColor="text1"/>
          <w:sz w:val="20"/>
          <w:szCs w:val="20"/>
        </w:rPr>
        <w:t xml:space="preserve"> </w:t>
      </w:r>
    </w:p>
  </w:footnote>
  <w:footnote w:id="9">
    <w:p w:rsidR="003D2DB4" w:rsidRPr="003D2DB4" w:rsidP="0057674B">
      <w:pPr>
        <w:spacing w:before="20" w:after="20" w:line="240" w:lineRule="auto"/>
        <w:rPr>
          <w:rFonts w:ascii="Verdana" w:hAnsi="Verdana" w:cs="Times New Roman"/>
          <w:color w:val="000000" w:themeColor="text1"/>
          <w:sz w:val="20"/>
          <w:szCs w:val="20"/>
        </w:rPr>
      </w:pPr>
      <w:r w:rsidRPr="003D2DB4">
        <w:rPr>
          <w:rStyle w:val="FootnoteReference"/>
          <w:rFonts w:ascii="Verdana" w:hAnsi="Verdana"/>
          <w:sz w:val="20"/>
          <w:szCs w:val="20"/>
        </w:rPr>
        <w:footnoteRef/>
      </w:r>
      <w:r w:rsidRPr="003D2DB4">
        <w:rPr>
          <w:rFonts w:ascii="Verdana" w:hAnsi="Verdana" w:cs="Times New Roman"/>
          <w:color w:val="000000" w:themeColor="text1"/>
          <w:sz w:val="20"/>
          <w:szCs w:val="20"/>
        </w:rPr>
        <w:t xml:space="preserve">OBR (2025) Brief guide to the public finances, 3 April 2025. </w:t>
      </w:r>
      <w:r>
        <w:fldChar w:fldCharType="begin"/>
      </w:r>
      <w:r>
        <w:instrText xml:space="preserve"> HYPERLINK "https://obr.uk/forecasts-in-depth/brief-guides-and-explainers/public-finances/" </w:instrText>
      </w:r>
      <w:r>
        <w:fldChar w:fldCharType="separate"/>
      </w:r>
      <w:r w:rsidRPr="003D2DB4">
        <w:rPr>
          <w:rStyle w:val="Hyperlink"/>
          <w:rFonts w:ascii="Verdana" w:hAnsi="Verdana" w:cs="Times New Roman"/>
          <w:sz w:val="20"/>
          <w:szCs w:val="20"/>
        </w:rPr>
        <w:t>https://obr.uk/forecasts-in-depth/brief-guides-and-explainers/public-finances/</w:t>
      </w:r>
      <w:r>
        <w:fldChar w:fldCharType="end"/>
      </w:r>
      <w:r w:rsidRPr="003D2DB4">
        <w:rPr>
          <w:rFonts w:ascii="Verdana" w:hAnsi="Verdana" w:cs="Times New Roman"/>
          <w:color w:val="000000" w:themeColor="text1"/>
          <w:sz w:val="20"/>
          <w:szCs w:val="20"/>
        </w:rPr>
        <w:t xml:space="preserve"> </w:t>
      </w:r>
    </w:p>
    <w:p w:rsidR="003D2DB4" w:rsidRPr="00E801D7">
      <w:pPr>
        <w:pStyle w:val="FootnoteText"/>
        <w:rPr>
          <w:lang w:val="en-GB"/>
        </w:rPr>
      </w:pPr>
      <w:r>
        <w:rPr>
          <w:lang w:val="en-GB"/>
        </w:rPr>
        <w:t xml:space="preserve"> </w:t>
      </w:r>
    </w:p>
  </w:footnote>
  <w:footnote w:id="10">
    <w:p w:rsidR="003D2DB4" w:rsidRPr="003D2DB4" w:rsidP="0057674B">
      <w:pPr>
        <w:spacing w:before="20" w:after="20" w:line="240" w:lineRule="auto"/>
        <w:rPr>
          <w:rFonts w:ascii="Verdana" w:hAnsi="Verdana" w:cs="Times New Roman"/>
          <w:color w:val="000000" w:themeColor="text1"/>
          <w:sz w:val="20"/>
          <w:szCs w:val="20"/>
        </w:rPr>
      </w:pPr>
      <w:r w:rsidRPr="003D2DB4">
        <w:rPr>
          <w:rStyle w:val="FootnoteReference"/>
          <w:rFonts w:ascii="Verdana" w:hAnsi="Verdana"/>
        </w:rPr>
        <w:footnoteRef/>
      </w:r>
      <w:r w:rsidRPr="003D2DB4">
        <w:rPr>
          <w:rFonts w:ascii="Verdana" w:hAnsi="Verdana"/>
        </w:rPr>
        <w:t xml:space="preserve"> </w:t>
      </w:r>
      <w:r w:rsidRPr="003D2DB4">
        <w:rPr>
          <w:rFonts w:ascii="Verdana" w:hAnsi="Verdana" w:cs="Times New Roman"/>
          <w:color w:val="000000" w:themeColor="text1"/>
          <w:sz w:val="20"/>
          <w:szCs w:val="20"/>
        </w:rPr>
        <w:t xml:space="preserve">OECD (2015). Recommendation of the Council on Budgetary Governance, </w:t>
      </w:r>
      <w:r w:rsidRPr="003D2DB4">
        <w:rPr>
          <w:rFonts w:ascii="Verdana" w:hAnsi="Verdana" w:cs="Times New Roman"/>
          <w:sz w:val="20"/>
          <w:szCs w:val="20"/>
        </w:rPr>
        <w:t xml:space="preserve">OECD Legal Instruments, OECD-LEGAL-0410, OECD, Paris, </w:t>
      </w:r>
      <w:r>
        <w:fldChar w:fldCharType="begin"/>
      </w:r>
      <w:r>
        <w:instrText xml:space="preserve"> HYPERLINK "https://ppp.worldbank.org/sites/default/files/2022-04/Recommendation-of-the-Council-on-Budgetary-Governance.pdf" </w:instrText>
      </w:r>
      <w:r>
        <w:fldChar w:fldCharType="separate"/>
      </w:r>
      <w:r w:rsidRPr="003D2DB4">
        <w:rPr>
          <w:rStyle w:val="Hyperlink"/>
          <w:rFonts w:ascii="Verdana" w:hAnsi="Verdana" w:cs="Times New Roman"/>
          <w:sz w:val="20"/>
          <w:szCs w:val="20"/>
        </w:rPr>
        <w:t>https://ppp.worldbank.org/sites/default/files/2022-04/Recommendation-of-the-Council-on-Budgetary-Governance.pdf</w:t>
      </w:r>
      <w:r>
        <w:fldChar w:fldCharType="end"/>
      </w:r>
      <w:r w:rsidRPr="003D2DB4">
        <w:rPr>
          <w:rFonts w:ascii="Verdana" w:hAnsi="Verdana" w:cs="Times New Roman"/>
          <w:sz w:val="20"/>
          <w:szCs w:val="20"/>
        </w:rPr>
        <w:t xml:space="preserve"> </w:t>
      </w:r>
    </w:p>
  </w:footnote>
  <w:footnote w:id="11">
    <w:p w:rsidR="003D2DB4" w:rsidRPr="003126B4">
      <w:pPr>
        <w:pStyle w:val="FootnoteText"/>
        <w:rPr>
          <w:lang w:val="en-GB"/>
        </w:rPr>
      </w:pPr>
      <w:r w:rsidRPr="003D2DB4">
        <w:rPr>
          <w:rStyle w:val="FootnoteReference"/>
          <w:rFonts w:ascii="Verdana" w:hAnsi="Verdana"/>
        </w:rPr>
        <w:footnoteRef/>
      </w:r>
      <w:r w:rsidRPr="003D2DB4">
        <w:rPr>
          <w:rFonts w:ascii="Verdana" w:hAnsi="Verdana"/>
        </w:rPr>
        <w:t xml:space="preserve"> </w:t>
      </w:r>
      <w:r w:rsidRPr="003D2DB4">
        <w:rPr>
          <w:rFonts w:ascii="Verdana" w:hAnsi="Verdana" w:cs="Times New Roman"/>
          <w:color w:val="000000" w:themeColor="text1"/>
          <w:szCs w:val="24"/>
        </w:rPr>
        <w:t xml:space="preserve">IMF (2009). Fiscal Rules—Anchoring Expectations for Sustainable Public Finances. IMF Policy Paper. </w:t>
      </w:r>
      <w:r>
        <w:fldChar w:fldCharType="begin"/>
      </w:r>
      <w:r>
        <w:instrText xml:space="preserve"> HYPERLINK "https://www.imf.org/external/np/pp/eng/2009/121609.pdf" </w:instrText>
      </w:r>
      <w:r>
        <w:fldChar w:fldCharType="separate"/>
      </w:r>
      <w:r w:rsidRPr="003D2DB4">
        <w:rPr>
          <w:rStyle w:val="Hyperlink"/>
          <w:rFonts w:ascii="Verdana" w:hAnsi="Verdana" w:cs="Times New Roman"/>
          <w:szCs w:val="24"/>
        </w:rPr>
        <w:t>https://www.imf.org/external/np/pp/eng/2009/121609.pdf</w:t>
      </w:r>
      <w:r>
        <w:fldChar w:fldCharType="end"/>
      </w:r>
      <w:r>
        <w:rPr>
          <w:rFonts w:cs="Times New Roman"/>
          <w:color w:val="000000" w:themeColor="text1"/>
          <w:szCs w:val="24"/>
        </w:rPr>
        <w:t xml:space="preserve"> </w:t>
      </w:r>
    </w:p>
  </w:footnote>
  <w:footnote w:id="12">
    <w:p w:rsidR="003D2DB4" w:rsidRPr="003D2DB4" w:rsidP="0057674B">
      <w:pPr>
        <w:spacing w:before="20" w:after="20" w:line="240" w:lineRule="auto"/>
        <w:rPr>
          <w:rFonts w:ascii="Verdana" w:hAnsi="Verdana" w:cs="Times New Roman"/>
          <w:color w:val="000000" w:themeColor="text1"/>
          <w:szCs w:val="24"/>
        </w:rPr>
      </w:pPr>
      <w:r w:rsidRPr="003D2DB4">
        <w:rPr>
          <w:rStyle w:val="FootnoteReference"/>
          <w:rFonts w:ascii="Verdana" w:hAnsi="Verdana"/>
        </w:rPr>
        <w:footnoteRef/>
      </w:r>
      <w:r w:rsidRPr="003D2DB4">
        <w:rPr>
          <w:rFonts w:ascii="Verdana" w:hAnsi="Verdana"/>
        </w:rPr>
        <w:t xml:space="preserve"> </w:t>
      </w:r>
      <w:r w:rsidRPr="003D2DB4">
        <w:rPr>
          <w:rFonts w:ascii="Verdana" w:hAnsi="Verdana" w:cs="Times New Roman"/>
          <w:color w:val="000000" w:themeColor="text1"/>
          <w:sz w:val="20"/>
          <w:szCs w:val="20"/>
        </w:rPr>
        <w:t xml:space="preserve">The Macroeconomic Model, Briefing Paper No. 5. </w:t>
      </w:r>
      <w:r>
        <w:fldChar w:fldCharType="begin"/>
      </w:r>
      <w:r>
        <w:instrText xml:space="preserve"> HYPERLINK "https://obr.uk/docs/dlm_uploads/Final_Model_Documentation.pdf" </w:instrText>
      </w:r>
      <w:r>
        <w:fldChar w:fldCharType="separate"/>
      </w:r>
      <w:r w:rsidRPr="003D2DB4">
        <w:rPr>
          <w:rStyle w:val="Hyperlink"/>
          <w:rFonts w:ascii="Verdana" w:hAnsi="Verdana" w:cs="Times New Roman"/>
          <w:sz w:val="20"/>
          <w:szCs w:val="20"/>
        </w:rPr>
        <w:t>https://obr.uk/docs/dlm_uploads/Final_Model_Documentation.pdf</w:t>
      </w:r>
      <w:r>
        <w:fldChar w:fldCharType="end"/>
      </w:r>
      <w:r w:rsidRPr="003D2DB4">
        <w:rPr>
          <w:rFonts w:ascii="Verdana" w:hAnsi="Verdana" w:cs="Times New Roman"/>
          <w:color w:val="000000" w:themeColor="text1"/>
          <w:sz w:val="20"/>
          <w:szCs w:val="20"/>
        </w:rPr>
        <w:t xml:space="preserve"> ;  OBR–HMT (2025). Memorandum of Understanding on Macroeconomic Models.</w:t>
      </w:r>
      <w:r w:rsidRPr="003D2DB4">
        <w:rPr>
          <w:rFonts w:ascii="Verdana" w:hAnsi="Verdana"/>
          <w:sz w:val="20"/>
          <w:szCs w:val="20"/>
        </w:rPr>
        <w:t xml:space="preserve"> </w:t>
      </w:r>
      <w:r>
        <w:fldChar w:fldCharType="begin"/>
      </w:r>
      <w:r>
        <w:instrText xml:space="preserve"> HYPERLINK "https://obr.uk/docs/dlm_uploads/MOU_between_OBR_and_HMT_for_macroeconomic_models_April_2025.pdf" </w:instrText>
      </w:r>
      <w:r>
        <w:fldChar w:fldCharType="separate"/>
      </w:r>
      <w:r w:rsidRPr="003D2DB4">
        <w:rPr>
          <w:rStyle w:val="Hyperlink"/>
          <w:rFonts w:ascii="Verdana" w:hAnsi="Verdana" w:cs="Times New Roman"/>
          <w:sz w:val="20"/>
          <w:szCs w:val="20"/>
        </w:rPr>
        <w:t>https://obr.uk/docs/dlm_uploads/MOU_between_OBR_and_HMT_for_macroeconomic_models_April_2025.pdf</w:t>
      </w:r>
      <w:r>
        <w:fldChar w:fldCharType="end"/>
      </w:r>
      <w:r w:rsidRPr="003D2DB4">
        <w:rPr>
          <w:rFonts w:ascii="Verdana" w:hAnsi="Verdana" w:cs="Times New Roman"/>
          <w:color w:val="000000" w:themeColor="text1"/>
          <w:szCs w:val="24"/>
        </w:rPr>
        <w:t xml:space="preserve"> </w:t>
      </w:r>
    </w:p>
  </w:footnote>
  <w:footnote w:id="13">
    <w:p w:rsidR="003D2DB4" w:rsidRPr="003126B4">
      <w:pPr>
        <w:pStyle w:val="FootnoteText"/>
        <w:rPr>
          <w:lang w:val="en-GB"/>
        </w:rPr>
      </w:pPr>
      <w:r w:rsidRPr="003D2DB4">
        <w:rPr>
          <w:rStyle w:val="FootnoteReference"/>
          <w:rFonts w:ascii="Verdana" w:hAnsi="Verdana"/>
        </w:rPr>
        <w:footnoteRef/>
      </w:r>
      <w:r w:rsidRPr="003D2DB4">
        <w:rPr>
          <w:rFonts w:ascii="Verdana" w:hAnsi="Verdana"/>
        </w:rPr>
        <w:t xml:space="preserve"> </w:t>
      </w:r>
      <w:r w:rsidRPr="003D2DB4">
        <w:rPr>
          <w:rFonts w:ascii="Verdana" w:hAnsi="Verdana" w:cs="Times New Roman"/>
          <w:color w:val="000000" w:themeColor="text1"/>
          <w:szCs w:val="24"/>
        </w:rPr>
        <w:t xml:space="preserve">Lucas Jr, R.E. (1976) Econometric policy evaluation: A critique. </w:t>
      </w:r>
      <w:r w:rsidRPr="003D2DB4">
        <w:rPr>
          <w:rFonts w:ascii="Verdana" w:hAnsi="Verdana" w:cs="Times New Roman"/>
          <w:i/>
          <w:iCs/>
          <w:color w:val="000000" w:themeColor="text1"/>
          <w:szCs w:val="24"/>
        </w:rPr>
        <w:t>Carnegie-Rochester conference series on public policy</w:t>
      </w:r>
      <w:r w:rsidRPr="003D2DB4">
        <w:rPr>
          <w:rFonts w:ascii="Verdana" w:hAnsi="Verdana" w:cs="Times New Roman"/>
          <w:color w:val="000000" w:themeColor="text1"/>
          <w:szCs w:val="24"/>
        </w:rPr>
        <w:t xml:space="preserve">, 1, 19-46 </w:t>
      </w:r>
      <w:r>
        <w:fldChar w:fldCharType="begin"/>
      </w:r>
      <w:r>
        <w:instrText xml:space="preserve"> HYPERLINK "https://www.landsburg.org/LucasCritique.pdf" </w:instrText>
      </w:r>
      <w:r>
        <w:fldChar w:fldCharType="separate"/>
      </w:r>
      <w:r w:rsidRPr="003D2DB4">
        <w:rPr>
          <w:rStyle w:val="Hyperlink"/>
          <w:rFonts w:ascii="Verdana" w:hAnsi="Verdana" w:cs="Times New Roman"/>
          <w:szCs w:val="24"/>
        </w:rPr>
        <w:t>https://www.landsburg.org/LucasCritique.pdf</w:t>
      </w:r>
      <w:r>
        <w:fldChar w:fldCharType="end"/>
      </w:r>
      <w:r>
        <w:rPr>
          <w:rFonts w:cs="Times New Roman"/>
          <w:color w:val="000000" w:themeColor="text1"/>
          <w:szCs w:val="24"/>
        </w:rPr>
        <w:t xml:space="preserve"> </w:t>
      </w:r>
    </w:p>
  </w:footnote>
  <w:footnote w:id="14">
    <w:p w:rsidR="003D2DB4" w:rsidRPr="003D2DB4">
      <w:pPr>
        <w:pStyle w:val="FootnoteText"/>
        <w:rPr>
          <w:rFonts w:ascii="Verdana" w:hAnsi="Verdana"/>
          <w:lang w:val="en-GB"/>
        </w:rPr>
      </w:pPr>
      <w:r w:rsidRPr="003D2DB4">
        <w:rPr>
          <w:rStyle w:val="FootnoteReference"/>
          <w:rFonts w:ascii="Verdana" w:hAnsi="Verdana"/>
        </w:rPr>
        <w:footnoteRef/>
      </w:r>
      <w:r w:rsidRPr="003D2DB4">
        <w:rPr>
          <w:rFonts w:ascii="Verdana" w:hAnsi="Verdana"/>
        </w:rPr>
        <w:t xml:space="preserve"> </w:t>
      </w:r>
      <w:r w:rsidRPr="003D2DB4">
        <w:rPr>
          <w:rFonts w:ascii="Verdana" w:hAnsi="Verdana"/>
          <w:lang w:val="en-GB"/>
        </w:rPr>
        <w:t>See Appendix 1.</w:t>
      </w:r>
    </w:p>
  </w:footnote>
  <w:footnote w:id="15">
    <w:p w:rsidR="003D2DB4" w:rsidRPr="0048712A" w:rsidP="00D06BF8">
      <w:pPr>
        <w:pStyle w:val="FootnoteText"/>
        <w:rPr>
          <w:lang w:val="en-GB"/>
        </w:rPr>
      </w:pPr>
      <w:r w:rsidRPr="003D2DB4">
        <w:rPr>
          <w:rStyle w:val="FootnoteReference"/>
          <w:rFonts w:ascii="Verdana" w:hAnsi="Verdana"/>
        </w:rPr>
        <w:footnoteRef/>
      </w:r>
      <w:r w:rsidRPr="003D2DB4">
        <w:rPr>
          <w:rFonts w:ascii="Verdana" w:hAnsi="Verdana"/>
        </w:rPr>
        <w:t xml:space="preserve"> </w:t>
      </w:r>
      <w:r w:rsidRPr="003D2DB4">
        <w:rPr>
          <w:rFonts w:ascii="Verdana" w:hAnsi="Verdana"/>
          <w:lang w:val="en-GB"/>
        </w:rPr>
        <w:t>See Appendix 2.</w:t>
      </w:r>
    </w:p>
  </w:footnote>
  <w:footnote w:id="16">
    <w:p w:rsidR="003D2DB4" w:rsidRPr="00D06BF8" w:rsidP="00D06BF8">
      <w:pPr>
        <w:spacing w:before="30" w:after="30" w:line="240" w:lineRule="auto"/>
        <w:rPr>
          <w:rFonts w:cs="Times New Roman"/>
          <w:sz w:val="20"/>
          <w:szCs w:val="20"/>
          <w:lang w:val="en-AU"/>
        </w:rPr>
      </w:pPr>
      <w:r>
        <w:rPr>
          <w:rStyle w:val="FootnoteReference"/>
        </w:rPr>
        <w:footnoteRef/>
      </w:r>
      <w:r>
        <w:t xml:space="preserve"> </w:t>
      </w:r>
      <w:r w:rsidRPr="00D06BF8">
        <w:rPr>
          <w:rFonts w:cs="Times New Roman"/>
          <w:color w:val="222222"/>
          <w:sz w:val="20"/>
          <w:szCs w:val="20"/>
          <w:shd w:val="clear" w:color="auto" w:fill="FFFFFF"/>
        </w:rPr>
        <w:t>Jordà, Òscar. Estimation and inference of impulse responses by local projections. </w:t>
      </w:r>
      <w:r w:rsidRPr="00D06BF8">
        <w:rPr>
          <w:rFonts w:cs="Times New Roman"/>
          <w:i/>
          <w:iCs/>
          <w:color w:val="222222"/>
          <w:sz w:val="20"/>
          <w:szCs w:val="20"/>
          <w:shd w:val="clear" w:color="auto" w:fill="FFFFFF"/>
        </w:rPr>
        <w:t>American economic review</w:t>
      </w:r>
      <w:r w:rsidRPr="00D06BF8">
        <w:rPr>
          <w:rFonts w:cs="Times New Roman"/>
          <w:color w:val="222222"/>
          <w:sz w:val="20"/>
          <w:szCs w:val="20"/>
          <w:shd w:val="clear" w:color="auto" w:fill="FFFFFF"/>
        </w:rPr>
        <w:t xml:space="preserve"> 95.1 (2005): 161-182. </w:t>
      </w:r>
      <w:r>
        <w:fldChar w:fldCharType="begin"/>
      </w:r>
      <w:r>
        <w:instrText xml:space="preserve"> HYPERLINK "https://www.jstor.org/stable/4132675" </w:instrText>
      </w:r>
      <w:r>
        <w:fldChar w:fldCharType="separate"/>
      </w:r>
      <w:r w:rsidRPr="00D06BF8">
        <w:rPr>
          <w:rStyle w:val="Hyperlink"/>
          <w:rFonts w:cs="Times New Roman"/>
          <w:sz w:val="20"/>
          <w:szCs w:val="20"/>
          <w:shd w:val="clear" w:color="auto" w:fill="FFFFFF"/>
        </w:rPr>
        <w:t>https://www.jstor.org/stable/4132675</w:t>
      </w:r>
      <w:r>
        <w:fldChar w:fldCharType="end"/>
      </w:r>
      <w:r w:rsidRPr="00D06BF8">
        <w:rPr>
          <w:rFonts w:cs="Times New Roman"/>
          <w:color w:val="222222"/>
          <w:sz w:val="20"/>
          <w:szCs w:val="20"/>
          <w:shd w:val="clear" w:color="auto" w:fill="FFFFFF"/>
        </w:rPr>
        <w:t xml:space="preserve"> </w:t>
      </w:r>
    </w:p>
    <w:p w:rsidR="003D2DB4" w:rsidRPr="00704B9E" w:rsidP="00D06BF8">
      <w:pPr>
        <w:pStyle w:val="FootnoteText"/>
        <w:rPr>
          <w:lang w:val="en-GB"/>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1C33195"/>
    <w:multiLevelType w:val="hybridMultilevel"/>
    <w:tmpl w:val="D1E0F5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29F4261"/>
    <w:multiLevelType w:val="hybridMultilevel"/>
    <w:tmpl w:val="4A783A6E"/>
    <w:lvl w:ilvl="0">
      <w:start w:val="1"/>
      <w:numFmt w:val="decimal"/>
      <w:lvlText w:val="%1."/>
      <w:lvlJc w:val="left"/>
      <w:pPr>
        <w:ind w:left="360" w:hanging="360"/>
      </w:pPr>
      <w:rPr>
        <w:rFonts w:hint="default"/>
      </w:rPr>
    </w:lvl>
    <w:lvl w:ilvl="1" w:tentative="1">
      <w:start w:val="1"/>
      <w:numFmt w:val="lowerLetter"/>
      <w:lvlText w:val="%2)"/>
      <w:lvlJc w:val="left"/>
      <w:pPr>
        <w:ind w:left="880" w:hanging="440"/>
      </w:pPr>
    </w:lvl>
    <w:lvl w:ilvl="2" w:tentative="1">
      <w:start w:val="1"/>
      <w:numFmt w:val="lowerRoman"/>
      <w:lvlText w:val="%3."/>
      <w:lvlJc w:val="right"/>
      <w:pPr>
        <w:ind w:left="1320" w:hanging="440"/>
      </w:pPr>
    </w:lvl>
    <w:lvl w:ilvl="3" w:tentative="1">
      <w:start w:val="1"/>
      <w:numFmt w:val="decimal"/>
      <w:lvlText w:val="%4."/>
      <w:lvlJc w:val="left"/>
      <w:pPr>
        <w:ind w:left="1760" w:hanging="440"/>
      </w:pPr>
    </w:lvl>
    <w:lvl w:ilvl="4" w:tentative="1">
      <w:start w:val="1"/>
      <w:numFmt w:val="lowerLetter"/>
      <w:lvlText w:val="%5)"/>
      <w:lvlJc w:val="left"/>
      <w:pPr>
        <w:ind w:left="2200" w:hanging="440"/>
      </w:pPr>
    </w:lvl>
    <w:lvl w:ilvl="5" w:tentative="1">
      <w:start w:val="1"/>
      <w:numFmt w:val="lowerRoman"/>
      <w:lvlText w:val="%6."/>
      <w:lvlJc w:val="right"/>
      <w:pPr>
        <w:ind w:left="2640" w:hanging="440"/>
      </w:pPr>
    </w:lvl>
    <w:lvl w:ilvl="6" w:tentative="1">
      <w:start w:val="1"/>
      <w:numFmt w:val="decimal"/>
      <w:lvlText w:val="%7."/>
      <w:lvlJc w:val="left"/>
      <w:pPr>
        <w:ind w:left="3080" w:hanging="440"/>
      </w:pPr>
    </w:lvl>
    <w:lvl w:ilvl="7" w:tentative="1">
      <w:start w:val="1"/>
      <w:numFmt w:val="lowerLetter"/>
      <w:lvlText w:val="%8)"/>
      <w:lvlJc w:val="left"/>
      <w:pPr>
        <w:ind w:left="3520" w:hanging="440"/>
      </w:pPr>
    </w:lvl>
    <w:lvl w:ilvl="8" w:tentative="1">
      <w:start w:val="1"/>
      <w:numFmt w:val="lowerRoman"/>
      <w:lvlText w:val="%9."/>
      <w:lvlJc w:val="right"/>
      <w:pPr>
        <w:ind w:left="3960" w:hanging="440"/>
      </w:pPr>
    </w:lvl>
  </w:abstractNum>
  <w:abstractNum w:abstractNumId="11">
    <w:nsid w:val="033B0F03"/>
    <w:multiLevelType w:val="hybridMultilevel"/>
    <w:tmpl w:val="A992B8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495589F"/>
    <w:multiLevelType w:val="multilevel"/>
    <w:tmpl w:val="28FC9F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nsid w:val="17C47959"/>
    <w:multiLevelType w:val="hybridMultilevel"/>
    <w:tmpl w:val="EB105D3A"/>
    <w:lvl w:ilvl="0">
      <w:start w:val="1"/>
      <w:numFmt w:val="decimal"/>
      <w:lvlText w:val="%1."/>
      <w:lvlJc w:val="left"/>
      <w:pPr>
        <w:ind w:left="360" w:hanging="360"/>
      </w:pPr>
      <w:rPr>
        <w:rFonts w:hint="default"/>
      </w:rPr>
    </w:lvl>
    <w:lvl w:ilvl="1" w:tentative="1">
      <w:start w:val="1"/>
      <w:numFmt w:val="lowerLetter"/>
      <w:lvlText w:val="%2)"/>
      <w:lvlJc w:val="left"/>
      <w:pPr>
        <w:ind w:left="880" w:hanging="440"/>
      </w:pPr>
    </w:lvl>
    <w:lvl w:ilvl="2" w:tentative="1">
      <w:start w:val="1"/>
      <w:numFmt w:val="lowerRoman"/>
      <w:lvlText w:val="%3."/>
      <w:lvlJc w:val="right"/>
      <w:pPr>
        <w:ind w:left="1320" w:hanging="440"/>
      </w:pPr>
    </w:lvl>
    <w:lvl w:ilvl="3" w:tentative="1">
      <w:start w:val="1"/>
      <w:numFmt w:val="decimal"/>
      <w:lvlText w:val="%4."/>
      <w:lvlJc w:val="left"/>
      <w:pPr>
        <w:ind w:left="1760" w:hanging="440"/>
      </w:pPr>
    </w:lvl>
    <w:lvl w:ilvl="4" w:tentative="1">
      <w:start w:val="1"/>
      <w:numFmt w:val="lowerLetter"/>
      <w:lvlText w:val="%5)"/>
      <w:lvlJc w:val="left"/>
      <w:pPr>
        <w:ind w:left="2200" w:hanging="440"/>
      </w:pPr>
    </w:lvl>
    <w:lvl w:ilvl="5" w:tentative="1">
      <w:start w:val="1"/>
      <w:numFmt w:val="lowerRoman"/>
      <w:lvlText w:val="%6."/>
      <w:lvlJc w:val="right"/>
      <w:pPr>
        <w:ind w:left="2640" w:hanging="440"/>
      </w:pPr>
    </w:lvl>
    <w:lvl w:ilvl="6" w:tentative="1">
      <w:start w:val="1"/>
      <w:numFmt w:val="decimal"/>
      <w:lvlText w:val="%7."/>
      <w:lvlJc w:val="left"/>
      <w:pPr>
        <w:ind w:left="3080" w:hanging="440"/>
      </w:pPr>
    </w:lvl>
    <w:lvl w:ilvl="7" w:tentative="1">
      <w:start w:val="1"/>
      <w:numFmt w:val="lowerLetter"/>
      <w:lvlText w:val="%8)"/>
      <w:lvlJc w:val="left"/>
      <w:pPr>
        <w:ind w:left="3520" w:hanging="440"/>
      </w:pPr>
    </w:lvl>
    <w:lvl w:ilvl="8" w:tentative="1">
      <w:start w:val="1"/>
      <w:numFmt w:val="lowerRoman"/>
      <w:lvlText w:val="%9."/>
      <w:lvlJc w:val="right"/>
      <w:pPr>
        <w:ind w:left="3960" w:hanging="440"/>
      </w:pPr>
    </w:lvl>
  </w:abstractNum>
  <w:abstractNum w:abstractNumId="14">
    <w:nsid w:val="21950266"/>
    <w:multiLevelType w:val="multilevel"/>
    <w:tmpl w:val="670E1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3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C84AE6"/>
    <w:multiLevelType w:val="hybridMultilevel"/>
    <w:tmpl w:val="218E9F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E174B90"/>
    <w:multiLevelType w:val="hybridMultilevel"/>
    <w:tmpl w:val="A1D84426"/>
    <w:lvl w:ilvl="0">
      <w:start w:val="1"/>
      <w:numFmt w:val="decimal"/>
      <w:lvlText w:val="%1."/>
      <w:lvlJc w:val="left"/>
      <w:pPr>
        <w:ind w:left="360" w:hanging="360"/>
      </w:pPr>
      <w:rPr>
        <w:rFonts w:hint="default"/>
      </w:rPr>
    </w:lvl>
    <w:lvl w:ilvl="1" w:tentative="1">
      <w:start w:val="1"/>
      <w:numFmt w:val="lowerLetter"/>
      <w:lvlText w:val="%2)"/>
      <w:lvlJc w:val="left"/>
      <w:pPr>
        <w:ind w:left="880" w:hanging="440"/>
      </w:pPr>
    </w:lvl>
    <w:lvl w:ilvl="2" w:tentative="1">
      <w:start w:val="1"/>
      <w:numFmt w:val="lowerRoman"/>
      <w:lvlText w:val="%3."/>
      <w:lvlJc w:val="right"/>
      <w:pPr>
        <w:ind w:left="1320" w:hanging="440"/>
      </w:pPr>
    </w:lvl>
    <w:lvl w:ilvl="3" w:tentative="1">
      <w:start w:val="1"/>
      <w:numFmt w:val="decimal"/>
      <w:lvlText w:val="%4."/>
      <w:lvlJc w:val="left"/>
      <w:pPr>
        <w:ind w:left="1760" w:hanging="440"/>
      </w:pPr>
    </w:lvl>
    <w:lvl w:ilvl="4" w:tentative="1">
      <w:start w:val="1"/>
      <w:numFmt w:val="lowerLetter"/>
      <w:lvlText w:val="%5)"/>
      <w:lvlJc w:val="left"/>
      <w:pPr>
        <w:ind w:left="2200" w:hanging="440"/>
      </w:pPr>
    </w:lvl>
    <w:lvl w:ilvl="5" w:tentative="1">
      <w:start w:val="1"/>
      <w:numFmt w:val="lowerRoman"/>
      <w:lvlText w:val="%6."/>
      <w:lvlJc w:val="right"/>
      <w:pPr>
        <w:ind w:left="2640" w:hanging="440"/>
      </w:pPr>
    </w:lvl>
    <w:lvl w:ilvl="6" w:tentative="1">
      <w:start w:val="1"/>
      <w:numFmt w:val="decimal"/>
      <w:lvlText w:val="%7."/>
      <w:lvlJc w:val="left"/>
      <w:pPr>
        <w:ind w:left="3080" w:hanging="440"/>
      </w:pPr>
    </w:lvl>
    <w:lvl w:ilvl="7" w:tentative="1">
      <w:start w:val="1"/>
      <w:numFmt w:val="lowerLetter"/>
      <w:lvlText w:val="%8)"/>
      <w:lvlJc w:val="left"/>
      <w:pPr>
        <w:ind w:left="3520" w:hanging="440"/>
      </w:pPr>
    </w:lvl>
    <w:lvl w:ilvl="8" w:tentative="1">
      <w:start w:val="1"/>
      <w:numFmt w:val="lowerRoman"/>
      <w:lvlText w:val="%9."/>
      <w:lvlJc w:val="right"/>
      <w:pPr>
        <w:ind w:left="3960" w:hanging="440"/>
      </w:pPr>
    </w:lvl>
  </w:abstractNum>
  <w:abstractNum w:abstractNumId="17">
    <w:nsid w:val="585B6FCE"/>
    <w:multiLevelType w:val="multilevel"/>
    <w:tmpl w:val="1604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BF6584"/>
    <w:multiLevelType w:val="hybridMultilevel"/>
    <w:tmpl w:val="9F32DD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B5E3D99"/>
    <w:multiLevelType w:val="hybridMultilevel"/>
    <w:tmpl w:val="5CA209E4"/>
    <w:lvl w:ilvl="0">
      <w:start w:val="1"/>
      <w:numFmt w:val="decimal"/>
      <w:lvlText w:val="%1."/>
      <w:lvlJc w:val="left"/>
      <w:pPr>
        <w:ind w:left="360" w:hanging="360"/>
      </w:pPr>
      <w:rPr>
        <w:rFonts w:hint="default"/>
      </w:rPr>
    </w:lvl>
    <w:lvl w:ilvl="1" w:tentative="1">
      <w:start w:val="1"/>
      <w:numFmt w:val="lowerLetter"/>
      <w:lvlText w:val="%2)"/>
      <w:lvlJc w:val="left"/>
      <w:pPr>
        <w:ind w:left="880" w:hanging="440"/>
      </w:pPr>
    </w:lvl>
    <w:lvl w:ilvl="2" w:tentative="1">
      <w:start w:val="1"/>
      <w:numFmt w:val="lowerRoman"/>
      <w:lvlText w:val="%3."/>
      <w:lvlJc w:val="right"/>
      <w:pPr>
        <w:ind w:left="1320" w:hanging="440"/>
      </w:pPr>
    </w:lvl>
    <w:lvl w:ilvl="3" w:tentative="1">
      <w:start w:val="1"/>
      <w:numFmt w:val="decimal"/>
      <w:lvlText w:val="%4."/>
      <w:lvlJc w:val="left"/>
      <w:pPr>
        <w:ind w:left="1760" w:hanging="440"/>
      </w:pPr>
    </w:lvl>
    <w:lvl w:ilvl="4" w:tentative="1">
      <w:start w:val="1"/>
      <w:numFmt w:val="lowerLetter"/>
      <w:lvlText w:val="%5)"/>
      <w:lvlJc w:val="left"/>
      <w:pPr>
        <w:ind w:left="2200" w:hanging="440"/>
      </w:pPr>
    </w:lvl>
    <w:lvl w:ilvl="5" w:tentative="1">
      <w:start w:val="1"/>
      <w:numFmt w:val="lowerRoman"/>
      <w:lvlText w:val="%6."/>
      <w:lvlJc w:val="right"/>
      <w:pPr>
        <w:ind w:left="2640" w:hanging="440"/>
      </w:pPr>
    </w:lvl>
    <w:lvl w:ilvl="6" w:tentative="1">
      <w:start w:val="1"/>
      <w:numFmt w:val="decimal"/>
      <w:lvlText w:val="%7."/>
      <w:lvlJc w:val="left"/>
      <w:pPr>
        <w:ind w:left="3080" w:hanging="440"/>
      </w:pPr>
    </w:lvl>
    <w:lvl w:ilvl="7" w:tentative="1">
      <w:start w:val="1"/>
      <w:numFmt w:val="lowerLetter"/>
      <w:lvlText w:val="%8)"/>
      <w:lvlJc w:val="left"/>
      <w:pPr>
        <w:ind w:left="3520" w:hanging="440"/>
      </w:pPr>
    </w:lvl>
    <w:lvl w:ilvl="8" w:tentative="1">
      <w:start w:val="1"/>
      <w:numFmt w:val="lowerRoman"/>
      <w:lvlText w:val="%9."/>
      <w:lvlJc w:val="right"/>
      <w:pPr>
        <w:ind w:left="3960" w:hanging="440"/>
      </w:pPr>
    </w:lvl>
  </w:abstractNum>
  <w:abstractNum w:abstractNumId="20">
    <w:nsid w:val="6CAC51BF"/>
    <w:multiLevelType w:val="multilevel"/>
    <w:tmpl w:val="553AF76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7560047"/>
    <w:multiLevelType w:val="multilevel"/>
    <w:tmpl w:val="553AF76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C395D66"/>
    <w:multiLevelType w:val="multilevel"/>
    <w:tmpl w:val="BB40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22"/>
  </w:num>
  <w:num w:numId="12">
    <w:abstractNumId w:val="17"/>
  </w:num>
  <w:num w:numId="13">
    <w:abstractNumId w:val="14"/>
  </w:num>
  <w:num w:numId="14">
    <w:abstractNumId w:val="20"/>
  </w:num>
  <w:num w:numId="15">
    <w:abstractNumId w:val="18"/>
  </w:num>
  <w:num w:numId="16">
    <w:abstractNumId w:val="11"/>
  </w:num>
  <w:num w:numId="17">
    <w:abstractNumId w:val="19"/>
  </w:num>
  <w:num w:numId="18">
    <w:abstractNumId w:val="13"/>
  </w:num>
  <w:num w:numId="19">
    <w:abstractNumId w:val="10"/>
  </w:num>
  <w:num w:numId="20">
    <w:abstractNumId w:val="16"/>
  </w:num>
  <w:num w:numId="21">
    <w:abstractNumId w:val="9"/>
  </w:num>
  <w:num w:numId="22">
    <w:abstractNumId w:val="15"/>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C17F70"/>
    <w:pPr>
      <w:spacing w:before="100" w:beforeAutospacing="1" w:after="100" w:afterAutospacing="1" w:line="240" w:lineRule="auto"/>
    </w:pPr>
    <w:rPr>
      <w:rFonts w:eastAsia="Times New Roman" w:cs="Times New Roman"/>
      <w:szCs w:val="24"/>
      <w:lang w:val="en-GB" w:eastAsia="en-GB"/>
    </w:rPr>
  </w:style>
  <w:style w:type="paragraph" w:styleId="FootnoteText">
    <w:name w:val="footnote text"/>
    <w:basedOn w:val="Normal"/>
    <w:link w:val="FootnoteTextChar"/>
    <w:uiPriority w:val="99"/>
    <w:semiHidden/>
    <w:unhideWhenUsed/>
    <w:rsid w:val="001D2F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2F66"/>
    <w:rPr>
      <w:rFonts w:ascii="Times New Roman" w:hAnsi="Times New Roman"/>
      <w:sz w:val="20"/>
      <w:szCs w:val="20"/>
    </w:rPr>
  </w:style>
  <w:style w:type="character" w:styleId="FootnoteReference">
    <w:name w:val="footnote reference"/>
    <w:basedOn w:val="DefaultParagraphFont"/>
    <w:uiPriority w:val="99"/>
    <w:semiHidden/>
    <w:unhideWhenUsed/>
    <w:rsid w:val="001D2F66"/>
    <w:rPr>
      <w:vertAlign w:val="superscript"/>
    </w:rPr>
  </w:style>
  <w:style w:type="character" w:styleId="PageNumber">
    <w:name w:val="page number"/>
    <w:basedOn w:val="DefaultParagraphFont"/>
    <w:uiPriority w:val="99"/>
    <w:semiHidden/>
    <w:unhideWhenUsed/>
    <w:rsid w:val="001E0907"/>
  </w:style>
  <w:style w:type="character" w:styleId="Hyperlink">
    <w:name w:val="Hyperlink"/>
    <w:basedOn w:val="DefaultParagraphFont"/>
    <w:uiPriority w:val="99"/>
    <w:unhideWhenUsed/>
    <w:rsid w:val="0048712A"/>
    <w:rPr>
      <w:color w:val="0000FF" w:themeColor="hyperlink"/>
      <w:u w:val="single"/>
    </w:rPr>
  </w:style>
  <w:style w:type="character" w:customStyle="1" w:styleId="math-inline">
    <w:name w:val="math-inline"/>
    <w:basedOn w:val="DefaultParagraphFont"/>
    <w:rsid w:val="00263B07"/>
  </w:style>
  <w:style w:type="paragraph" w:styleId="Revision">
    <w:name w:val="Revision"/>
    <w:hidden/>
    <w:uiPriority w:val="99"/>
    <w:semiHidden/>
    <w:rsid w:val="004627B1"/>
    <w:pPr>
      <w:spacing w:after="0" w:line="240" w:lineRule="auto"/>
    </w:pPr>
    <w:rPr>
      <w:rFonts w:ascii="Times New Roman" w:hAnsi="Times New Roman"/>
      <w:sz w:val="24"/>
    </w:rPr>
  </w:style>
  <w:style w:type="character" w:styleId="PlaceholderText">
    <w:name w:val="Placeholder Text"/>
    <w:basedOn w:val="DefaultParagraphFont"/>
    <w:uiPriority w:val="99"/>
    <w:semiHidden/>
    <w:rsid w:val="004627B1"/>
    <w:rPr>
      <w:color w:val="666666"/>
    </w:rPr>
  </w:style>
  <w:style w:type="character" w:customStyle="1" w:styleId="UnresolvedMention1">
    <w:name w:val="Unresolved Mention1"/>
    <w:basedOn w:val="DefaultParagraphFont"/>
    <w:uiPriority w:val="99"/>
    <w:semiHidden/>
    <w:unhideWhenUsed/>
    <w:rsid w:val="00434C4E"/>
    <w:rPr>
      <w:color w:val="605E5C"/>
      <w:shd w:val="clear" w:color="auto" w:fill="E1DFDD"/>
    </w:rPr>
  </w:style>
  <w:style w:type="character" w:styleId="FollowedHyperlink">
    <w:name w:val="FollowedHyperlink"/>
    <w:basedOn w:val="DefaultParagraphFont"/>
    <w:uiPriority w:val="99"/>
    <w:semiHidden/>
    <w:unhideWhenUsed/>
    <w:rsid w:val="005767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UKFA0013</dc:title>
  <cp:revision>0</cp:revision>
</cp:coreProperties>
</file>