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1B78D9" w:rsidRPr="000344C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height:52.3pt;margin-left:0;margin-top:0.85pt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width:276.5pt;z-index:251658240" filled="f" stroked="f" strokeweight="0.5pt">
            <v:textbox>
              <w:txbxContent>
                <w:p w:rsidR="001B78D9" w:rsidRPr="004A593E" w:rsidP="000344C5">
                  <w:pPr>
                    <w:spacing w:line="360" w:lineRule="auto"/>
                    <w:rPr>
                      <w:rFonts w:ascii="Aptos" w:hAnsi="Aptos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593E">
                    <w:rPr>
                      <w:rFonts w:ascii="Aptos" w:hAnsi="Aptos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Environmental Audit Committee</w:t>
                  </w:r>
                </w:p>
                <w:p w:rsidR="001B78D9" w:rsidRPr="004A593E" w:rsidP="008E2CA6">
                  <w:pPr>
                    <w:spacing w:line="360" w:lineRule="auto"/>
                    <w:rPr>
                      <w:rFonts w:ascii="Aptos" w:hAnsi="Aptos" w:cs="Arial"/>
                      <w:color w:val="000000" w:themeColor="text1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HYPERLINK "https://committees.parliament.uk/submission/" \l "/evidence/3752/details" </w:instrText>
                  </w:r>
                  <w:r>
                    <w:fldChar w:fldCharType="separate"/>
                  </w:r>
                  <w:r w:rsidRPr="004A593E">
                    <w:rPr>
                      <w:rStyle w:val="Hyperlink"/>
                      <w:rFonts w:ascii="Aptos" w:hAnsi="Aptos" w:cs="Arial"/>
                      <w:sz w:val="20"/>
                      <w:szCs w:val="20"/>
                    </w:rPr>
                    <w:t>Submit Evidence - UK Parliament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</w:rPr>
        <w:pict>
          <v:shape id="_x0000_s1026" type="#_x0000_t202" style="height:37.5pt;margin-left:375pt;margin-top:2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50pt;z-index:251659264" filled="f" stroked="f" strokeweight="0.5pt">
            <v:textbox>
              <w:txbxContent>
                <w:p w:rsidR="001B78D9" w:rsidRPr="004A593E" w:rsidP="00FA7F9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4A593E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A593E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DATE \@ "dddd, dd MMMM yyyy" </w:instrText>
                  </w:r>
                  <w:r w:rsidRPr="004A593E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Tuesday, 11 November 2025</w:t>
                  </w:r>
                  <w:r w:rsidRPr="004A593E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</w:pict>
      </w:r>
    </w:p>
    <w:p w:rsidR="001B78D9" w:rsidRPr="009F1DD0">
      <w:pPr>
        <w:rPr>
          <w:rFonts w:ascii="Arial" w:hAnsi="Arial" w:cs="Arial"/>
        </w:rPr>
      </w:pPr>
    </w:p>
    <w:p w:rsidR="001B78D9" w:rsidRPr="000344C5">
      <w:pPr>
        <w:rPr>
          <w:rFonts w:ascii="Arial" w:hAnsi="Arial" w:cs="Arial"/>
        </w:rPr>
      </w:pPr>
    </w:p>
    <w:p w:rsidR="001B78D9" w:rsidRPr="000344C5">
      <w:pPr>
        <w:rPr>
          <w:rFonts w:ascii="Arial" w:hAnsi="Arial" w:cs="Arial"/>
        </w:rPr>
      </w:pPr>
    </w:p>
    <w:p w:rsidR="001B78D9" w:rsidRPr="000344C5" w:rsidP="00FA7F92">
      <w:pPr>
        <w:rPr>
          <w:rFonts w:ascii="Arial" w:hAnsi="Arial" w:cs="Arial"/>
        </w:rPr>
      </w:pPr>
    </w:p>
    <w:p w:rsidR="001B78D9" w:rsidRPr="00CF56FA" w:rsidP="00FA7F92">
      <w:pPr>
        <w:rPr>
          <w:rFonts w:cs="Arial"/>
          <w:sz w:val="20"/>
          <w:szCs w:val="20"/>
        </w:rPr>
      </w:pPr>
      <w:r w:rsidRPr="00CF56FA">
        <w:rPr>
          <w:rFonts w:cs="Arial"/>
          <w:sz w:val="20"/>
          <w:szCs w:val="20"/>
        </w:rPr>
        <w:t xml:space="preserve">Dear </w:t>
      </w:r>
      <w:r w:rsidRPr="00CF56FA">
        <w:rPr>
          <w:rFonts w:cs="Arial"/>
          <w:sz w:val="20"/>
          <w:szCs w:val="20"/>
        </w:rPr>
        <w:t xml:space="preserve">Environmental Audit </w:t>
      </w:r>
      <w:r w:rsidRPr="00CF56FA">
        <w:rPr>
          <w:rFonts w:cs="Arial"/>
          <w:sz w:val="20"/>
          <w:szCs w:val="20"/>
        </w:rPr>
        <w:t>Committee</w:t>
      </w:r>
    </w:p>
    <w:p w:rsidR="001B78D9" w:rsidRPr="00CF56FA" w:rsidP="00FA7F92">
      <w:pPr>
        <w:rPr>
          <w:rFonts w:cs="Arial"/>
          <w:sz w:val="20"/>
          <w:szCs w:val="20"/>
        </w:rPr>
      </w:pPr>
    </w:p>
    <w:p w:rsidR="001B78D9" w:rsidRPr="00CF56FA" w:rsidP="00FA7F92">
      <w:pPr>
        <w:rPr>
          <w:rFonts w:cs="Arial"/>
          <w:sz w:val="20"/>
          <w:szCs w:val="20"/>
        </w:rPr>
      </w:pPr>
      <w:r w:rsidRPr="5A0EFA8E">
        <w:rPr>
          <w:b/>
          <w:bCs/>
          <w:sz w:val="20"/>
          <w:szCs w:val="20"/>
        </w:rPr>
        <w:t>Call for Evidence</w:t>
      </w:r>
      <w:r w:rsidRPr="5A0EFA8E">
        <w:rPr>
          <w:b/>
          <w:bCs/>
          <w:sz w:val="20"/>
          <w:szCs w:val="20"/>
        </w:rPr>
        <w:t xml:space="preserve"> – </w:t>
      </w:r>
      <w:r w:rsidRPr="5A0EFA8E">
        <w:rPr>
          <w:b/>
          <w:bCs/>
          <w:sz w:val="20"/>
          <w:szCs w:val="20"/>
        </w:rPr>
        <w:t>Seventh Carbon Budget</w:t>
      </w:r>
      <w:r>
        <w:rPr>
          <w:b/>
          <w:bCs/>
          <w:sz w:val="20"/>
          <w:szCs w:val="20"/>
        </w:rPr>
        <w:t xml:space="preserve"> (CB7)</w:t>
      </w:r>
    </w:p>
    <w:p w:rsidR="001B78D9" w:rsidRPr="00CF56FA" w:rsidP="00FA7F92">
      <w:pPr>
        <w:rPr>
          <w:rFonts w:cs="Arial"/>
          <w:sz w:val="20"/>
          <w:szCs w:val="20"/>
        </w:rPr>
      </w:pPr>
    </w:p>
    <w:p w:rsidR="001B78D9" w:rsidP="5A0EFA8E">
      <w:pPr>
        <w:tabs>
          <w:tab w:val="num" w:pos="720"/>
        </w:tabs>
        <w:spacing w:after="225"/>
        <w:jc w:val="both"/>
        <w:rPr>
          <w:rFonts w:cs="Arial"/>
          <w:sz w:val="20"/>
          <w:szCs w:val="20"/>
        </w:rPr>
      </w:pPr>
      <w:r w:rsidRPr="5A0EFA8E">
        <w:rPr>
          <w:rFonts w:cs="Arial"/>
          <w:sz w:val="20"/>
          <w:szCs w:val="20"/>
        </w:rPr>
        <w:t>F</w:t>
      </w:r>
      <w:r>
        <w:rPr>
          <w:rFonts w:cs="Arial"/>
          <w:sz w:val="20"/>
          <w:szCs w:val="20"/>
        </w:rPr>
        <w:t>uture Energy Networks (F</w:t>
      </w:r>
      <w:r w:rsidRPr="5A0EFA8E">
        <w:rPr>
          <w:rFonts w:cs="Arial"/>
          <w:sz w:val="20"/>
          <w:szCs w:val="20"/>
        </w:rPr>
        <w:t>EN</w:t>
      </w:r>
      <w:r>
        <w:rPr>
          <w:rFonts w:cs="Arial"/>
          <w:sz w:val="20"/>
          <w:szCs w:val="20"/>
        </w:rPr>
        <w:t>)</w:t>
      </w:r>
      <w:r w:rsidRPr="5A0EFA8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represents</w:t>
      </w:r>
      <w:r w:rsidRPr="5A0EFA8E">
        <w:rPr>
          <w:rFonts w:cs="Arial"/>
          <w:sz w:val="20"/>
          <w:szCs w:val="20"/>
        </w:rPr>
        <w:t xml:space="preserve"> National Gas,</w:t>
      </w:r>
      <w:r w:rsidRPr="5A0EFA8E">
        <w:rPr>
          <w:rFonts w:cs="Arial"/>
          <w:sz w:val="20"/>
          <w:szCs w:val="20"/>
        </w:rPr>
        <w:t xml:space="preserve"> </w:t>
      </w:r>
      <w:r w:rsidRPr="5A0EFA8E">
        <w:rPr>
          <w:rFonts w:cs="Arial"/>
          <w:sz w:val="20"/>
          <w:szCs w:val="20"/>
        </w:rPr>
        <w:t xml:space="preserve">Cadent Gas, Northern Gas Networks, SGN and Wales &amp; West Utilities and </w:t>
      </w:r>
      <w:r w:rsidRPr="326CD09E">
        <w:rPr>
          <w:rFonts w:cs="Arial"/>
          <w:sz w:val="20"/>
          <w:szCs w:val="20"/>
        </w:rPr>
        <w:t xml:space="preserve">Northern Ireland </w:t>
      </w:r>
      <w:r w:rsidRPr="5A0EFA8E">
        <w:rPr>
          <w:rFonts w:cs="Arial"/>
          <w:sz w:val="20"/>
          <w:szCs w:val="20"/>
        </w:rPr>
        <w:t>associate members (Evolve, Gas Networks Ireland, Kinecx Energy, Mutual Energy</w:t>
      </w:r>
      <w:r w:rsidRPr="326CD09E">
        <w:rPr>
          <w:rFonts w:cs="Arial"/>
          <w:sz w:val="20"/>
          <w:szCs w:val="20"/>
        </w:rPr>
        <w:t>,</w:t>
      </w:r>
      <w:r w:rsidRPr="5A0EFA8E">
        <w:rPr>
          <w:rFonts w:cs="Arial"/>
          <w:sz w:val="20"/>
          <w:szCs w:val="20"/>
        </w:rPr>
        <w:t xml:space="preserve"> Phoenix Energy).  </w:t>
      </w:r>
    </w:p>
    <w:p w:rsidR="001B78D9" w:rsidP="5A0EFA8E">
      <w:pPr>
        <w:spacing w:after="225"/>
        <w:jc w:val="both"/>
        <w:rPr>
          <w:rFonts w:cs="Arial"/>
          <w:sz w:val="20"/>
          <w:szCs w:val="20"/>
        </w:rPr>
      </w:pPr>
      <w:r w:rsidRPr="5A0EFA8E">
        <w:rPr>
          <w:rFonts w:cs="Arial"/>
          <w:sz w:val="20"/>
          <w:szCs w:val="20"/>
        </w:rPr>
        <w:t xml:space="preserve">We </w:t>
      </w:r>
      <w:r w:rsidRPr="5A0EFA8E">
        <w:rPr>
          <w:rFonts w:cs="Arial"/>
          <w:sz w:val="20"/>
          <w:szCs w:val="20"/>
        </w:rPr>
        <w:t>welcome</w:t>
      </w:r>
      <w:r w:rsidRPr="5A0EFA8E">
        <w:rPr>
          <w:rFonts w:cs="Arial"/>
          <w:sz w:val="20"/>
          <w:szCs w:val="20"/>
        </w:rPr>
        <w:t xml:space="preserve"> the opportunity to respond to th</w:t>
      </w:r>
      <w:r w:rsidRPr="5A0EFA8E">
        <w:rPr>
          <w:rFonts w:cs="Arial"/>
          <w:sz w:val="20"/>
          <w:szCs w:val="20"/>
        </w:rPr>
        <w:t>is</w:t>
      </w:r>
      <w:r w:rsidRPr="5A0EFA8E">
        <w:rPr>
          <w:rFonts w:cs="Arial"/>
          <w:sz w:val="20"/>
          <w:szCs w:val="20"/>
        </w:rPr>
        <w:t xml:space="preserve"> call of evidence</w:t>
      </w:r>
      <w:r w:rsidRPr="5A0EFA8E">
        <w:rPr>
          <w:rFonts w:cs="Arial"/>
          <w:sz w:val="20"/>
          <w:szCs w:val="20"/>
        </w:rPr>
        <w:t>. G</w:t>
      </w:r>
      <w:r w:rsidRPr="5A0EFA8E">
        <w:rPr>
          <w:rFonts w:cs="Arial"/>
          <w:sz w:val="20"/>
          <w:szCs w:val="20"/>
        </w:rPr>
        <w:t xml:space="preserve">as networks fully support the </w:t>
      </w:r>
      <w:r>
        <w:rPr>
          <w:rFonts w:cs="Arial"/>
          <w:sz w:val="20"/>
          <w:szCs w:val="20"/>
        </w:rPr>
        <w:t>net zero transition and</w:t>
      </w:r>
      <w:r w:rsidRPr="5A0EFA8E">
        <w:rPr>
          <w:rFonts w:cs="Arial"/>
          <w:sz w:val="20"/>
          <w:szCs w:val="20"/>
        </w:rPr>
        <w:t xml:space="preserve"> can play an active role in </w:t>
      </w:r>
      <w:r>
        <w:rPr>
          <w:rFonts w:cs="Arial"/>
          <w:sz w:val="20"/>
          <w:szCs w:val="20"/>
        </w:rPr>
        <w:t>delivery</w:t>
      </w:r>
      <w:r w:rsidRPr="5A0EFA8E">
        <w:rPr>
          <w:rFonts w:cs="Arial"/>
          <w:sz w:val="20"/>
          <w:szCs w:val="20"/>
        </w:rPr>
        <w:t xml:space="preserve"> whilst helping to </w:t>
      </w:r>
      <w:r>
        <w:rPr>
          <w:rFonts w:cs="Arial"/>
          <w:sz w:val="20"/>
          <w:szCs w:val="20"/>
        </w:rPr>
        <w:t>manage costs</w:t>
      </w:r>
      <w:r w:rsidRPr="5A0EFA8E">
        <w:rPr>
          <w:rFonts w:cs="Arial"/>
          <w:sz w:val="20"/>
          <w:szCs w:val="20"/>
        </w:rPr>
        <w:t xml:space="preserve">, minimise disruption to consumers and </w:t>
      </w:r>
      <w:r>
        <w:rPr>
          <w:rFonts w:cs="Arial"/>
          <w:sz w:val="20"/>
          <w:szCs w:val="20"/>
        </w:rPr>
        <w:t>enable economic</w:t>
      </w:r>
      <w:r w:rsidRPr="5A0EFA8E">
        <w:rPr>
          <w:rFonts w:cs="Arial"/>
          <w:sz w:val="20"/>
          <w:szCs w:val="20"/>
        </w:rPr>
        <w:t xml:space="preserve"> growt</w:t>
      </w:r>
      <w:r>
        <w:rPr>
          <w:rFonts w:cs="Arial"/>
          <w:sz w:val="20"/>
          <w:szCs w:val="20"/>
        </w:rPr>
        <w:t>h</w:t>
      </w:r>
      <w:r w:rsidRPr="5A0EFA8E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E</w:t>
      </w:r>
      <w:r w:rsidRPr="5A0EFA8E">
        <w:rPr>
          <w:rFonts w:cs="Arial"/>
          <w:sz w:val="20"/>
          <w:szCs w:val="20"/>
        </w:rPr>
        <w:t xml:space="preserve">ffective utilisation of the gas networks can help to deliver </w:t>
      </w:r>
      <w:r w:rsidRPr="5A0EFA8E">
        <w:rPr>
          <w:rFonts w:cs="Arial"/>
          <w:sz w:val="20"/>
          <w:szCs w:val="20"/>
        </w:rPr>
        <w:t>n</w:t>
      </w:r>
      <w:r w:rsidRPr="5A0EFA8E">
        <w:rPr>
          <w:rFonts w:cs="Arial"/>
          <w:sz w:val="20"/>
          <w:szCs w:val="20"/>
        </w:rPr>
        <w:t xml:space="preserve">et </w:t>
      </w:r>
      <w:r w:rsidRPr="5A0EFA8E">
        <w:rPr>
          <w:rFonts w:cs="Arial"/>
          <w:sz w:val="20"/>
          <w:szCs w:val="20"/>
        </w:rPr>
        <w:t>z</w:t>
      </w:r>
      <w:r w:rsidRPr="5A0EFA8E">
        <w:rPr>
          <w:rFonts w:cs="Arial"/>
          <w:sz w:val="20"/>
          <w:szCs w:val="20"/>
        </w:rPr>
        <w:t xml:space="preserve">ero in a fair and affordable way, whilst maximising consumer choice. </w:t>
      </w:r>
      <w:r w:rsidRPr="5A0EFA8E">
        <w:rPr>
          <w:rFonts w:cs="Arial"/>
          <w:sz w:val="20"/>
          <w:szCs w:val="20"/>
        </w:rPr>
        <w:t>We</w:t>
      </w:r>
      <w:r w:rsidRPr="5A0EFA8E">
        <w:rPr>
          <w:rFonts w:cs="Arial"/>
          <w:sz w:val="20"/>
          <w:szCs w:val="20"/>
        </w:rPr>
        <w:t xml:space="preserve"> have insight into consumer attitudes as well as evidence of opportunities </w:t>
      </w:r>
      <w:r>
        <w:rPr>
          <w:rFonts w:cs="Arial"/>
          <w:sz w:val="20"/>
          <w:szCs w:val="20"/>
        </w:rPr>
        <w:t>to</w:t>
      </w:r>
      <w:r w:rsidRPr="5A0EFA8E">
        <w:rPr>
          <w:rFonts w:cs="Arial"/>
          <w:sz w:val="20"/>
          <w:szCs w:val="20"/>
        </w:rPr>
        <w:t xml:space="preserve"> make the transition more efficient for the UK.</w:t>
      </w:r>
    </w:p>
    <w:p w:rsidR="001B78D9" w:rsidRPr="00CF56FA" w:rsidP="636B9A51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1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. </w:t>
      </w: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The </w:t>
      </w: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Climate Change Committee (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CCC</w:t>
      </w: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)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’s assumptions</w:t>
      </w:r>
    </w:p>
    <w:p w:rsidR="001B78D9" w:rsidRPr="00CF56FA" w:rsidP="27DEC970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F00698">
        <w:rPr>
          <w:rFonts w:asciiTheme="minorHAnsi" w:hAnsiTheme="minorHAnsi" w:cs="Arial"/>
          <w:color w:val="000000" w:themeColor="text1"/>
          <w:sz w:val="20"/>
          <w:szCs w:val="20"/>
        </w:rPr>
        <w:t>CB</w:t>
      </w:r>
      <w:r w:rsidRPr="00F00698">
        <w:rPr>
          <w:rFonts w:asciiTheme="minorHAnsi" w:hAnsiTheme="minorHAnsi" w:cs="Arial"/>
          <w:color w:val="000000" w:themeColor="text1"/>
          <w:sz w:val="20"/>
          <w:szCs w:val="20"/>
        </w:rPr>
        <w:t>7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advises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government on the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levels of emissions to deliver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legally binding milestones.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must be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“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deliverable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”;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however,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it is not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n implementation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plan.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CB7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over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three quarters of the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required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emissions reductions are from demand-led sectors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placing more burden on consumers and more focus on costs. Previous carbon budgets have been dominated by improvements in energy supply.</w:t>
      </w:r>
    </w:p>
    <w:p w:rsidR="001B78D9" w:rsidRPr="00CF56FA" w:rsidP="1D278B9D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We acknowledge the challenging role the CCC undertake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, especially given the modelling bounds they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must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work within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With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our experience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of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the energy system and consumer behaviour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we have concerns about the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CCC’s assumptions and the deliverability of the proposed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balanced pathway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:rsidR="001B78D9" w:rsidRPr="00CF56FA" w:rsidP="5A0EFA8E">
      <w:pPr>
        <w:pStyle w:val="NormalWeb"/>
        <w:numPr>
          <w:ilvl w:val="1"/>
          <w:numId w:val="12"/>
        </w:numPr>
        <w:shd w:val="clear" w:color="auto" w:fill="FFFFFF" w:themeFill="background1"/>
        <w:tabs>
          <w:tab w:val="num" w:pos="720"/>
          <w:tab w:val="clear" w:pos="1080"/>
        </w:tabs>
        <w:spacing w:before="0" w:beforeAutospacing="0" w:after="225" w:afterAutospacing="0" w:line="259" w:lineRule="auto"/>
        <w:ind w:left="360"/>
        <w:jc w:val="both"/>
        <w:rPr>
          <w:rFonts w:asciiTheme="minorHAnsi" w:hAnsiTheme="minorHAnsi" w:cs="Arial"/>
          <w:color w:val="000000" w:themeColor="text1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Heat pumps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–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CB7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state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that by 2030 450,000 heat pumps will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need installing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annually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increasing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1.5million by 2035.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These numbers are significantly different from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CB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6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’s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600,000 and 910,000 respectively. Regardless of the target,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uptake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nowhere near this rate,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with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only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60,000 installations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in 2023.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ubsidy has unlocked some demand for heat pumps with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installation numbers rising, though this seem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ed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to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stall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between 2024 Q4 and 2025 Q1. </w:t>
      </w:r>
    </w:p>
    <w:p w:rsidR="001B78D9" w:rsidRPr="00CF56FA" w:rsidP="636B9A51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vidence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shows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consumers are not moving to heat pumps at the rate required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2"/>
      </w:r>
      <w:r w:rsidRPr="5A0EFA8E">
        <w:rPr>
          <w:rFonts w:asciiTheme="minorHAnsi" w:hAnsiTheme="minorHAnsi" w:cs="Arial"/>
          <w:color w:val="000000" w:themeColor="text1"/>
          <w:sz w:val="20"/>
          <w:szCs w:val="20"/>
          <w:vertAlign w:val="superscript"/>
        </w:rPr>
        <w:t>,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3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he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barriers to heat pump installation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includ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upfront cost, technical constraints and disruption.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Additionally,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there are not enough skilled engineers to install heat pumps at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pace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4"/>
      </w:r>
      <w:r w:rsidRPr="5A0EFA8E">
        <w:rPr>
          <w:rFonts w:asciiTheme="minorHAnsi" w:hAnsiTheme="minorHAnsi" w:cs="Arial"/>
          <w:color w:val="000000" w:themeColor="text1"/>
          <w:sz w:val="20"/>
          <w:szCs w:val="20"/>
          <w:vertAlign w:val="superscript"/>
        </w:rPr>
        <w:t>,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5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he focus on heat pumps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for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domestic heat is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proving to be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un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deliverable.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We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encourage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support for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a broad range of home heating solutions to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maximise consumer choice and ensure the most efficient solution for each property. </w:t>
      </w:r>
    </w:p>
    <w:p w:rsidR="001B78D9" w:rsidRPr="00CF56FA" w:rsidP="636B9A51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11TWh of biomethane capacity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connected to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network is equivalent to the heating demand of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~1million households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which is significantly greater than those heated by heat pumps. Despite this,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green gas solutions do not feature in CB7 when it comes to heat decarbonisation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 W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encourage support for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:</w:t>
      </w:r>
    </w:p>
    <w:p w:rsidR="001B78D9" w:rsidRPr="00CF56FA" w:rsidP="636B9A51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H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ybrid heat pumps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–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reduce gas demand and emissions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significantly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6"/>
      </w:r>
      <w:r w:rsidRPr="5A0EFA8E">
        <w:rPr>
          <w:rFonts w:asciiTheme="minorHAnsi" w:hAnsiTheme="minorHAnsi" w:cs="Arial"/>
          <w:color w:val="000000" w:themeColor="text1"/>
          <w:sz w:val="20"/>
          <w:szCs w:val="20"/>
          <w:vertAlign w:val="superscript"/>
        </w:rPr>
        <w:t>,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7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Hybrids use electricity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most of the tim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e, with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gas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to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backup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during the coldest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parts of the year when the electricity network is likely to be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stretched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and the performance of the heat pump is lowest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R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esidual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gas consumption can be carbon neutral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(even negative)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if the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gas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in the network is green.</w:t>
      </w:r>
      <w:r w:rsidRPr="636B9A51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sz w:val="20"/>
          <w:szCs w:val="20"/>
        </w:rPr>
        <w:t xml:space="preserve">Hybrid heat solutions can be significantly cheaper </w:t>
      </w:r>
      <w:r w:rsidRPr="326CD09E">
        <w:rPr>
          <w:rFonts w:asciiTheme="minorHAnsi" w:hAnsiTheme="minorHAnsi" w:cs="Arial"/>
          <w:sz w:val="20"/>
          <w:szCs w:val="20"/>
        </w:rPr>
        <w:t>and less disruptive</w:t>
      </w:r>
      <w:r w:rsidRPr="326CD09E">
        <w:rPr>
          <w:rFonts w:asciiTheme="minorHAnsi" w:hAnsiTheme="minorHAnsi" w:cs="Arial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sz w:val="20"/>
          <w:szCs w:val="20"/>
        </w:rPr>
        <w:t xml:space="preserve">to install </w:t>
      </w:r>
      <w:r w:rsidRPr="326CD09E">
        <w:rPr>
          <w:rFonts w:asciiTheme="minorHAnsi" w:hAnsiTheme="minorHAnsi" w:cs="Arial"/>
          <w:sz w:val="20"/>
          <w:szCs w:val="20"/>
        </w:rPr>
        <w:t>as well as save consumers money on bills</w:t>
      </w:r>
      <w:r>
        <w:rPr>
          <w:rFonts w:asciiTheme="minorHAnsi" w:hAnsiTheme="minorHAnsi" w:cs="Arial"/>
          <w:sz w:val="20"/>
          <w:szCs w:val="20"/>
        </w:rPr>
        <w:t xml:space="preserve">, as evidenced by a recent trial in the Netherlands which found that, on average, households could save </w:t>
      </w:r>
      <w:r w:rsidRPr="003F22B7">
        <w:rPr>
          <w:rFonts w:asciiTheme="minorHAnsi" w:hAnsiTheme="minorHAnsi" w:cs="Arial"/>
          <w:sz w:val="20"/>
          <w:szCs w:val="20"/>
        </w:rPr>
        <w:t>€</w:t>
      </w:r>
      <w:r>
        <w:rPr>
          <w:rFonts w:asciiTheme="minorHAnsi" w:hAnsiTheme="minorHAnsi" w:cs="Arial"/>
          <w:sz w:val="20"/>
          <w:szCs w:val="20"/>
        </w:rPr>
        <w:t>1000 a year in running costs from a hybrid compared to a gas boiler</w:t>
      </w:r>
      <w:r>
        <w:rPr>
          <w:rStyle w:val="FootnoteReference"/>
          <w:rFonts w:asciiTheme="minorHAnsi" w:hAnsiTheme="minorHAnsi" w:cs="Arial"/>
          <w:sz w:val="20"/>
          <w:szCs w:val="20"/>
        </w:rPr>
        <w:footnoteReference w:id="8"/>
      </w:r>
      <w:r>
        <w:rPr>
          <w:rFonts w:asciiTheme="minorHAnsi" w:hAnsiTheme="minorHAnsi" w:cs="Arial"/>
          <w:sz w:val="20"/>
          <w:szCs w:val="20"/>
        </w:rPr>
        <w:t>.</w:t>
      </w:r>
      <w:r w:rsidRPr="326CD09E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Hybrids encourage</w:t>
      </w:r>
      <w:r w:rsidRPr="636B9A51">
        <w:rPr>
          <w:rFonts w:asciiTheme="minorHAnsi" w:hAnsiTheme="minorHAnsi" w:cs="Arial"/>
          <w:sz w:val="20"/>
          <w:szCs w:val="20"/>
          <w:lang w:val="en-US"/>
        </w:rPr>
        <w:t xml:space="preserve"> a gradual transition to fully electric heat pumps as they allow consumers to become familiar with the technology</w:t>
      </w:r>
      <w:r w:rsidRPr="636B9A51">
        <w:rPr>
          <w:rFonts w:asciiTheme="minorHAnsi" w:hAnsiTheme="minorHAnsi" w:cs="Arial"/>
          <w:sz w:val="20"/>
          <w:szCs w:val="20"/>
          <w:lang w:val="en-US"/>
        </w:rPr>
        <w:t xml:space="preserve">, </w:t>
      </w:r>
      <w:r w:rsidRPr="636B9A51">
        <w:rPr>
          <w:rFonts w:asciiTheme="minorHAnsi" w:hAnsiTheme="minorHAnsi" w:cs="Arial"/>
          <w:sz w:val="20"/>
          <w:szCs w:val="20"/>
          <w:lang w:val="en-US"/>
        </w:rPr>
        <w:t>build</w:t>
      </w:r>
      <w:r w:rsidRPr="636B9A51">
        <w:rPr>
          <w:rFonts w:asciiTheme="minorHAnsi" w:hAnsiTheme="minorHAnsi" w:cs="Arial"/>
          <w:sz w:val="20"/>
          <w:szCs w:val="20"/>
          <w:lang w:val="en-US"/>
        </w:rPr>
        <w:t>ing</w:t>
      </w:r>
      <w:r w:rsidRPr="636B9A51">
        <w:rPr>
          <w:rFonts w:asciiTheme="minorHAnsi" w:hAnsiTheme="minorHAnsi" w:cs="Arial"/>
          <w:sz w:val="20"/>
          <w:szCs w:val="20"/>
          <w:lang w:val="en-US"/>
        </w:rPr>
        <w:t xml:space="preserve"> consumer confidence.</w:t>
      </w:r>
    </w:p>
    <w:p w:rsidR="001B78D9" w:rsidRPr="00CF56FA" w:rsidP="636B9A51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Policy 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incentiv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e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–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for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more green gases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biomethane and hydrogen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the existing gas network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 More green gases would reduce emissions associated with gas consumption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hav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 compounding positive benefit to net zero.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 biomethane sector is well placed for rapid expansion which could reduce emissions sooner than waiting for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electricity upgrades.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Policy support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could include recognising biomethane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at as a net zero fuel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 the U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K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Emissions Trading Scheme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when injected into the gas grid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and moving more quickly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to deliver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hydrogen blending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:rsidR="001B78D9" w:rsidRPr="00CF56FA" w:rsidP="27DEC970">
      <w:pPr>
        <w:pStyle w:val="NormalWeb"/>
        <w:numPr>
          <w:ilvl w:val="1"/>
          <w:numId w:val="12"/>
        </w:numPr>
        <w:shd w:val="clear" w:color="auto" w:fill="FFFFFF" w:themeFill="background1"/>
        <w:tabs>
          <w:tab w:val="num" w:pos="720"/>
          <w:tab w:val="clear" w:pos="1080"/>
        </w:tabs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Behaviour change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–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 CCC place significant expectations on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demand-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side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measures and consumer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practices such as moving to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heat pumps and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taking fewer car journeys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 </w:t>
      </w:r>
    </w:p>
    <w:p w:rsidR="001B78D9" w:rsidRPr="00CF56FA" w:rsidP="5A0EFA8E">
      <w:pPr>
        <w:pStyle w:val="NormalWeb"/>
        <w:shd w:val="clear" w:color="auto" w:fill="FFFFFF" w:themeFill="background1"/>
        <w:spacing w:before="0" w:beforeAutospacing="0" w:after="225" w:afterAutospacing="0" w:line="259" w:lineRule="auto"/>
        <w:ind w:left="36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he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evidence of the public’s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willingness to change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is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sufficient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to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include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this a realistic component of a deliverable pathway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Behaviour change is unlikely to be motivated if the payback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only realised in 2040. Most consumers are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only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incentivised to change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when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pay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back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is </w:t>
      </w:r>
      <w:r w:rsidRPr="66C0521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much 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quicker</w:t>
      </w:r>
      <w:r>
        <w:rPr>
          <w:rStyle w:val="FootnoteReference"/>
          <w:rFonts w:asciiTheme="minorHAnsi" w:eastAsiaTheme="minorEastAsia" w:hAnsiTheme="minorHAnsi" w:cstheme="minorBidi"/>
          <w:color w:val="000000" w:themeColor="text1"/>
          <w:sz w:val="20"/>
          <w:szCs w:val="20"/>
        </w:rPr>
        <w:footnoteReference w:id="9"/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onsumers want choice when it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comes to decisions around their home heating solutions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10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The CCC have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no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 factor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this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in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-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an oversight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that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could risk the deliverability of CB7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and net zero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We encourage the use of policy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which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builds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trust and participation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e.g.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broadening the Boiler Upgrade Scheme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(BUS)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to include hybrid heat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ing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and supporting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more biomethane injection into the grid.</w:t>
      </w:r>
    </w:p>
    <w:p w:rsidR="001B78D9" w:rsidRPr="00CF56FA" w:rsidP="5A0EFA8E">
      <w:pPr>
        <w:pStyle w:val="NormalWeb"/>
        <w:numPr>
          <w:ilvl w:val="1"/>
          <w:numId w:val="12"/>
        </w:numPr>
        <w:shd w:val="clear" w:color="auto" w:fill="FFFFFF" w:themeFill="background1"/>
        <w:tabs>
          <w:tab w:val="num" w:pos="720"/>
          <w:tab w:val="clear" w:pos="1080"/>
        </w:tabs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Peak Heat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–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According to the CCC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by 2040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66% of emissions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reductions will come from low carbon heating. </w:t>
      </w:r>
    </w:p>
    <w:p w:rsidR="001B78D9" w:rsidRPr="00CF56FA" w:rsidP="5A0EFA8E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are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concern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that the CCC ha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not modelled a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peak year for heat demand, only an average year.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If more homes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electrify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heating th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ese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will put greater strain on the electricity system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 making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it more susceptible to the impacts of extreme weather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renewable supply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fluctuations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and high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consumer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demand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periods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as networks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are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designed to maintain supply up to a 1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-in-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20 peak demand day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–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estimated coldest year in a 20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-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year period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The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electricity system isn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 designed to this standard meaning there are risks to security of supply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on the coldest days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if this isn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 addressed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As more heat is electrified this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highlights the need for green gas to be used as a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backup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to ensure that if renewables are unavailable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electricity can be produced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from gas.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</w:p>
    <w:p w:rsidR="001B78D9" w:rsidRPr="00CF56FA" w:rsidP="636B9A51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636B9A51">
        <w:rPr>
          <w:rFonts w:asciiTheme="minorHAnsi" w:hAnsiTheme="minorHAnsi" w:cs="Arial"/>
          <w:color w:val="000000"/>
          <w:sz w:val="20"/>
          <w:szCs w:val="20"/>
        </w:rPr>
        <w:t>Newcastle University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/>
          <w:sz w:val="20"/>
          <w:szCs w:val="20"/>
        </w:rPr>
        <w:t>was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commissioned by the CCC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to model the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resilience of the future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energy system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. We are concerned that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a “simple bucket model” is referred to when discussing meeting peak heat demand which we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would argue needs significant integration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to stress test this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concept</w:t>
      </w:r>
      <w:r>
        <w:rPr>
          <w:rStyle w:val="FootnoteReference"/>
          <w:rFonts w:asciiTheme="minorHAnsi" w:hAnsiTheme="minorHAnsi" w:cs="Arial"/>
          <w:color w:val="000000"/>
          <w:sz w:val="20"/>
          <w:szCs w:val="20"/>
        </w:rPr>
        <w:footnoteReference w:id="11"/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Additionally, the</w:t>
      </w:r>
      <w:r>
        <w:rPr>
          <w:rFonts w:asciiTheme="minorHAnsi" w:hAnsiTheme="minorHAnsi" w:cs="Arial"/>
          <w:color w:val="000000"/>
          <w:sz w:val="20"/>
          <w:szCs w:val="20"/>
        </w:rPr>
        <w:t>ir report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states the need for very high amounts of energy storage which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can’t feasibl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y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be met by any other means than a gaseous fuel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(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40 – 60 TWh hydrogen storage)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. T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hey state that investment in hydrogen storage should begin straight away. This is not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used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in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CB7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(only 5-9TWh of hydrogen storage is accounted for)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and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causes a risk as the assumption that peak heat can be delivered by electrification alone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without investment in other energy vectors or storage solutions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is flawed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T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o support resilient</w:t>
      </w:r>
      <w:r w:rsidRPr="326CD09E">
        <w:rPr>
          <w:rFonts w:asciiTheme="minorHAnsi" w:hAnsiTheme="minorHAnsi" w:cs="Arial"/>
          <w:color w:val="000000"/>
          <w:sz w:val="20"/>
          <w:szCs w:val="20"/>
        </w:rPr>
        <w:t>,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secure energy supply to meet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consumer needs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across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a broad range of demand scenarios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,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significant investment in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hydrogen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>and gas storage is required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urgently</w:t>
      </w:r>
      <w:r w:rsidRPr="636B9A51">
        <w:rPr>
          <w:rFonts w:asciiTheme="minorHAnsi" w:hAnsiTheme="minorHAnsi" w:cs="Arial"/>
          <w:color w:val="000000"/>
          <w:sz w:val="20"/>
          <w:szCs w:val="20"/>
        </w:rPr>
        <w:t xml:space="preserve">. </w:t>
      </w:r>
    </w:p>
    <w:p w:rsidR="001B78D9" w:rsidRPr="00CF56FA" w:rsidP="5A0EFA8E">
      <w:pPr>
        <w:pStyle w:val="NormalWeb"/>
        <w:numPr>
          <w:ilvl w:val="1"/>
          <w:numId w:val="12"/>
        </w:numPr>
        <w:shd w:val="clear" w:color="auto" w:fill="FFFFFF" w:themeFill="background1"/>
        <w:tabs>
          <w:tab w:val="num" w:pos="720"/>
          <w:tab w:val="clear" w:pos="1080"/>
        </w:tabs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Incomplete 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cost assessment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–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The CCC provide limited cost information and comparison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for their balance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pathway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</w:p>
    <w:p w:rsidR="001B78D9" w:rsidP="27DEC970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he CCC ha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n’t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taken account of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full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costs of electrification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(including transmission and distribution network costs)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or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gas network decommissioning. They refer to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Arup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’s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study done for the 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ational Infrastructure Commission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12"/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which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underestimates </w:t>
      </w:r>
      <w:r w:rsidRPr="66C0521D">
        <w:rPr>
          <w:rFonts w:asciiTheme="minorHAnsi" w:hAnsiTheme="minorHAnsi" w:cs="Arial"/>
          <w:color w:val="000000" w:themeColor="text1"/>
          <w:sz w:val="20"/>
          <w:szCs w:val="20"/>
        </w:rPr>
        <w:t>decomm</w:t>
      </w:r>
      <w:r w:rsidRPr="66C0521D">
        <w:rPr>
          <w:rFonts w:asciiTheme="minorHAnsi" w:hAnsiTheme="minorHAnsi" w:cs="Arial"/>
          <w:color w:val="000000" w:themeColor="text1"/>
          <w:sz w:val="20"/>
          <w:szCs w:val="20"/>
        </w:rPr>
        <w:t xml:space="preserve">issioning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cost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ecomm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issioning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was considered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based on hydrogen uptake scenarios and made broad assumptions about network requirements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 The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CCC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do not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account for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decommissioning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in CB7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at all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as they say it will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happen after the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budget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period.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This is misleading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C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onsumers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will pay for accelerated asset depreciation in the run up to 2050,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should decommissioning be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needed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</w:p>
    <w:p w:rsidR="001B78D9" w:rsidP="636B9A51">
      <w:pPr>
        <w:pStyle w:val="NormalWeb"/>
        <w:shd w:val="clear" w:color="auto" w:fill="FFFFFF" w:themeFill="background1"/>
        <w:spacing w:before="0" w:beforeAutospacing="0" w:after="225" w:afterAutospacing="0"/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 CCC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do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n’t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recognise the benefits and costs savings associated with repurposing the gas network 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using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it with green gases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. 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heir budget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focuses on a limited range of decarbonisation options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prioritising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electrification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The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assumptions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made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in favour of electrification which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are not fully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substantiated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include:</w:t>
      </w:r>
    </w:p>
    <w:p w:rsidR="001B78D9" w:rsidP="636B9A51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E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lectricity costs will 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reduce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over time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 recent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ESNZ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6D0EF5">
        <w:rPr>
          <w:rFonts w:asciiTheme="minorHAnsi" w:hAnsiTheme="minorHAnsi" w:cs="Arial"/>
          <w:color w:val="000000" w:themeColor="text1"/>
          <w:sz w:val="20"/>
          <w:szCs w:val="20"/>
        </w:rPr>
        <w:t xml:space="preserve">Select </w:t>
      </w:r>
      <w:r w:rsidRPr="006D0EF5">
        <w:rPr>
          <w:rFonts w:asciiTheme="minorHAnsi" w:hAnsiTheme="minorHAnsi" w:cs="Arial"/>
          <w:color w:val="000000" w:themeColor="text1"/>
          <w:sz w:val="20"/>
          <w:szCs w:val="20"/>
        </w:rPr>
        <w:t>Committee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evidence session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energy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suppliers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outlined that electricity costs were expected to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increase markedly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, even if wholesale electricity </w:t>
      </w:r>
      <w:r w:rsidRPr="66C0521D">
        <w:rPr>
          <w:rFonts w:asciiTheme="minorHAnsi" w:hAnsiTheme="minorHAnsi" w:cs="Arial"/>
          <w:color w:val="000000" w:themeColor="text1"/>
          <w:sz w:val="20"/>
          <w:szCs w:val="20"/>
        </w:rPr>
        <w:t xml:space="preserve">price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reduces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13"/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I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nvestment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needs in the electricity network are significant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 T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he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re is no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reason to think that electricity prices will fall in the near term (or even beyond that).</w:t>
      </w:r>
    </w:p>
    <w:p w:rsidR="001B78D9" w:rsidRPr="00C83284" w:rsidP="1D278B9D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sz w:val="20"/>
          <w:szCs w:val="20"/>
        </w:rPr>
        <w:t>H</w:t>
      </w:r>
      <w:r w:rsidRPr="5A0EFA8E">
        <w:rPr>
          <w:rFonts w:asciiTheme="minorHAnsi" w:hAnsiTheme="minorHAnsi" w:cs="Arial"/>
          <w:b/>
          <w:bCs/>
          <w:sz w:val="20"/>
          <w:szCs w:val="20"/>
        </w:rPr>
        <w:t>eat pumps</w:t>
      </w:r>
      <w:r w:rsidRPr="5A0EFA8E">
        <w:rPr>
          <w:rFonts w:asciiTheme="minorHAnsi" w:hAnsiTheme="minorHAnsi" w:cs="Arial"/>
          <w:b/>
          <w:bCs/>
          <w:sz w:val="20"/>
          <w:szCs w:val="20"/>
        </w:rPr>
        <w:t xml:space="preserve"> costs</w:t>
      </w:r>
      <w:r w:rsidRPr="636B9A51">
        <w:rPr>
          <w:rFonts w:asciiTheme="minorHAnsi" w:hAnsiTheme="minorHAnsi" w:cs="Arial"/>
          <w:sz w:val="20"/>
          <w:szCs w:val="20"/>
        </w:rPr>
        <w:t xml:space="preserve"> exclude ancillary </w:t>
      </w:r>
      <w:r w:rsidRPr="326CD09E">
        <w:rPr>
          <w:rFonts w:asciiTheme="minorHAnsi" w:hAnsiTheme="minorHAnsi" w:cs="Arial"/>
          <w:sz w:val="20"/>
          <w:szCs w:val="20"/>
        </w:rPr>
        <w:t xml:space="preserve">consumer </w:t>
      </w:r>
      <w:r w:rsidRPr="326CD09E">
        <w:rPr>
          <w:rFonts w:asciiTheme="minorHAnsi" w:hAnsiTheme="minorHAnsi" w:cs="Arial"/>
          <w:sz w:val="20"/>
          <w:szCs w:val="20"/>
        </w:rPr>
        <w:t>costs</w:t>
      </w:r>
      <w:r w:rsidRPr="636B9A51">
        <w:rPr>
          <w:rFonts w:asciiTheme="minorHAnsi" w:hAnsiTheme="minorHAnsi" w:cs="Arial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sz w:val="20"/>
          <w:szCs w:val="20"/>
        </w:rPr>
        <w:t>for home upgrades</w:t>
      </w:r>
      <w:r w:rsidRPr="636B9A51">
        <w:rPr>
          <w:rFonts w:asciiTheme="minorHAnsi" w:hAnsiTheme="minorHAnsi" w:cs="Arial"/>
          <w:sz w:val="20"/>
          <w:szCs w:val="20"/>
        </w:rPr>
        <w:t xml:space="preserve"> and assum</w:t>
      </w:r>
      <w:r w:rsidRPr="636B9A51">
        <w:rPr>
          <w:rFonts w:asciiTheme="minorHAnsi" w:hAnsiTheme="minorHAnsi" w:cs="Arial"/>
          <w:sz w:val="20"/>
          <w:szCs w:val="20"/>
        </w:rPr>
        <w:t>ptions</w:t>
      </w:r>
      <w:r w:rsidRPr="636B9A51">
        <w:rPr>
          <w:rFonts w:asciiTheme="minorHAnsi" w:hAnsiTheme="minorHAnsi" w:cs="Arial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sz w:val="20"/>
          <w:szCs w:val="20"/>
        </w:rPr>
        <w:t xml:space="preserve">that the costs of heat pumps will </w:t>
      </w:r>
      <w:r w:rsidRPr="636B9A51">
        <w:rPr>
          <w:rFonts w:asciiTheme="minorHAnsi" w:hAnsiTheme="minorHAnsi" w:cs="Arial"/>
          <w:sz w:val="20"/>
          <w:szCs w:val="20"/>
        </w:rPr>
        <w:t>reduce</w:t>
      </w:r>
      <w:r w:rsidRPr="636B9A51">
        <w:rPr>
          <w:rFonts w:asciiTheme="minorHAnsi" w:hAnsiTheme="minorHAnsi" w:cs="Arial"/>
          <w:sz w:val="20"/>
          <w:szCs w:val="20"/>
        </w:rPr>
        <w:t xml:space="preserve"> is not being seen</w:t>
      </w:r>
      <w:r>
        <w:rPr>
          <w:rStyle w:val="FootnoteReference"/>
          <w:rFonts w:asciiTheme="minorHAnsi" w:hAnsiTheme="minorHAnsi" w:cs="Arial"/>
          <w:sz w:val="20"/>
          <w:szCs w:val="20"/>
        </w:rPr>
        <w:footnoteReference w:id="14"/>
      </w:r>
      <w:r w:rsidRPr="5A0EFA8E">
        <w:rPr>
          <w:rFonts w:asciiTheme="minorHAnsi" w:hAnsiTheme="minorHAnsi" w:cs="Arial"/>
          <w:sz w:val="20"/>
          <w:szCs w:val="20"/>
          <w:vertAlign w:val="superscript"/>
        </w:rPr>
        <w:t>,</w:t>
      </w:r>
      <w:r>
        <w:rPr>
          <w:rStyle w:val="FootnoteReference"/>
          <w:rFonts w:asciiTheme="minorHAnsi" w:hAnsiTheme="minorHAnsi" w:cs="Arial"/>
          <w:sz w:val="20"/>
          <w:szCs w:val="20"/>
        </w:rPr>
        <w:footnoteReference w:id="15"/>
      </w:r>
      <w:r w:rsidRPr="5A0EFA8E">
        <w:rPr>
          <w:rFonts w:asciiTheme="minorHAnsi" w:hAnsiTheme="minorHAnsi" w:cs="Arial"/>
          <w:sz w:val="20"/>
          <w:szCs w:val="20"/>
          <w:vertAlign w:val="subscript"/>
        </w:rPr>
        <w:t>.</w:t>
      </w:r>
      <w:r w:rsidRPr="636B9A51">
        <w:rPr>
          <w:rFonts w:asciiTheme="minorHAnsi" w:hAnsiTheme="minorHAnsi" w:cs="Arial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sz w:val="20"/>
          <w:szCs w:val="20"/>
        </w:rPr>
        <w:t xml:space="preserve">Installation costs are around £13,000 per property </w:t>
      </w:r>
      <w:r w:rsidRPr="636B9A51">
        <w:rPr>
          <w:rFonts w:asciiTheme="minorHAnsi" w:hAnsiTheme="minorHAnsi" w:cs="Arial"/>
          <w:sz w:val="20"/>
          <w:szCs w:val="20"/>
        </w:rPr>
        <w:t>currently</w:t>
      </w:r>
      <w:r w:rsidRPr="636B9A51">
        <w:rPr>
          <w:rFonts w:asciiTheme="minorHAnsi" w:hAnsiTheme="minorHAnsi" w:cs="Arial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sz w:val="20"/>
          <w:szCs w:val="20"/>
        </w:rPr>
        <w:t>I</w:t>
      </w:r>
      <w:r w:rsidRPr="636B9A51">
        <w:rPr>
          <w:rFonts w:asciiTheme="minorHAnsi" w:hAnsiTheme="minorHAnsi" w:cs="Arial"/>
          <w:sz w:val="20"/>
          <w:szCs w:val="20"/>
        </w:rPr>
        <w:t xml:space="preserve">n 2023 in addition to the £7,500 subsidy </w:t>
      </w:r>
      <w:r w:rsidRPr="636B9A51">
        <w:rPr>
          <w:rFonts w:asciiTheme="minorHAnsi" w:hAnsiTheme="minorHAnsi" w:cs="Arial"/>
          <w:sz w:val="20"/>
          <w:szCs w:val="20"/>
        </w:rPr>
        <w:t>British Gas</w:t>
      </w:r>
      <w:r w:rsidRPr="636B9A51">
        <w:rPr>
          <w:rFonts w:asciiTheme="minorHAnsi" w:hAnsiTheme="minorHAnsi" w:cs="Arial"/>
          <w:sz w:val="20"/>
          <w:szCs w:val="20"/>
        </w:rPr>
        <w:t xml:space="preserve"> customers </w:t>
      </w:r>
      <w:r w:rsidRPr="636B9A51">
        <w:rPr>
          <w:rFonts w:asciiTheme="minorHAnsi" w:hAnsiTheme="minorHAnsi" w:cs="Arial"/>
          <w:sz w:val="20"/>
          <w:szCs w:val="20"/>
        </w:rPr>
        <w:t xml:space="preserve">paid </w:t>
      </w:r>
      <w:r w:rsidRPr="636B9A51">
        <w:rPr>
          <w:rFonts w:asciiTheme="minorHAnsi" w:hAnsiTheme="minorHAnsi" w:cs="Arial"/>
          <w:sz w:val="20"/>
          <w:szCs w:val="20"/>
        </w:rPr>
        <w:t xml:space="preserve">an additional £5,690 </w:t>
      </w:r>
      <w:r w:rsidRPr="326CD09E">
        <w:rPr>
          <w:rFonts w:asciiTheme="minorHAnsi" w:hAnsiTheme="minorHAnsi" w:cs="Arial"/>
          <w:sz w:val="20"/>
          <w:szCs w:val="20"/>
        </w:rPr>
        <w:t>per</w:t>
      </w:r>
      <w:r w:rsidRPr="636B9A51">
        <w:rPr>
          <w:rFonts w:asciiTheme="minorHAnsi" w:hAnsiTheme="minorHAnsi" w:cs="Arial"/>
          <w:sz w:val="20"/>
          <w:szCs w:val="20"/>
        </w:rPr>
        <w:t xml:space="preserve"> installation</w:t>
      </w:r>
      <w:r>
        <w:rPr>
          <w:rStyle w:val="FootnoteReference"/>
          <w:rFonts w:asciiTheme="minorHAnsi" w:hAnsiTheme="minorHAnsi" w:cs="Arial"/>
          <w:sz w:val="20"/>
          <w:szCs w:val="20"/>
        </w:rPr>
        <w:footnoteReference w:id="16"/>
      </w:r>
      <w:r w:rsidRPr="5A0EFA8E">
        <w:rPr>
          <w:rFonts w:asciiTheme="minorHAnsi" w:hAnsiTheme="minorHAnsi" w:cs="Arial"/>
          <w:sz w:val="20"/>
          <w:szCs w:val="20"/>
        </w:rPr>
        <w:t xml:space="preserve">. </w:t>
      </w:r>
    </w:p>
    <w:p w:rsidR="001B78D9" w:rsidP="5A0EFA8E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5A0EFA8E">
        <w:rPr>
          <w:rFonts w:asciiTheme="minorHAnsi" w:hAnsiTheme="minorHAnsi" w:cs="Arial"/>
          <w:sz w:val="20"/>
          <w:szCs w:val="20"/>
        </w:rPr>
        <w:t xml:space="preserve">Electricity network </w:t>
      </w:r>
      <w:r w:rsidRPr="5A0EFA8E">
        <w:rPr>
          <w:rFonts w:asciiTheme="minorHAnsi" w:hAnsiTheme="minorHAnsi" w:cs="Arial"/>
          <w:b/>
          <w:bCs/>
          <w:sz w:val="20"/>
          <w:szCs w:val="20"/>
        </w:rPr>
        <w:t xml:space="preserve">costs are </w:t>
      </w:r>
      <w:r w:rsidRPr="5A0EFA8E">
        <w:rPr>
          <w:rFonts w:asciiTheme="minorHAnsi" w:hAnsiTheme="minorHAnsi" w:cs="Arial"/>
          <w:b/>
          <w:bCs/>
          <w:sz w:val="20"/>
          <w:szCs w:val="20"/>
        </w:rPr>
        <w:t>not transparent and consistent</w:t>
      </w:r>
      <w:r w:rsidRPr="5A0EFA8E">
        <w:rPr>
          <w:rFonts w:asciiTheme="minorHAnsi" w:hAnsiTheme="minorHAnsi" w:cs="Arial"/>
          <w:sz w:val="20"/>
          <w:szCs w:val="20"/>
        </w:rPr>
        <w:t xml:space="preserve"> with previous carbon budgets. 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In CB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6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, network costs were a</w:t>
      </w:r>
      <w:r w:rsidRPr="5A0EFA8E">
        <w:rPr>
          <w:rFonts w:asciiTheme="minorHAnsi" w:hAnsiTheme="minorHAnsi" w:cs="Arial"/>
          <w:sz w:val="20"/>
          <w:szCs w:val="20"/>
          <w:lang w:val="en-US"/>
        </w:rPr>
        <w:t xml:space="preserve"> £162 billion</w:t>
      </w:r>
      <w:r w:rsidRPr="5A0EFA8E">
        <w:rPr>
          <w:rFonts w:asciiTheme="minorHAnsi" w:hAnsiTheme="minorHAnsi" w:cs="Arial"/>
          <w:sz w:val="20"/>
          <w:szCs w:val="20"/>
          <w:lang w:val="en-US"/>
        </w:rPr>
        <w:t xml:space="preserve"> line item</w:t>
      </w:r>
      <w:r w:rsidRPr="5A0EFA8E">
        <w:rPr>
          <w:rFonts w:asciiTheme="minorHAnsi" w:hAnsiTheme="minorHAnsi" w:cs="Arial"/>
          <w:sz w:val="20"/>
          <w:szCs w:val="20"/>
          <w:lang w:val="en-US"/>
        </w:rPr>
        <w:t xml:space="preserve">. It is now bundled into 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e</w:t>
      </w:r>
      <w:r w:rsidRPr="5A0EFA8E">
        <w:rPr>
          <w:rFonts w:asciiTheme="minorHAnsi" w:hAnsiTheme="minorHAnsi" w:cs="Arial"/>
          <w:sz w:val="20"/>
          <w:szCs w:val="20"/>
          <w:lang w:val="en-US"/>
        </w:rPr>
        <w:t xml:space="preserve">lectricity 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s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upply</w:t>
      </w:r>
      <w:r w:rsidRPr="5A0EFA8E">
        <w:rPr>
          <w:rFonts w:asciiTheme="minorHAnsi" w:hAnsiTheme="minorHAnsi" w:cs="Arial"/>
          <w:sz w:val="20"/>
          <w:szCs w:val="20"/>
          <w:lang w:val="en-US"/>
        </w:rPr>
        <w:t>,</w:t>
      </w:r>
      <w:r w:rsidRPr="5A0EFA8E">
        <w:rPr>
          <w:rFonts w:asciiTheme="minorHAnsi" w:hAnsiTheme="minorHAnsi" w:cs="Arial"/>
          <w:sz w:val="20"/>
          <w:szCs w:val="20"/>
          <w:lang w:val="en-US"/>
        </w:rPr>
        <w:t xml:space="preserve"> this has seen a £108bn reduction vs CB6</w:t>
      </w:r>
      <w:r w:rsidRPr="326CD09E">
        <w:rPr>
          <w:rFonts w:asciiTheme="minorHAnsi" w:hAnsiTheme="minorHAnsi" w:cs="Arial"/>
          <w:sz w:val="20"/>
          <w:szCs w:val="20"/>
          <w:lang w:val="en-US"/>
        </w:rPr>
        <w:t>.</w:t>
      </w:r>
      <w:r w:rsidRPr="326CD09E">
        <w:rPr>
          <w:rFonts w:asciiTheme="minorHAnsi" w:hAnsiTheme="minorHAnsi" w:cs="Arial"/>
          <w:sz w:val="20"/>
          <w:szCs w:val="20"/>
          <w:lang w:val="en-US"/>
        </w:rPr>
        <w:t xml:space="preserve"> Expectations of </w:t>
      </w:r>
      <w:r w:rsidRPr="326CD09E">
        <w:rPr>
          <w:rFonts w:asciiTheme="minorHAnsi" w:hAnsiTheme="minorHAnsi" w:cs="Arial"/>
          <w:sz w:val="20"/>
          <w:szCs w:val="20"/>
          <w:lang w:val="en-US"/>
        </w:rPr>
        <w:t xml:space="preserve">network </w:t>
      </w:r>
      <w:r w:rsidRPr="326CD09E">
        <w:rPr>
          <w:rFonts w:asciiTheme="minorHAnsi" w:hAnsiTheme="minorHAnsi" w:cs="Arial"/>
          <w:sz w:val="20"/>
          <w:szCs w:val="20"/>
          <w:lang w:val="en-US"/>
        </w:rPr>
        <w:t>costs</w:t>
      </w:r>
      <w:r w:rsidRPr="326CD09E">
        <w:rPr>
          <w:rFonts w:asciiTheme="minorHAnsi" w:hAnsiTheme="minorHAnsi" w:cs="Arial"/>
          <w:sz w:val="20"/>
          <w:szCs w:val="20"/>
          <w:lang w:val="en-US"/>
        </w:rPr>
        <w:t xml:space="preserve"> are</w:t>
      </w:r>
      <w:r w:rsidRPr="326CD09E">
        <w:rPr>
          <w:rFonts w:asciiTheme="minorHAnsi" w:hAnsiTheme="minorHAnsi" w:cs="Arial"/>
          <w:sz w:val="20"/>
          <w:szCs w:val="20"/>
          <w:lang w:val="en-US"/>
        </w:rPr>
        <w:t xml:space="preserve"> unclear</w:t>
      </w:r>
      <w:r w:rsidRPr="326CD09E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Recent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studies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show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that gas can be a critical component of a cheaper transition to net zero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17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W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here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an energy system which includes significant amounts of biomethane can </w:t>
      </w:r>
      <w:r w:rsidRPr="00010205">
        <w:rPr>
          <w:rFonts w:asciiTheme="minorHAnsi" w:hAnsiTheme="minorHAnsi" w:cs="Arial"/>
          <w:color w:val="000000" w:themeColor="text1"/>
          <w:sz w:val="20"/>
          <w:szCs w:val="20"/>
        </w:rPr>
        <w:t xml:space="preserve">reduce the costs of delivering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et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z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ero</w:t>
      </w:r>
      <w:r w:rsidRPr="00010205">
        <w:rPr>
          <w:rFonts w:asciiTheme="minorHAnsi" w:hAnsiTheme="minorHAnsi" w:cs="Arial"/>
          <w:color w:val="000000" w:themeColor="text1"/>
          <w:sz w:val="20"/>
          <w:szCs w:val="20"/>
        </w:rPr>
        <w:t xml:space="preserve"> by 10-20%, delivering cumulative savings of £150-220bn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This should be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accounted for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when developing pathways to net zero. </w:t>
      </w:r>
    </w:p>
    <w:p w:rsidR="001B78D9" w:rsidRPr="00CF56FA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1b. Critical interdependencies</w:t>
      </w:r>
    </w:p>
    <w:p w:rsidR="001B78D9" w:rsidRPr="00CF56FA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ith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biomethane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there are critical interdependencies between government departments DESNZ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DEFRA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and DFT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 W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 perceive risks to the delivery of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net zero due to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departments not working together to understand the holistic benefits to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energy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agriculture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and HGV decarbonisation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of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anaerobic digestion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ensure policy and regulation is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aligned.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 w:line="259" w:lineRule="auto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Another critical consideration when comparing net zero solutions is land use and availability.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U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p to 120TWh of biomethane can be produced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sustainably without taking land out of use for food production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18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This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contrasts with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solar which would reduce available land for food as it is permanently taken out of rotation given the nature of solar installations. </w:t>
      </w:r>
    </w:p>
    <w:p w:rsidR="001B78D9" w:rsidP="0000459D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1D278B9D">
        <w:rPr>
          <w:rFonts w:asciiTheme="minorHAnsi" w:hAnsiTheme="minorHAnsi" w:cs="Arial"/>
          <w:color w:val="000000" w:themeColor="text1"/>
          <w:sz w:val="20"/>
          <w:szCs w:val="20"/>
        </w:rPr>
        <w:t>For</w:t>
      </w:r>
      <w:r w:rsidRPr="1D278B9D">
        <w:rPr>
          <w:rFonts w:asciiTheme="minorHAnsi" w:hAnsiTheme="minorHAnsi" w:cs="Arial"/>
          <w:color w:val="000000" w:themeColor="text1"/>
          <w:sz w:val="20"/>
          <w:szCs w:val="20"/>
        </w:rPr>
        <w:t xml:space="preserve"> hydrogen there are risks that DESNZ and the Department of Business and </w:t>
      </w:r>
      <w:r w:rsidRPr="1D278B9D">
        <w:rPr>
          <w:rFonts w:asciiTheme="minorHAnsi" w:hAnsiTheme="minorHAnsi" w:cs="Arial"/>
          <w:color w:val="000000" w:themeColor="text1"/>
          <w:sz w:val="20"/>
          <w:szCs w:val="20"/>
        </w:rPr>
        <w:t>Trade</w:t>
      </w:r>
      <w:r w:rsidRPr="1D278B9D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1D278B9D">
        <w:rPr>
          <w:rFonts w:asciiTheme="minorHAnsi" w:hAnsiTheme="minorHAnsi" w:cs="Arial"/>
          <w:color w:val="000000" w:themeColor="text1"/>
          <w:sz w:val="20"/>
          <w:szCs w:val="20"/>
        </w:rPr>
        <w:t xml:space="preserve">are not joined up enough. The CCC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argue hydrogen will play a limited role in industrial decarbonisation and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should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be focused on specific hard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-to-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abate sectors such as ceramics and limited to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industrial cluste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rs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.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This position 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restricts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industry and risks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decarbonisation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through offshoring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which has already been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documented</w:t>
      </w:r>
      <w:r>
        <w:rPr>
          <w:rStyle w:val="FootnoteReference"/>
          <w:rFonts w:asciiTheme="minorHAnsi" w:eastAsiaTheme="minorEastAsia" w:hAnsiTheme="minorHAnsi" w:cstheme="minorBidi"/>
          <w:color w:val="000000" w:themeColor="text1"/>
          <w:sz w:val="20"/>
          <w:szCs w:val="20"/>
        </w:rPr>
        <w:footnoteReference w:id="19"/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least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50% of industry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operat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outside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of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clusters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any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industrial process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need gaseous fuel.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omething being technically possible to electrify 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does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n’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consider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other aspects of investment decision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-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making when it comes to energy sources. As with domestic consumers, industrial users need to have a choice of energy vector to allow them to make the best decision for the</w:t>
      </w:r>
      <w:r w:rsidRPr="5A0EFA8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ir business. </w:t>
      </w:r>
    </w:p>
    <w:p w:rsidR="001B78D9" w:rsidRPr="0000459D" w:rsidP="5A0EFA8E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2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 Technology choices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We advocate for technology agnostic, diverse energy vector solution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to the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country’s energy needs.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We caution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over reliance the CCC’s pathway has on heat pumps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and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battery vehicles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 technology being proven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doesn’t mean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it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the right solution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for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every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use case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e.g.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20 – 40% homes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are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suitable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for heat pumps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  <w:vertAlign w:val="superscript"/>
        </w:rPr>
        <w:t>3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:rsidR="001B78D9" w:rsidRPr="00CF56FA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The CCC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focus on heat pumps as a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“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proven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”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net zero technology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yet largely ignore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 gas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networks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. Our gas infrastructure is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99.99% reliable and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delivers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energy to 85% of GB’s home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s, with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the ability to transport green gases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such as biomethane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. This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require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no changes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for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consumers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yet is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being overlooked by the CCC with the assumption that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gas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distribution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networks will be decommissioned. 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Government need to blend the CCC’s pathway with what they’re seeing from public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engagement in net zero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and recognise the benefits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the gas network and solutions like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hybrid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heat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can play in reducing emissions today and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through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th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 transition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.</w:t>
      </w:r>
    </w:p>
    <w:p w:rsidR="001B78D9" w:rsidRPr="0000459D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merging technologies will need to be used alongside existing technologies to deliver net zero at the most efficient cost. A technology agnostic approach to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allow industry, business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and consumers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to make the right decisions should be the aim. </w:t>
      </w:r>
    </w:p>
    <w:p w:rsidR="001B78D9" w:rsidRPr="0000459D" w:rsidP="0000459D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2b. Contingency or resilience measures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 w:line="259" w:lineRule="auto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Our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gas transmission and distribution networks are well equipped to support the transitio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As a result of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Iron Mains Risk Reduction P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rogramme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two thirds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of the gas distribution network </w:t>
      </w:r>
      <w:bookmarkStart w:id="0" w:name="_Int_BBsvUNw5"/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has</w:t>
      </w:r>
      <w:bookmarkEnd w:id="0"/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been upgraded to plastic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Additionally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SGN’s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LTS Futures project has shown that steel pipelines are suitable for distributing hydrogen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20"/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Continuing to invest in gas infrastructure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alongside electricity transmission expansion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is critical to ensure availability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of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fully flexible, responsive energy storage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which will deliver resilience and security of supply.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reen gases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can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cut consumers’ carbon footprint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without the need for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behavioural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change,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encourag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acceptance of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net zero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Growing the contribution of green gases to the energy mix also significantly reduces the cost of electricity transmission build out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which would be required in a fully electrified future. This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electricity transmission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infrastructure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would be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unused most of the time meaning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significant asset underutilisation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 bringing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costs and risks. Continuing to use the gas network for gas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transportation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and storage is a much cheaper solution and more reliable in times of low wind and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solar generation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</w:p>
    <w:p w:rsidR="001B78D9" w:rsidRPr="0000459D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We must continue to fund the gas network to ensure safe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reliable transport of energy to homes, businesses and industry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Gases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will be required beyond 2050 to ensure hard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-to-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decarbonise industry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is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n’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offshored and to ensure electricity generation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is possible at times of peak demand and low renewables output. </w:t>
      </w:r>
    </w:p>
    <w:p w:rsidR="001B78D9" w:rsidRPr="0000459D" w:rsidP="5A0EFA8E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3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 Costs, policy choices and economic implications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Net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zero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must be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fair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for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people working in the energy industry and for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all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consumers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Gas networks employ over 17,000 people directly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il and gas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employs 120,000 people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21"/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)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and with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85% of homes heated by gas, making sure people are not forgotten in the transition is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critical.</w:t>
      </w:r>
    </w:p>
    <w:p w:rsidR="001B78D9" w:rsidRPr="00EC10C8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Our suggestions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of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support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are:</w:t>
      </w:r>
    </w:p>
    <w:p w:rsidR="001B78D9" w:rsidRPr="00CF56FA" w:rsidP="5A0EFA8E">
      <w:pPr>
        <w:pStyle w:val="NormalWeb"/>
        <w:numPr>
          <w:ilvl w:val="1"/>
          <w:numId w:val="14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Expand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BUS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to include hybrid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heating solution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– the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hybrid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subsidy could be £2,500 meaning for every electric heat pump you could subsidise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three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hybrids. Hybrid solutions are usually cheaper to install as there are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fewer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changes required to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homeowners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properties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. It would also help more people join the transition earlier saving emissions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sooner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which would have a compounding effect into the future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</w:p>
    <w:p w:rsidR="001B78D9" w:rsidP="5A0EFA8E">
      <w:pPr>
        <w:pStyle w:val="NormalWeb"/>
        <w:numPr>
          <w:ilvl w:val="1"/>
          <w:numId w:val="14"/>
        </w:numPr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Extend the G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reen Gas Support Scheme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beyond 2028 to incentivise production of biomethane which will reduce emissions from gas consumption and support the rural economy with income from additional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crops, reduced fertiliser prices and high skilled jobs on anaerobic digestion facilities. </w:t>
      </w:r>
    </w:p>
    <w:p w:rsidR="001B78D9" w:rsidRPr="0000459D" w:rsidP="0000459D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3b. Costs of inaction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Assuming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widespread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electrification is required to deliver net zero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when the true costs of this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un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known is a significant risk. The costs of decommissioning the gas network have been underestimated as well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which means that the full costs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aren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’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well understood. 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By increasing sustainable biomethane production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and optimising the use of the gas network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it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c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ould save up to £220bn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the transition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including reducing the cost associated with building out 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the electricity network to a standard already delivered by today's gas network</w:t>
      </w:r>
      <w:r w:rsidRPr="1D278B9D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. </w:t>
      </w:r>
    </w:p>
    <w:p w:rsidR="001B78D9" w:rsidRPr="0000459D" w:rsidP="0000459D">
      <w:pPr>
        <w:pStyle w:val="NormalWeb"/>
        <w:shd w:val="clear" w:color="auto" w:fill="FFFFFF" w:themeFill="background1"/>
        <w:spacing w:after="225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4</w:t>
      </w:r>
      <w:r w:rsidRPr="5A0EFA8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 Public engagement</w:t>
      </w:r>
    </w:p>
    <w:p w:rsidR="001B78D9" w:rsidRPr="00BC793B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We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need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a pragmatic approach from government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, supporting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consumers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with education to aid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their understanding of the net zero challenge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and preventing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losing support for the agenda altogether. </w:t>
      </w:r>
    </w:p>
    <w:p w:rsidR="001B78D9" w:rsidRPr="00BC793B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 simple way government could engage the public would be to expand the B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US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to include hybrid heating solutions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326CD09E">
        <w:rPr>
          <w:rFonts w:asciiTheme="minorHAnsi" w:eastAsiaTheme="minorEastAsia" w:hAnsiTheme="minorHAnsi" w:cs="Arial"/>
          <w:color w:val="000000" w:themeColor="text1"/>
          <w:sz w:val="20"/>
          <w:szCs w:val="20"/>
        </w:rPr>
        <w:t xml:space="preserve"> 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promoting 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them 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as an effective decarbonisation measure.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This will mean more people can join the transition sooner. Fully electric heat pumps cost around £13,000 to install 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of which £7,500 is covered by a subsidy from government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  <w:vertAlign w:val="superscript"/>
        </w:rPr>
        <w:footnoteReference w:id="22"/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. Hybrids are cheaper to install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and would only require a £2,500 subsidy meaning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three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households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could be supported for the same price as a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n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electric heat pump, with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60% - 90%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of the emissions savings delivered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. W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i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th green gases such as biomethane, this can be a 100% decarbonisation measure</w:t>
      </w:r>
      <w:r w:rsidRPr="27DEC9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. This would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demonstrate that the energy transition is not only for the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rich and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is attainable for more people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.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Consumer behaviour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tells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us that fully electric heat pumps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ar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en‘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t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desirable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, feasible or affordable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>for</w:t>
      </w:r>
      <w:r w:rsidRPr="326CD09E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a significant proportion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of people. We need to give consumers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decarbonisation choices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>and consider how the homes which are not suitable for heat pumps are going to be decarbonised</w:t>
      </w:r>
      <w:r>
        <w:rPr>
          <w:rStyle w:val="FootnoteReference"/>
          <w:rFonts w:asciiTheme="minorHAnsi" w:hAnsiTheme="minorHAnsi" w:cs="Arial"/>
          <w:color w:val="000000" w:themeColor="text1"/>
          <w:sz w:val="20"/>
          <w:szCs w:val="20"/>
        </w:rPr>
        <w:footnoteReference w:id="23"/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636B9A51">
        <w:rPr>
          <w:rFonts w:asciiTheme="minorHAnsi" w:hAnsiTheme="minorHAnsi" w:cs="Arial"/>
          <w:color w:val="000000" w:themeColor="text1"/>
          <w:sz w:val="20"/>
          <w:szCs w:val="20"/>
        </w:rPr>
        <w:t xml:space="preserve">. </w:t>
      </w:r>
    </w:p>
    <w:p w:rsidR="001B78D9" w:rsidP="5A0EFA8E">
      <w:pPr>
        <w:pStyle w:val="NormalWeb"/>
        <w:shd w:val="clear" w:color="auto" w:fill="FFFFFF" w:themeFill="background1"/>
        <w:spacing w:before="0" w:beforeAutospacing="0" w:after="225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Another way to increase buy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-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in for the transition would be to support green gases and maximise the utilisation of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our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existing world class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gas network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. Utilising assets which have already been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invested in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and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maximising the transport of green gases which require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limited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changes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at the point of use for the consumer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is a clear way to engage people in the journey.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lectrification is necessary in all scenarios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, but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maximising use of the gas network will minimise the build out of 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electricity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transmission network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which requires a large amount of above ground infrastructure which can turn the public against the cause.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U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tilisation of the gas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network to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reduce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expenditure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as part of the transition does not get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enough 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>consideration from government or the CCC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. This</w:t>
      </w:r>
      <w:r w:rsidRPr="5A0EFA8E">
        <w:rPr>
          <w:rFonts w:asciiTheme="minorHAnsi" w:hAnsiTheme="minorHAnsi" w:cs="Arial"/>
          <w:color w:val="000000" w:themeColor="text1"/>
          <w:sz w:val="20"/>
          <w:szCs w:val="20"/>
        </w:rPr>
        <w:t xml:space="preserve"> is a missed opportunity. </w:t>
      </w:r>
    </w:p>
    <w:p w:rsidR="001B78D9" w:rsidRPr="003C0D38" w:rsidP="001127AE">
      <w:pPr>
        <w:jc w:val="both"/>
        <w:rPr>
          <w:rFonts w:eastAsia="Times New Roman" w:cs="Arial"/>
          <w:b/>
          <w:color w:val="000000"/>
          <w:kern w:val="0"/>
          <w:sz w:val="20"/>
          <w:szCs w:val="20"/>
          <w:u w:val="single"/>
          <w:lang w:val="en-US" w:eastAsia="en-GB"/>
        </w:rPr>
      </w:pPr>
      <w:r w:rsidRPr="003C0D38">
        <w:rPr>
          <w:rFonts w:eastAsia="Times New Roman" w:cs="Arial"/>
          <w:b/>
          <w:color w:val="000000"/>
          <w:kern w:val="0"/>
          <w:sz w:val="20"/>
          <w:szCs w:val="20"/>
          <w:u w:val="single"/>
          <w:lang w:val="en-US" w:eastAsia="en-GB"/>
        </w:rPr>
        <w:t>Conclusion</w:t>
      </w:r>
    </w:p>
    <w:p w:rsidR="001B78D9" w:rsidRPr="00CF56FA" w:rsidP="001127AE">
      <w:pPr>
        <w:jc w:val="both"/>
        <w:rPr>
          <w:rFonts w:eastAsia="Times New Roman" w:cs="Arial"/>
          <w:color w:val="000000"/>
          <w:kern w:val="0"/>
          <w:sz w:val="20"/>
          <w:szCs w:val="20"/>
          <w:u w:val="single"/>
          <w:lang w:val="en-US" w:eastAsia="en-GB"/>
        </w:rPr>
      </w:pPr>
    </w:p>
    <w:p w:rsidR="001B78D9" w:rsidRPr="00CF56FA" w:rsidP="3AC0D64E">
      <w:pPr>
        <w:jc w:val="both"/>
        <w:rPr>
          <w:rFonts w:cs="Arial"/>
          <w:sz w:val="20"/>
          <w:szCs w:val="20"/>
          <w:lang w:val="en-US"/>
        </w:rPr>
      </w:pPr>
      <w:r w:rsidRPr="5A0EFA8E">
        <w:rPr>
          <w:rFonts w:cs="Arial"/>
          <w:sz w:val="20"/>
          <w:szCs w:val="20"/>
          <w:lang w:val="en-US"/>
        </w:rPr>
        <w:t xml:space="preserve">FEN </w:t>
      </w:r>
      <w:r w:rsidRPr="5A0EFA8E">
        <w:rPr>
          <w:rFonts w:cs="Arial"/>
          <w:sz w:val="20"/>
          <w:szCs w:val="20"/>
          <w:lang w:val="en-US"/>
        </w:rPr>
        <w:t xml:space="preserve">support the </w:t>
      </w:r>
      <w:r w:rsidRPr="5A0EFA8E">
        <w:rPr>
          <w:rFonts w:cs="Arial"/>
          <w:sz w:val="20"/>
          <w:szCs w:val="20"/>
          <w:lang w:val="en-US"/>
        </w:rPr>
        <w:t xml:space="preserve">transition to net zero and see a significant role for </w:t>
      </w:r>
      <w:r w:rsidRPr="5A0EFA8E">
        <w:rPr>
          <w:rFonts w:cs="Arial"/>
          <w:sz w:val="20"/>
          <w:szCs w:val="20"/>
          <w:lang w:val="en-US"/>
        </w:rPr>
        <w:t>the gas networks</w:t>
      </w:r>
      <w:r w:rsidRPr="5A0EFA8E">
        <w:rPr>
          <w:rFonts w:cs="Arial"/>
          <w:sz w:val="20"/>
          <w:szCs w:val="20"/>
          <w:lang w:val="en-US"/>
        </w:rPr>
        <w:t xml:space="preserve">. </w:t>
      </w:r>
      <w:r w:rsidRPr="5A0EFA8E">
        <w:rPr>
          <w:rFonts w:cs="Arial"/>
          <w:sz w:val="20"/>
          <w:szCs w:val="20"/>
          <w:lang w:val="en-US"/>
        </w:rPr>
        <w:t>Our</w:t>
      </w:r>
      <w:r w:rsidRPr="5A0EFA8E">
        <w:rPr>
          <w:rFonts w:cs="Arial"/>
          <w:sz w:val="20"/>
          <w:szCs w:val="20"/>
          <w:lang w:val="en-US"/>
        </w:rPr>
        <w:t xml:space="preserve"> response outline</w:t>
      </w:r>
      <w:r w:rsidRPr="5A0EFA8E">
        <w:rPr>
          <w:rFonts w:cs="Arial"/>
          <w:sz w:val="20"/>
          <w:szCs w:val="20"/>
          <w:lang w:val="en-US"/>
        </w:rPr>
        <w:t>s</w:t>
      </w:r>
      <w:r w:rsidRPr="5A0EFA8E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areas for improvement t</w:t>
      </w:r>
      <w:r w:rsidRPr="5A0EFA8E">
        <w:rPr>
          <w:rFonts w:cs="Arial"/>
          <w:sz w:val="20"/>
          <w:szCs w:val="20"/>
          <w:lang w:val="en-US"/>
        </w:rPr>
        <w:t xml:space="preserve">o </w:t>
      </w:r>
      <w:r w:rsidRPr="5A0EFA8E">
        <w:rPr>
          <w:rFonts w:cs="Arial"/>
          <w:sz w:val="20"/>
          <w:szCs w:val="20"/>
          <w:lang w:val="en-US"/>
        </w:rPr>
        <w:t xml:space="preserve">ensure carbon budgets </w:t>
      </w:r>
      <w:r>
        <w:rPr>
          <w:rFonts w:cs="Arial"/>
          <w:sz w:val="20"/>
          <w:szCs w:val="20"/>
          <w:lang w:val="en-US"/>
        </w:rPr>
        <w:t xml:space="preserve">are </w:t>
      </w:r>
      <w:r w:rsidRPr="5A0EFA8E">
        <w:rPr>
          <w:rFonts w:cs="Arial"/>
          <w:sz w:val="20"/>
          <w:szCs w:val="20"/>
          <w:lang w:val="en-US"/>
        </w:rPr>
        <w:t xml:space="preserve">credible, </w:t>
      </w:r>
      <w:r w:rsidRPr="5A0EFA8E">
        <w:rPr>
          <w:rFonts w:cs="Arial"/>
          <w:sz w:val="20"/>
          <w:szCs w:val="20"/>
          <w:lang w:val="en-US"/>
        </w:rPr>
        <w:t>deliverable</w:t>
      </w:r>
      <w:r w:rsidRPr="5A0EFA8E">
        <w:rPr>
          <w:rFonts w:cs="Arial"/>
          <w:sz w:val="20"/>
          <w:szCs w:val="20"/>
          <w:lang w:val="en-US"/>
        </w:rPr>
        <w:t xml:space="preserve"> and affordable</w:t>
      </w:r>
      <w:r w:rsidRPr="5A0EFA8E">
        <w:rPr>
          <w:rFonts w:cs="Arial"/>
          <w:sz w:val="20"/>
          <w:szCs w:val="20"/>
          <w:lang w:val="en-US"/>
        </w:rPr>
        <w:t xml:space="preserve">. </w:t>
      </w:r>
      <w:r w:rsidRPr="5A0EFA8E">
        <w:rPr>
          <w:rFonts w:cs="Arial"/>
          <w:sz w:val="20"/>
          <w:szCs w:val="20"/>
          <w:lang w:val="en-US"/>
        </w:rPr>
        <w:t>Our</w:t>
      </w:r>
      <w:r w:rsidRPr="5A0EFA8E">
        <w:rPr>
          <w:rFonts w:cs="Arial"/>
          <w:sz w:val="20"/>
          <w:szCs w:val="20"/>
          <w:lang w:val="en-US"/>
        </w:rPr>
        <w:t xml:space="preserve"> examples </w:t>
      </w:r>
      <w:r w:rsidRPr="5A0EFA8E">
        <w:rPr>
          <w:rFonts w:cs="Arial"/>
          <w:sz w:val="20"/>
          <w:szCs w:val="20"/>
          <w:lang w:val="en-US"/>
        </w:rPr>
        <w:t>maximis</w:t>
      </w:r>
      <w:r w:rsidRPr="5A0EFA8E">
        <w:rPr>
          <w:rFonts w:cs="Arial"/>
          <w:sz w:val="20"/>
          <w:szCs w:val="20"/>
          <w:lang w:val="en-US"/>
        </w:rPr>
        <w:t>e</w:t>
      </w:r>
      <w:r w:rsidRPr="5A0EFA8E">
        <w:rPr>
          <w:rFonts w:cs="Arial"/>
          <w:sz w:val="20"/>
          <w:szCs w:val="20"/>
          <w:lang w:val="en-US"/>
        </w:rPr>
        <w:t xml:space="preserve"> the use of </w:t>
      </w:r>
      <w:r w:rsidRPr="5A0EFA8E">
        <w:rPr>
          <w:rFonts w:cs="Arial"/>
          <w:sz w:val="20"/>
          <w:szCs w:val="20"/>
          <w:lang w:val="en-US"/>
        </w:rPr>
        <w:t>gas infrastructure</w:t>
      </w:r>
      <w:r w:rsidRPr="5A0EFA8E">
        <w:rPr>
          <w:rFonts w:cs="Arial"/>
          <w:sz w:val="20"/>
          <w:szCs w:val="20"/>
          <w:lang w:val="en-US"/>
        </w:rPr>
        <w:t xml:space="preserve"> to </w:t>
      </w:r>
      <w:r w:rsidRPr="5A0EFA8E">
        <w:rPr>
          <w:rFonts w:cs="Arial"/>
          <w:sz w:val="20"/>
          <w:szCs w:val="20"/>
          <w:lang w:val="en-US"/>
        </w:rPr>
        <w:t>manage the costs of</w:t>
      </w:r>
      <w:r w:rsidRPr="5A0EFA8E">
        <w:rPr>
          <w:rFonts w:cs="Arial"/>
          <w:sz w:val="20"/>
          <w:szCs w:val="20"/>
          <w:lang w:val="en-US"/>
        </w:rPr>
        <w:t xml:space="preserve"> electricity grid upgrades</w:t>
      </w:r>
      <w:r w:rsidRPr="5A0EFA8E">
        <w:rPr>
          <w:rFonts w:cs="Arial"/>
          <w:sz w:val="20"/>
          <w:szCs w:val="20"/>
          <w:lang w:val="en-US"/>
        </w:rPr>
        <w:t xml:space="preserve"> whilst delivering </w:t>
      </w:r>
      <w:r w:rsidRPr="5A0EFA8E">
        <w:rPr>
          <w:rFonts w:cs="Arial"/>
          <w:sz w:val="20"/>
          <w:szCs w:val="20"/>
          <w:lang w:val="en-US"/>
        </w:rPr>
        <w:t xml:space="preserve">investment, jobs and other income streams for rural communities, helping to support local growth and tackle climate change. </w:t>
      </w:r>
    </w:p>
    <w:p w:rsidR="001B78D9" w:rsidRPr="00CF56FA" w:rsidP="3AC0D64E">
      <w:pPr>
        <w:jc w:val="both"/>
        <w:rPr>
          <w:rFonts w:cs="Arial"/>
          <w:sz w:val="20"/>
          <w:szCs w:val="20"/>
          <w:lang w:val="en-US"/>
        </w:rPr>
      </w:pPr>
    </w:p>
    <w:p w:rsidR="001B78D9" w:rsidRPr="00CF56FA" w:rsidP="04E11827">
      <w:pPr>
        <w:jc w:val="both"/>
        <w:rPr>
          <w:rFonts w:cs="Arial"/>
          <w:sz w:val="20"/>
          <w:szCs w:val="20"/>
        </w:rPr>
      </w:pPr>
      <w:r w:rsidRPr="5A0EFA8E">
        <w:rPr>
          <w:rFonts w:cs="Arial"/>
          <w:sz w:val="20"/>
          <w:szCs w:val="20"/>
        </w:rPr>
        <w:t xml:space="preserve">FEN encourages the use of a whole systems approach with multiple energy vectors </w:t>
      </w:r>
      <w:r>
        <w:rPr>
          <w:rFonts w:cs="Arial"/>
          <w:sz w:val="20"/>
          <w:szCs w:val="20"/>
        </w:rPr>
        <w:t>meeting</w:t>
      </w:r>
      <w:r w:rsidRPr="5A0EFA8E">
        <w:rPr>
          <w:rFonts w:cs="Arial"/>
          <w:sz w:val="20"/>
          <w:szCs w:val="20"/>
        </w:rPr>
        <w:t xml:space="preserve"> </w:t>
      </w:r>
      <w:r w:rsidRPr="5A0EFA8E">
        <w:rPr>
          <w:rFonts w:cs="Arial"/>
          <w:sz w:val="20"/>
          <w:szCs w:val="20"/>
        </w:rPr>
        <w:t xml:space="preserve">energy </w:t>
      </w:r>
      <w:r w:rsidRPr="5A0EFA8E">
        <w:rPr>
          <w:rFonts w:cs="Arial"/>
          <w:sz w:val="20"/>
          <w:szCs w:val="20"/>
        </w:rPr>
        <w:t xml:space="preserve">demand. </w:t>
      </w:r>
      <w:r w:rsidRPr="5A0EFA8E">
        <w:rPr>
          <w:rFonts w:cs="Arial"/>
          <w:sz w:val="20"/>
          <w:szCs w:val="20"/>
        </w:rPr>
        <w:t>Supporting</w:t>
      </w:r>
      <w:r w:rsidRPr="5A0EFA8E">
        <w:rPr>
          <w:rFonts w:cs="Arial"/>
          <w:sz w:val="20"/>
          <w:szCs w:val="20"/>
        </w:rPr>
        <w:t xml:space="preserve"> green gases and hybrid heating solutions </w:t>
      </w:r>
      <w:r>
        <w:rPr>
          <w:rFonts w:cs="Arial"/>
          <w:sz w:val="20"/>
          <w:szCs w:val="20"/>
        </w:rPr>
        <w:t>can</w:t>
      </w:r>
      <w:r w:rsidRPr="5A0EFA8E">
        <w:rPr>
          <w:rFonts w:cs="Arial"/>
          <w:sz w:val="20"/>
          <w:szCs w:val="20"/>
        </w:rPr>
        <w:t xml:space="preserve"> </w:t>
      </w:r>
      <w:r w:rsidRPr="5A0EFA8E">
        <w:rPr>
          <w:rFonts w:cs="Arial"/>
          <w:sz w:val="20"/>
          <w:szCs w:val="20"/>
        </w:rPr>
        <w:t>keep the cost of the energy transition low</w:t>
      </w:r>
      <w:r w:rsidRPr="326CD09E">
        <w:rPr>
          <w:rFonts w:cs="Arial"/>
          <w:sz w:val="20"/>
          <w:szCs w:val="20"/>
        </w:rPr>
        <w:t>,</w:t>
      </w:r>
      <w:r w:rsidRPr="326CD09E">
        <w:rPr>
          <w:rFonts w:cs="Arial"/>
          <w:sz w:val="20"/>
          <w:szCs w:val="20"/>
        </w:rPr>
        <w:t xml:space="preserve"> deliver</w:t>
      </w:r>
      <w:r w:rsidRPr="5A0EFA8E">
        <w:rPr>
          <w:rFonts w:cs="Arial"/>
          <w:sz w:val="20"/>
          <w:szCs w:val="20"/>
        </w:rPr>
        <w:t xml:space="preserve"> real carbon savin</w:t>
      </w:r>
      <w:r w:rsidRPr="5A0EFA8E">
        <w:rPr>
          <w:rFonts w:cs="Arial"/>
          <w:sz w:val="20"/>
          <w:szCs w:val="20"/>
        </w:rPr>
        <w:t>gs today</w:t>
      </w:r>
      <w:r w:rsidRPr="326CD09E">
        <w:rPr>
          <w:rFonts w:cs="Arial"/>
          <w:sz w:val="20"/>
          <w:szCs w:val="20"/>
        </w:rPr>
        <w:t xml:space="preserve"> and</w:t>
      </w:r>
      <w:r w:rsidRPr="326CD09E">
        <w:rPr>
          <w:rFonts w:cs="Arial"/>
          <w:sz w:val="20"/>
          <w:szCs w:val="20"/>
        </w:rPr>
        <w:t xml:space="preserve"> </w:t>
      </w:r>
      <w:r w:rsidRPr="00CF56FA">
        <w:rPr>
          <w:rFonts w:cs="Arial"/>
          <w:sz w:val="20"/>
          <w:szCs w:val="20"/>
        </w:rPr>
        <w:t>ensure</w:t>
      </w:r>
      <w:r w:rsidRPr="5A0EFA8E">
        <w:rPr>
          <w:rFonts w:cs="Arial"/>
          <w:sz w:val="20"/>
          <w:szCs w:val="20"/>
        </w:rPr>
        <w:t xml:space="preserve"> more consumers </w:t>
      </w:r>
      <w:r w:rsidRPr="326CD09E">
        <w:rPr>
          <w:rFonts w:cs="Arial"/>
          <w:sz w:val="20"/>
          <w:szCs w:val="20"/>
        </w:rPr>
        <w:t>can</w:t>
      </w:r>
      <w:r w:rsidRPr="5A0EFA8E">
        <w:rPr>
          <w:rFonts w:cs="Arial"/>
          <w:sz w:val="20"/>
          <w:szCs w:val="20"/>
        </w:rPr>
        <w:t xml:space="preserve"> engage in the transition </w:t>
      </w:r>
      <w:r>
        <w:rPr>
          <w:rFonts w:cs="Arial"/>
          <w:sz w:val="20"/>
          <w:szCs w:val="20"/>
        </w:rPr>
        <w:t>sooner.</w:t>
      </w:r>
    </w:p>
    <w:p w:rsidR="001B78D9" w:rsidRPr="00CF56FA" w:rsidP="001127AE">
      <w:pPr>
        <w:jc w:val="both"/>
        <w:rPr>
          <w:rFonts w:eastAsia="Times New Roman" w:cs="Arial"/>
          <w:color w:val="000000"/>
          <w:kern w:val="0"/>
          <w:sz w:val="20"/>
          <w:szCs w:val="20"/>
          <w:lang w:val="en-US" w:eastAsia="en-GB"/>
        </w:rPr>
      </w:pPr>
    </w:p>
    <w:p w:rsidR="001B78D9" w:rsidRPr="00CF56FA" w:rsidP="00FA7F92">
      <w:pPr>
        <w:rPr>
          <w:rFonts w:cs="Arial"/>
          <w:sz w:val="20"/>
          <w:szCs w:val="20"/>
        </w:rPr>
      </w:pPr>
    </w:p>
    <w:p w:rsidR="001B78D9" w:rsidRPr="00CF56FA" w:rsidP="00FA7F92">
      <w:pPr>
        <w:rPr>
          <w:rFonts w:cs="Arial"/>
          <w:sz w:val="20"/>
          <w:szCs w:val="20"/>
        </w:rPr>
      </w:pPr>
    </w:p>
    <w:p w:rsidR="001B78D9" w:rsidP="001B78D9">
      <w:pPr>
        <w:rPr>
          <w:rFonts w:cs="Arial"/>
          <w:sz w:val="20"/>
          <w:szCs w:val="20"/>
        </w:rPr>
      </w:pPr>
      <w:r w:rsidRPr="00CF56FA">
        <w:rPr>
          <w:rFonts w:cs="Arial"/>
          <w:sz w:val="20"/>
          <w:szCs w:val="20"/>
          <w:lang w:val="en-US"/>
        </w:rPr>
        <w:t>Yours sincerely</w:t>
      </w:r>
      <w:r w:rsidRPr="00CF56FA">
        <w:rPr>
          <w:rFonts w:cs="Arial"/>
          <w:sz w:val="20"/>
          <w:szCs w:val="20"/>
        </w:rPr>
        <w:t> </w:t>
      </w:r>
    </w:p>
    <w:p w:rsidR="001B78D9" w:rsidRPr="00CF56FA" w:rsidP="001B78D9">
      <w:pPr>
        <w:rPr>
          <w:rFonts w:cs="Arial"/>
          <w:sz w:val="20"/>
          <w:szCs w:val="20"/>
        </w:rPr>
      </w:pPr>
    </w:p>
    <w:p w:rsidR="001B78D9" w:rsidRPr="00CF56FA" w:rsidP="001127AE">
      <w:pPr>
        <w:rPr>
          <w:rFonts w:cs="Arial"/>
          <w:sz w:val="20"/>
          <w:szCs w:val="20"/>
        </w:rPr>
      </w:pPr>
      <w:r w:rsidRPr="00CF56FA">
        <w:rPr>
          <w:rFonts w:cs="Arial"/>
          <w:sz w:val="20"/>
          <w:szCs w:val="20"/>
          <w:lang w:val="en-US"/>
        </w:rPr>
        <w:t>J</w:t>
      </w:r>
      <w:r w:rsidRPr="00CF56FA">
        <w:rPr>
          <w:rFonts w:cs="Arial"/>
          <w:sz w:val="20"/>
          <w:szCs w:val="20"/>
          <w:lang w:val="en-US"/>
        </w:rPr>
        <w:t>ames Earl</w:t>
      </w:r>
      <w:r w:rsidRPr="00CF56FA">
        <w:rPr>
          <w:rFonts w:cs="Arial"/>
          <w:sz w:val="20"/>
          <w:szCs w:val="20"/>
        </w:rPr>
        <w:t> </w:t>
      </w:r>
    </w:p>
    <w:p w:rsidR="001B78D9" w:rsidRPr="00CF56FA" w:rsidP="001127AE">
      <w:pPr>
        <w:rPr>
          <w:rFonts w:cs="Arial"/>
          <w:sz w:val="20"/>
          <w:szCs w:val="20"/>
        </w:rPr>
      </w:pPr>
      <w:r w:rsidRPr="00CF56FA">
        <w:rPr>
          <w:rFonts w:cs="Arial"/>
          <w:sz w:val="20"/>
          <w:szCs w:val="20"/>
          <w:lang w:val="en-US"/>
        </w:rPr>
        <w:t>Chief Executive Officer</w:t>
      </w:r>
      <w:r w:rsidRPr="00CF56FA">
        <w:rPr>
          <w:rFonts w:cs="Arial"/>
          <w:sz w:val="20"/>
          <w:szCs w:val="20"/>
        </w:rPr>
        <w:t> </w:t>
      </w:r>
    </w:p>
    <w:p w:rsidR="001B78D9" w:rsidRPr="00CF56FA" w:rsidP="001127AE">
      <w:pPr>
        <w:rPr>
          <w:rFonts w:cs="Arial"/>
          <w:sz w:val="20"/>
          <w:szCs w:val="20"/>
        </w:rPr>
      </w:pPr>
      <w:r w:rsidRPr="00CF56FA">
        <w:rPr>
          <w:rFonts w:cs="Arial"/>
          <w:sz w:val="20"/>
          <w:szCs w:val="20"/>
          <w:lang w:val="en-US"/>
        </w:rPr>
        <w:t xml:space="preserve">Future Energy </w:t>
      </w:r>
      <w:r w:rsidRPr="00CF56FA">
        <w:rPr>
          <w:rFonts w:cs="Arial"/>
          <w:sz w:val="20"/>
          <w:szCs w:val="20"/>
          <w:lang w:val="en-US"/>
        </w:rPr>
        <w:t>Networks</w:t>
      </w:r>
      <w:r w:rsidRPr="00CF56FA">
        <w:rPr>
          <w:rFonts w:cs="Arial"/>
          <w:sz w:val="20"/>
          <w:szCs w:val="20"/>
        </w:rPr>
        <w:t> </w:t>
      </w:r>
    </w:p>
    <w:p w:rsidR="001B78D9" w:rsidRPr="00CF56FA" w:rsidP="5A0EFA8E">
      <w:pPr>
        <w:rPr>
          <w:rFonts w:cs="Arial"/>
          <w:sz w:val="20"/>
          <w:szCs w:val="20"/>
        </w:rPr>
      </w:pPr>
    </w:p>
    <w:sectPr w:rsidSect="0003635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283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134497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1B78D9" w:rsidRPr="00DF10A3">
        <w:pPr>
          <w:pStyle w:val="Footer"/>
          <w:jc w:val="center"/>
          <w:rPr>
            <w:sz w:val="18"/>
            <w:szCs w:val="18"/>
          </w:rPr>
        </w:pPr>
        <w:r w:rsidRPr="00DF10A3">
          <w:rPr>
            <w:sz w:val="18"/>
            <w:szCs w:val="18"/>
          </w:rPr>
          <w:fldChar w:fldCharType="begin"/>
        </w:r>
        <w:r w:rsidRPr="00DF10A3">
          <w:rPr>
            <w:sz w:val="18"/>
            <w:szCs w:val="18"/>
          </w:rPr>
          <w:instrText xml:space="preserve"> PAGE   \* MERGEFORMAT </w:instrText>
        </w:r>
        <w:r w:rsidRPr="00DF10A3">
          <w:rPr>
            <w:sz w:val="18"/>
            <w:szCs w:val="18"/>
          </w:rPr>
          <w:fldChar w:fldCharType="separate"/>
        </w:r>
        <w:r w:rsidRPr="00DF10A3">
          <w:rPr>
            <w:noProof/>
            <w:sz w:val="18"/>
            <w:szCs w:val="18"/>
          </w:rPr>
          <w:t>2</w:t>
        </w:r>
        <w:r w:rsidRPr="00DF10A3">
          <w:rPr>
            <w:noProof/>
            <w:sz w:val="18"/>
            <w:szCs w:val="18"/>
          </w:rPr>
          <w:fldChar w:fldCharType="end"/>
        </w:r>
      </w:p>
    </w:sdtContent>
  </w:sdt>
  <w:p w:rsidR="001B7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B78D9" w:rsidP="00660284">
      <w:r>
        <w:separator/>
      </w:r>
    </w:p>
  </w:footnote>
  <w:footnote w:type="continuationSeparator" w:id="1">
    <w:p w:rsidR="001B78D9" w:rsidP="00660284">
      <w:r>
        <w:continuationSeparator/>
      </w:r>
    </w:p>
  </w:footnote>
  <w:footnote w:id="2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"https://mcscertified.com/uk-reaches-250000-certified-heat-pump-installations/" </w:instrText>
      </w:r>
      <w:r>
        <w:fldChar w:fldCharType="separate"/>
      </w:r>
      <w:r>
        <w:rPr>
          <w:rStyle w:val="Hyperlink"/>
        </w:rPr>
        <w:t>Number of</w:t>
      </w:r>
      <w:r w:rsidRPr="636B9A51">
        <w:rPr>
          <w:rStyle w:val="Hyperlink"/>
        </w:rPr>
        <w:t xml:space="preserve"> heat pump installations - MCS</w:t>
      </w:r>
      <w:r>
        <w:fldChar w:fldCharType="end"/>
      </w:r>
    </w:p>
  </w:footnote>
  <w:footnote w:id="3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"https://www.gov.uk/government/statistics/heat-pump-deployment-statistics-june-2025" </w:instrText>
      </w:r>
      <w:r>
        <w:fldChar w:fldCharType="separate"/>
      </w:r>
      <w:r w:rsidRPr="636B9A51">
        <w:rPr>
          <w:rStyle w:val="Hyperlink"/>
        </w:rPr>
        <w:t>Heat pump deployment statistics: June 2025 - GOV.UK</w:t>
      </w:r>
      <w:r>
        <w:fldChar w:fldCharType="end"/>
      </w:r>
    </w:p>
  </w:footnote>
  <w:footnote w:id="4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"https://researchbriefings.files.parliament.uk/documents/POST-PN-0699/POST-PN-0699.pdf" </w:instrText>
      </w:r>
      <w:r>
        <w:fldChar w:fldCharType="separate"/>
      </w:r>
      <w:r>
        <w:rPr>
          <w:rStyle w:val="Hyperlink"/>
        </w:rPr>
        <w:t>Heat pump engineers - UK Parliament Post</w:t>
      </w:r>
      <w:r>
        <w:fldChar w:fldCharType="end"/>
      </w:r>
    </w:p>
  </w:footnote>
  <w:footnote w:id="5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"https://researchbriefings.files.parliament.uk/documents/POST-PN-0711/POST-PN-0711.pdf" </w:instrText>
      </w:r>
      <w:r>
        <w:fldChar w:fldCharType="separate"/>
      </w:r>
      <w:r>
        <w:rPr>
          <w:rStyle w:val="Hyperlink"/>
        </w:rPr>
        <w:t>Green Skills - UK Parliament Post</w:t>
      </w:r>
      <w:r>
        <w:fldChar w:fldCharType="end"/>
      </w:r>
    </w:p>
  </w:footnote>
  <w:footnote w:id="6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"https://ehi.eu/wp-content/uploads/2023/11/2023019-Final-paper-on-hybrids-ready-for-publication.pdf" </w:instrText>
      </w:r>
      <w:r>
        <w:fldChar w:fldCharType="separate"/>
      </w:r>
      <w:r>
        <w:rPr>
          <w:rStyle w:val="Hyperlink"/>
        </w:rPr>
        <w:t>Hybrid Heat Pumps - EHI</w:t>
      </w:r>
      <w:r>
        <w:fldChar w:fldCharType="end"/>
      </w:r>
    </w:p>
  </w:footnote>
  <w:footnote w:id="7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"https://edge.sitecorecloud.io/bdrthermea1-platform-production-864a/media/Project/BaxiUK/BaxiUK/Files/Documents/Unlocking-the-power-of-heat-pumps-with-hybrid-installation.pdf" </w:instrText>
      </w:r>
      <w:r>
        <w:fldChar w:fldCharType="separate"/>
      </w:r>
      <w:r>
        <w:rPr>
          <w:rStyle w:val="Hyperlink"/>
        </w:rPr>
        <w:t>The Power of Heat Pumps - Gemserv</w:t>
      </w:r>
      <w:r>
        <w:fldChar w:fldCharType="end"/>
      </w:r>
    </w:p>
  </w:footnote>
  <w:footnote w:id="8">
    <w:p w:rsidR="001B78D9" w:rsidP="326CD09E">
      <w:pPr>
        <w:pStyle w:val="FootnoteText"/>
      </w:pPr>
      <w:r w:rsidRPr="326CD09E">
        <w:rPr>
          <w:rStyle w:val="FootnoteReference"/>
        </w:rPr>
        <w:footnoteRef/>
      </w:r>
      <w:r>
        <w:t xml:space="preserve"> Intergas report (on request)</w:t>
      </w:r>
    </w:p>
  </w:footnote>
  <w:footnote w:id="9">
    <w:p w:rsidR="001B78D9" w:rsidP="1D278B9D">
      <w:pPr>
        <w:pStyle w:val="FootnoteText"/>
      </w:pPr>
      <w:r w:rsidRPr="1D278B9D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"https://www.neso.energy/document/364571/download" </w:instrText>
      </w:r>
      <w:r>
        <w:fldChar w:fldCharType="separate"/>
      </w:r>
      <w:r>
        <w:rPr>
          <w:rStyle w:val="Hyperlink"/>
        </w:rPr>
        <w:t xml:space="preserve">Decarbonising </w:t>
      </w:r>
      <w:r>
        <w:rPr>
          <w:rStyle w:val="Hyperlink"/>
        </w:rPr>
        <w:t>Heat -</w:t>
      </w:r>
      <w:r>
        <w:rPr>
          <w:rStyle w:val="Hyperlink"/>
        </w:rPr>
        <w:t xml:space="preserve"> NESO</w:t>
      </w:r>
      <w:r>
        <w:fldChar w:fldCharType="end"/>
      </w:r>
    </w:p>
  </w:footnote>
  <w:footnote w:id="10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"https://cadentgas.com/getmedia/8edd50f8-39ac-4c02-8bf7-9fcbb69cc9de/Savanta-Cadent-Consumer-Choice.pdf" </w:instrText>
      </w:r>
      <w:r>
        <w:fldChar w:fldCharType="separate"/>
      </w:r>
      <w:r w:rsidRPr="636B9A51">
        <w:rPr>
          <w:rStyle w:val="Hyperlink"/>
        </w:rPr>
        <w:t>Consumer</w:t>
      </w:r>
      <w:r>
        <w:rPr>
          <w:rStyle w:val="Hyperlink"/>
        </w:rPr>
        <w:t xml:space="preserve"> </w:t>
      </w:r>
      <w:r w:rsidRPr="636B9A51">
        <w:rPr>
          <w:rStyle w:val="Hyperlink"/>
        </w:rPr>
        <w:t>Choice</w:t>
      </w:r>
      <w:r>
        <w:rPr>
          <w:rStyle w:val="Hyperlink"/>
        </w:rPr>
        <w:t xml:space="preserve"> - Savanta</w:t>
      </w:r>
      <w:r>
        <w:fldChar w:fldCharType="end"/>
      </w:r>
    </w:p>
  </w:footnote>
  <w:footnote w:id="11">
    <w:p w:rsidR="001B78D9" w:rsidRPr="00231EE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"https://www.theccc.org.uk/wp-content/uploads/2025/02/Reasonable-worst-case-stress-test-scenarios-for-the-UK-energy-sector-in-the-context-of-the-changing-climate-Bloomfield.pdf" </w:instrText>
      </w:r>
      <w:r>
        <w:fldChar w:fldCharType="separate"/>
      </w:r>
      <w:r>
        <w:rPr>
          <w:rStyle w:val="Hyperlink"/>
        </w:rPr>
        <w:t>Reasonable Worst Case stress test scenarios - Newcastle University</w:t>
      </w:r>
      <w:r>
        <w:fldChar w:fldCharType="end"/>
      </w:r>
    </w:p>
  </w:footnote>
  <w:footnote w:id="12">
    <w:p w:rsidR="001B78D9" w:rsidP="5A0EFA8E">
      <w:pPr>
        <w:pStyle w:val="FootnoteText"/>
      </w:pPr>
      <w:r w:rsidRPr="5A0EFA8E">
        <w:rPr>
          <w:rStyle w:val="FootnoteReference"/>
        </w:rPr>
        <w:footnoteRef/>
      </w:r>
      <w:r>
        <w:t xml:space="preserve"> ARUP report </w:t>
      </w:r>
      <w:r>
        <w:t>(</w:t>
      </w:r>
      <w:r>
        <w:t>on request</w:t>
      </w:r>
      <w:r>
        <w:t>)</w:t>
      </w:r>
    </w:p>
  </w:footnote>
  <w:footnote w:id="13">
    <w:p w:rsidR="001B78D9" w:rsidP="5A0EFA8E">
      <w:pPr>
        <w:pStyle w:val="FootnoteText"/>
      </w:pPr>
      <w:r w:rsidRPr="5A0EFA8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"https://committees.parliament.uk/event/25089/formal-meeting-oral-evidence-session/" </w:instrText>
      </w:r>
      <w:r>
        <w:fldChar w:fldCharType="separate"/>
      </w:r>
      <w:r w:rsidRPr="008009D8">
        <w:rPr>
          <w:rStyle w:val="Hyperlink"/>
        </w:rPr>
        <w:t>The cost of energy - ESNZ</w:t>
      </w:r>
      <w:r>
        <w:fldChar w:fldCharType="end"/>
      </w:r>
    </w:p>
  </w:footnote>
  <w:footnote w:id="14">
    <w:p w:rsidR="001B78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"https://d2e1qxpsswcpgz.cloudfront.net/uploads/2023/03/UKERC_Decarbonising-Home-Heating_Evidence-Review-of-Domestic-Heat-Pump-Installed-Costs-.pdf" </w:instrText>
      </w:r>
      <w:r>
        <w:fldChar w:fldCharType="separate"/>
      </w:r>
      <w:r>
        <w:rPr>
          <w:rStyle w:val="Hyperlink"/>
        </w:rPr>
        <w:t>Decarbonising Home Heating - UKERC</w:t>
      </w:r>
      <w:r>
        <w:fldChar w:fldCharType="end"/>
      </w:r>
    </w:p>
  </w:footnote>
  <w:footnote w:id="15">
    <w:p w:rsidR="001B78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"https://www.theccc.org.uk/publication/2023-progress-report-to-parliament/" </w:instrText>
      </w:r>
      <w:r>
        <w:fldChar w:fldCharType="separate"/>
      </w:r>
      <w:r w:rsidRPr="00C83284">
        <w:rPr>
          <w:rStyle w:val="Hyperlink"/>
        </w:rPr>
        <w:t>2023 Progress Report to Parliament - Climate Change Committee</w:t>
      </w:r>
      <w:r>
        <w:fldChar w:fldCharType="end"/>
      </w:r>
    </w:p>
  </w:footnote>
  <w:footnote w:id="16">
    <w:p w:rsidR="001B78D9" w:rsidP="1D278B9D">
      <w:pPr>
        <w:pStyle w:val="FootnoteText"/>
      </w:pPr>
      <w:r w:rsidRPr="1D278B9D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"https://www.britishgas.co.uk/heating/guides/air-source-heat-pump-cost.html?msockid=0642627ff0186be1148f7744f10d6a22" </w:instrText>
      </w:r>
      <w:r>
        <w:fldChar w:fldCharType="separate"/>
      </w:r>
      <w:r w:rsidRPr="1D278B9D">
        <w:rPr>
          <w:rStyle w:val="Hyperlink"/>
        </w:rPr>
        <w:t>How much does a heat pump cost? A 2024 Guide - British Gas</w:t>
      </w:r>
      <w:r>
        <w:fldChar w:fldCharType="end"/>
      </w:r>
    </w:p>
  </w:footnote>
  <w:footnote w:id="17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"https://greengastaskforce.co.uk/wp-content/uploads/2025/10/Cadent-GGT_Biomethane_Study.pdf" </w:instrText>
      </w:r>
      <w:r>
        <w:fldChar w:fldCharType="separate"/>
      </w:r>
      <w:r>
        <w:rPr>
          <w:rStyle w:val="Hyperlink"/>
        </w:rPr>
        <w:t>Reducing the cost of net zero - GGT</w:t>
      </w:r>
      <w:r>
        <w:fldChar w:fldCharType="end"/>
      </w:r>
    </w:p>
  </w:footnote>
  <w:footnote w:id="18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"https://greengastaskforce.co.uk/wp-content/uploads/2025/09/GGT-Unlocking-the-Potential-of-Biomethane.pdf" </w:instrText>
      </w:r>
      <w:r>
        <w:fldChar w:fldCharType="separate"/>
      </w:r>
      <w:r>
        <w:rPr>
          <w:rStyle w:val="Hyperlink"/>
        </w:rPr>
        <w:t>Unlocking Biomethane's potential - GGT</w:t>
      </w:r>
      <w:r>
        <w:fldChar w:fldCharType="end"/>
      </w:r>
    </w:p>
  </w:footnote>
  <w:footnote w:id="19">
    <w:p w:rsidR="001B78D9" w:rsidP="1D278B9D">
      <w:pPr>
        <w:pStyle w:val="FootnoteText"/>
      </w:pPr>
      <w:r w:rsidRPr="1D278B9D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"https://www.oxera.com/insights/reports/evaluating-offshored-industries-and-emissions/" </w:instrText>
      </w:r>
      <w:r>
        <w:fldChar w:fldCharType="separate"/>
      </w:r>
      <w:r w:rsidRPr="1D278B9D">
        <w:rPr>
          <w:rStyle w:val="Hyperlink"/>
        </w:rPr>
        <w:t>Evaluating offshored industries and emissions - Oxera</w:t>
      </w:r>
      <w:r>
        <w:fldChar w:fldCharType="end"/>
      </w:r>
    </w:p>
  </w:footnote>
  <w:footnote w:id="20">
    <w:p w:rsidR="001B78D9" w:rsidP="5A0EFA8E">
      <w:pPr>
        <w:pStyle w:val="FootnoteText"/>
      </w:pPr>
      <w:r w:rsidRPr="5A0EFA8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"https://www.sgn.co.uk/about-us/future-of-gas/lts-futures-0" </w:instrText>
      </w:r>
      <w:r>
        <w:fldChar w:fldCharType="separate"/>
      </w:r>
      <w:r w:rsidRPr="5A0EFA8E">
        <w:rPr>
          <w:rStyle w:val="Hyperlink"/>
        </w:rPr>
        <w:t xml:space="preserve">LTS Futures </w:t>
      </w:r>
      <w:r>
        <w:rPr>
          <w:rStyle w:val="Hyperlink"/>
        </w:rPr>
        <w:t>-</w:t>
      </w:r>
      <w:r w:rsidRPr="5A0EFA8E">
        <w:rPr>
          <w:rStyle w:val="Hyperlink"/>
        </w:rPr>
        <w:t xml:space="preserve"> SGN</w:t>
      </w:r>
      <w:r>
        <w:fldChar w:fldCharType="end"/>
      </w:r>
    </w:p>
  </w:footnote>
  <w:footnote w:id="21">
    <w:p w:rsidR="001B78D9" w:rsidP="5A0EFA8E">
      <w:pPr>
        <w:pStyle w:val="FootnoteText"/>
      </w:pPr>
      <w:r w:rsidRPr="5A0EFA8E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"https://publications.parliament.uk/pa/cm5901/cmselect/cmscotaf/459/report.html" </w:instrText>
      </w:r>
      <w:r>
        <w:fldChar w:fldCharType="separate"/>
      </w:r>
      <w:r w:rsidRPr="5A0EFA8E">
        <w:rPr>
          <w:rStyle w:val="Hyperlink"/>
        </w:rPr>
        <w:t>Scotland's oil and gas industry</w:t>
      </w:r>
      <w:r>
        <w:rPr>
          <w:rStyle w:val="Hyperlink"/>
        </w:rPr>
        <w:t xml:space="preserve"> - House of Commons Committee</w:t>
      </w:r>
      <w:r>
        <w:fldChar w:fldCharType="end"/>
      </w:r>
    </w:p>
  </w:footnote>
  <w:footnote w:id="22">
    <w:p w:rsidR="001B78D9" w:rsidP="636B9A51">
      <w:pPr>
        <w:pStyle w:val="FootnoteText"/>
      </w:pPr>
      <w:r w:rsidRPr="636B9A51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"https://hoa.org.uk/advice/guides-for-homeowners/for-owners/how-much-does-a-heat-pump-cost/" </w:instrText>
      </w:r>
      <w:r>
        <w:fldChar w:fldCharType="separate"/>
      </w:r>
      <w:r w:rsidRPr="636B9A51">
        <w:rPr>
          <w:rStyle w:val="Hyperlink"/>
        </w:rPr>
        <w:t xml:space="preserve">Heat Pump </w:t>
      </w:r>
      <w:r>
        <w:rPr>
          <w:rStyle w:val="Hyperlink"/>
        </w:rPr>
        <w:t>Costs</w:t>
      </w:r>
      <w:r w:rsidRPr="636B9A51">
        <w:rPr>
          <w:rStyle w:val="Hyperlink"/>
        </w:rPr>
        <w:t xml:space="preserve"> 2025 - </w:t>
      </w:r>
      <w:r>
        <w:rPr>
          <w:rStyle w:val="Hyperlink"/>
        </w:rPr>
        <w:t>Home Owners</w:t>
      </w:r>
      <w:r w:rsidRPr="636B9A51">
        <w:rPr>
          <w:rStyle w:val="Hyperlink"/>
        </w:rPr>
        <w:t xml:space="preserve"> Alliance</w:t>
      </w:r>
      <w:r>
        <w:fldChar w:fldCharType="end"/>
      </w:r>
    </w:p>
  </w:footnote>
  <w:footnote w:id="23">
    <w:p w:rsidR="001B78D9" w:rsidP="1D278B9D">
      <w:pPr>
        <w:pStyle w:val="FootnoteText"/>
      </w:pPr>
      <w:r w:rsidRPr="1D278B9D"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"https://www.nao.org.uk/wp-content/uploads/2024/03/Decarbonising-home-heating-HC-581.pdf" </w:instrText>
      </w:r>
      <w:r>
        <w:fldChar w:fldCharType="separate"/>
      </w:r>
      <w:r w:rsidRPr="1D278B9D">
        <w:rPr>
          <w:rStyle w:val="Hyperlink"/>
        </w:rPr>
        <w:t>Decarbonising home heating</w:t>
      </w:r>
      <w:r>
        <w:rPr>
          <w:rStyle w:val="Hyperlink"/>
        </w:rPr>
        <w:t xml:space="preserve"> - NAO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8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63441" o:spid="_x0000_s2049" type="#_x0000_t75" style="height:522.9pt;margin-left:0;margin-top:0;mso-position-horizontal:center;mso-position-horizontal-relative:margin;mso-position-vertical:center;mso-position-vertical-relative:margin;mso-wrap-edited:f;position:absolute;width:523.15pt;z-index:-251657216" o:allowincell="f">
          <v:imagedata r:id="rId1" o:title="FEN_Spiral_2_RGB_2024-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8D9" w:rsidP="001B78D9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63442" o:spid="_x0000_s2050" type="#_x0000_t75" style="height:522.9pt;margin-left:0;margin-top:0;mso-position-horizontal:center;mso-position-horizontal-relative:margin;mso-position-vertical:center;mso-position-vertical-relative:margin;mso-wrap-edited:f;position:absolute;width:523.15pt;z-index:-251656192" o:allowincell="f">
          <v:imagedata r:id="rId1" o:title="FEN_Spiral_2_RGB_2024-8" gain="19661f" blacklevel="22938f"/>
          <w10:wrap anchorx="margin" anchory="margin"/>
        </v:shape>
      </w:pict>
    </w:r>
    <w:r>
      <w:rPr>
        <w:noProof/>
      </w:rPr>
      <w:t xml:space="preserve">Written submission from </w:t>
    </w:r>
    <w:r w:rsidRPr="001B78D9">
      <w:rPr>
        <w:noProof/>
      </w:rPr>
      <w:t>Future Energy Networks</w:t>
    </w:r>
    <w:r>
      <w:rPr>
        <w:noProof/>
      </w:rPr>
      <w:t xml:space="preserve"> (SCB0043)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8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63440" o:spid="_x0000_s2051" type="#_x0000_t75" style="height:522.9pt;margin-left:0;margin-top:0;mso-position-horizontal:center;mso-position-horizontal-relative:margin;mso-position-vertical:center;mso-position-vertical-relative:margin;mso-wrap-edited:f;position:absolute;width:523.15pt;z-index:-251658240" o:allowincell="f">
          <v:imagedata r:id="rId1" o:title="FEN_Spiral_2_RGB_2024-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96029"/>
    <w:multiLevelType w:val="multilevel"/>
    <w:tmpl w:val="8DC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C07E7"/>
    <w:multiLevelType w:val="hybridMultilevel"/>
    <w:tmpl w:val="57E676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622883"/>
    <w:multiLevelType w:val="multilevel"/>
    <w:tmpl w:val="C4A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B3A05"/>
    <w:multiLevelType w:val="multilevel"/>
    <w:tmpl w:val="2A265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0821170"/>
    <w:multiLevelType w:val="multilevel"/>
    <w:tmpl w:val="BA82B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9212B6C"/>
    <w:multiLevelType w:val="multilevel"/>
    <w:tmpl w:val="FD5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F3F8F"/>
    <w:multiLevelType w:val="hybridMultilevel"/>
    <w:tmpl w:val="46A6A4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C359B3"/>
    <w:multiLevelType w:val="hybridMultilevel"/>
    <w:tmpl w:val="EED61B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C97DEE"/>
    <w:multiLevelType w:val="hybridMultilevel"/>
    <w:tmpl w:val="70E2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F4A2D"/>
    <w:multiLevelType w:val="multilevel"/>
    <w:tmpl w:val="E67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433C7A"/>
    <w:multiLevelType w:val="hybridMultilevel"/>
    <w:tmpl w:val="96AEFBE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045804"/>
    <w:multiLevelType w:val="hybridMultilevel"/>
    <w:tmpl w:val="3C642A7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C97E90"/>
    <w:multiLevelType w:val="multilevel"/>
    <w:tmpl w:val="4F06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E5ABC"/>
    <w:multiLevelType w:val="multilevel"/>
    <w:tmpl w:val="49A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5618E8"/>
    <w:multiLevelType w:val="multilevel"/>
    <w:tmpl w:val="3E3E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8E3DE1"/>
    <w:multiLevelType w:val="multilevel"/>
    <w:tmpl w:val="2E4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6F3D05"/>
    <w:multiLevelType w:val="hybridMultilevel"/>
    <w:tmpl w:val="E1507A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03920"/>
    <w:multiLevelType w:val="multilevel"/>
    <w:tmpl w:val="5FC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BB6708"/>
    <w:multiLevelType w:val="multilevel"/>
    <w:tmpl w:val="D55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85A93"/>
    <w:multiLevelType w:val="hybridMultilevel"/>
    <w:tmpl w:val="B39CF20A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C2B52"/>
    <w:multiLevelType w:val="multilevel"/>
    <w:tmpl w:val="3B3A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7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19"/>
  </w:num>
  <w:num w:numId="12">
    <w:abstractNumId w:val="4"/>
  </w:num>
  <w:num w:numId="13">
    <w:abstractNumId w:val="20"/>
  </w:num>
  <w:num w:numId="14">
    <w:abstractNumId w:val="3"/>
  </w:num>
  <w:num w:numId="15">
    <w:abstractNumId w:val="18"/>
  </w:num>
  <w:num w:numId="16">
    <w:abstractNumId w:val="5"/>
  </w:num>
  <w:num w:numId="17">
    <w:abstractNumId w:val="12"/>
  </w:num>
  <w:num w:numId="18">
    <w:abstractNumId w:val="16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1D4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1D4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284"/>
    <w:pPr>
      <w:keepNext/>
      <w:keepLines/>
      <w:spacing w:before="160" w:after="80"/>
      <w:outlineLvl w:val="2"/>
    </w:pPr>
    <w:rPr>
      <w:rFonts w:eastAsiaTheme="majorEastAsia" w:cstheme="majorBidi"/>
      <w:color w:val="0A1D4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A1D4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284"/>
    <w:pPr>
      <w:keepNext/>
      <w:keepLines/>
      <w:spacing w:before="80" w:after="40"/>
      <w:outlineLvl w:val="4"/>
    </w:pPr>
    <w:rPr>
      <w:rFonts w:eastAsiaTheme="majorEastAsia" w:cstheme="majorBidi"/>
      <w:color w:val="0A1D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284"/>
    <w:rPr>
      <w:rFonts w:asciiTheme="majorHAnsi" w:eastAsiaTheme="majorEastAsia" w:hAnsiTheme="majorHAnsi" w:cstheme="majorBidi"/>
      <w:color w:val="0A1D4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284"/>
    <w:rPr>
      <w:rFonts w:asciiTheme="majorHAnsi" w:eastAsiaTheme="majorEastAsia" w:hAnsiTheme="majorHAnsi" w:cstheme="majorBidi"/>
      <w:color w:val="0A1D4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284"/>
    <w:rPr>
      <w:rFonts w:eastAsiaTheme="majorEastAsia" w:cstheme="majorBidi"/>
      <w:color w:val="0A1D4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284"/>
    <w:rPr>
      <w:rFonts w:eastAsiaTheme="majorEastAsia" w:cstheme="majorBidi"/>
      <w:i/>
      <w:iCs/>
      <w:color w:val="0A1D4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284"/>
    <w:rPr>
      <w:rFonts w:eastAsiaTheme="majorEastAsia" w:cstheme="majorBidi"/>
      <w:color w:val="0A1D4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2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84"/>
    <w:rPr>
      <w:i/>
      <w:iCs/>
      <w:color w:val="0A1D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84"/>
    <w:pPr>
      <w:pBdr>
        <w:top w:val="single" w:sz="4" w:space="10" w:color="0A1D40" w:themeColor="accent1" w:themeShade="BF"/>
        <w:bottom w:val="single" w:sz="4" w:space="10" w:color="0A1D40" w:themeColor="accent1" w:themeShade="BF"/>
      </w:pBdr>
      <w:spacing w:before="360" w:after="360"/>
      <w:ind w:left="864" w:right="864"/>
      <w:jc w:val="center"/>
    </w:pPr>
    <w:rPr>
      <w:i/>
      <w:iCs/>
      <w:color w:val="0A1D4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84"/>
    <w:rPr>
      <w:i/>
      <w:iCs/>
      <w:color w:val="0A1D4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84"/>
    <w:rPr>
      <w:b/>
      <w:bCs/>
      <w:smallCaps/>
      <w:color w:val="0A1D4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84"/>
  </w:style>
  <w:style w:type="paragraph" w:styleId="Footer">
    <w:name w:val="footer"/>
    <w:basedOn w:val="Normal"/>
    <w:link w:val="FooterChar"/>
    <w:uiPriority w:val="99"/>
    <w:unhideWhenUsed/>
    <w:rsid w:val="00660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84"/>
  </w:style>
  <w:style w:type="paragraph" w:styleId="NormalWeb">
    <w:name w:val="Normal (Web)"/>
    <w:basedOn w:val="Normal"/>
    <w:uiPriority w:val="99"/>
    <w:unhideWhenUsed/>
    <w:rsid w:val="000363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1127AE"/>
    <w:rPr>
      <w:color w:val="5C4DF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7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7A2"/>
  </w:style>
  <w:style w:type="character" w:styleId="FollowedHyperlink">
    <w:name w:val="FollowedHyperlink"/>
    <w:basedOn w:val="DefaultParagraphFont"/>
    <w:uiPriority w:val="99"/>
    <w:semiHidden/>
    <w:unhideWhenUsed/>
    <w:rsid w:val="00065B62"/>
    <w:rPr>
      <w:color w:val="AA88F3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1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1A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ricaBrown\OneDrive%20-%20IGEM\Template%20-%20FEN%20Letterhead%202024.dotx" TargetMode="External" /></Relationships>
</file>

<file path=word/theme/theme1.xml><?xml version="1.0" encoding="utf-8"?>
<a:theme xmlns:a="http://schemas.openxmlformats.org/drawingml/2006/main" name="Office Theme">
  <a:themeElements>
    <a:clrScheme name="FEN Colours">
      <a:dk1>
        <a:srgbClr val="000000"/>
      </a:dk1>
      <a:lt1>
        <a:srgbClr val="FFFFFF"/>
      </a:lt1>
      <a:dk2>
        <a:srgbClr val="0E2757"/>
      </a:dk2>
      <a:lt2>
        <a:srgbClr val="E8E8E8"/>
      </a:lt2>
      <a:accent1>
        <a:srgbClr val="0E2757"/>
      </a:accent1>
      <a:accent2>
        <a:srgbClr val="5C4DFB"/>
      </a:accent2>
      <a:accent3>
        <a:srgbClr val="AA88F3"/>
      </a:accent3>
      <a:accent4>
        <a:srgbClr val="7CCDFD"/>
      </a:accent4>
      <a:accent5>
        <a:srgbClr val="C3FCAD"/>
      </a:accent5>
      <a:accent6>
        <a:srgbClr val="88CBB4"/>
      </a:accent6>
      <a:hlink>
        <a:srgbClr val="5C4DFB"/>
      </a:hlink>
      <a:folHlink>
        <a:srgbClr val="AA88F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F8EBB2B33C3419A4037C7ECEE5CEA" ma:contentTypeVersion="13" ma:contentTypeDescription="Create a new document." ma:contentTypeScope="" ma:versionID="806340a0abb3842ed71f23d3315bc09a">
  <xsd:schema xmlns:xsd="http://www.w3.org/2001/XMLSchema" xmlns:xs="http://www.w3.org/2001/XMLSchema" xmlns:p="http://schemas.microsoft.com/office/2006/metadata/properties" xmlns:ns2="b25dbba2-224d-4bd6-bca9-7ae725a27b45" xmlns:ns3="24b3cf38-5f9c-4feb-87c1-81680e1a133b" targetNamespace="http://schemas.microsoft.com/office/2006/metadata/properties" ma:root="true" ma:fieldsID="f51e7aed92ff55f77f19bec5d776cf1e" ns2:_="" ns3:_="">
    <xsd:import namespace="b25dbba2-224d-4bd6-bca9-7ae725a27b45"/>
    <xsd:import namespace="24b3cf38-5f9c-4feb-87c1-81680e1a1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dbba2-224d-4bd6-bca9-7ae725a2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ef095b-b82f-4b9d-b8a3-39d43a85c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3cf38-5f9c-4feb-87c1-81680e1a13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cd72f8-08a2-44d4-a32a-d4bed530b4bf}" ma:internalName="TaxCatchAll" ma:showField="CatchAllData" ma:web="24b3cf38-5f9c-4feb-87c1-81680e1a1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dbba2-224d-4bd6-bca9-7ae725a27b45">
      <Terms xmlns="http://schemas.microsoft.com/office/infopath/2007/PartnerControls"/>
    </lcf76f155ced4ddcb4097134ff3c332f>
    <TaxCatchAll xmlns="24b3cf38-5f9c-4feb-87c1-81680e1a13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02780-B0A2-44F6-B512-E72B86E45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dbba2-224d-4bd6-bca9-7ae725a27b45"/>
    <ds:schemaRef ds:uri="24b3cf38-5f9c-4feb-87c1-81680e1a1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3C244-9983-DB41-9D32-C77D636FDC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6233C-B383-43F3-A0A1-EC4AFFAF6E40}">
  <ds:schemaRefs>
    <ds:schemaRef ds:uri="http://schemas.microsoft.com/office/2006/metadata/properties"/>
    <ds:schemaRef ds:uri="http://schemas.microsoft.com/office/infopath/2007/PartnerControls"/>
    <ds:schemaRef ds:uri="b25dbba2-224d-4bd6-bca9-7ae725a27b45"/>
    <ds:schemaRef ds:uri="24b3cf38-5f9c-4feb-87c1-81680e1a133b"/>
  </ds:schemaRefs>
</ds:datastoreItem>
</file>

<file path=customXml/itemProps4.xml><?xml version="1.0" encoding="utf-8"?>
<ds:datastoreItem xmlns:ds="http://schemas.openxmlformats.org/officeDocument/2006/customXml" ds:itemID="{83262E39-43AD-43E4-ADEB-E1A3C2BDBE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