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148E2" w:rsidRPr="00E148E2">
      <w:pPr>
        <w:pStyle w:val="Standard"/>
        <w:rPr>
          <w:rFonts w:ascii="Verdana" w:eastAsia="Arial" w:hAnsi="Verdana" w:cs="Arial"/>
          <w:b/>
          <w:sz w:val="28"/>
          <w:szCs w:val="28"/>
        </w:rPr>
      </w:pPr>
      <w:r w:rsidRPr="00E148E2">
        <w:rPr>
          <w:rFonts w:ascii="Verdana" w:eastAsia="Arial" w:hAnsi="Verdana" w:cs="Arial"/>
          <w:b/>
          <w:sz w:val="28"/>
          <w:szCs w:val="28"/>
        </w:rPr>
        <w:t>Stephen Taylor – Written Evidence (DFI0123)</w:t>
      </w:r>
    </w:p>
    <w:p w:rsidR="00E148E2">
      <w:pPr>
        <w:pStyle w:val="Standard"/>
        <w:rPr>
          <w:rFonts w:ascii="Arial" w:eastAsia="Arial" w:hAnsi="Arial" w:cs="Arial"/>
          <w:b/>
          <w:sz w:val="28"/>
          <w:szCs w:val="28"/>
        </w:rPr>
      </w:pPr>
    </w:p>
    <w:p w:rsidR="006C62CB" w:rsidRPr="00E148E2">
      <w:pPr>
        <w:pStyle w:val="Standard"/>
        <w:rPr>
          <w:rFonts w:ascii="Verdana" w:hAnsi="Verdana"/>
        </w:rPr>
      </w:pPr>
      <w:r w:rsidRPr="00E148E2">
        <w:rPr>
          <w:rFonts w:ascii="Verdana" w:eastAsia="Arial" w:hAnsi="Verdana" w:cs="Arial"/>
          <w:b/>
        </w:rPr>
        <w:t>Evidence to the House of Lords Finance Bill Sub-Committee on Inheritance Tax Reforms</w:t>
      </w:r>
    </w:p>
    <w:p w:rsidR="006C62CB" w:rsidRPr="00E148E2">
      <w:pPr>
        <w:pStyle w:val="Standard"/>
        <w:rPr>
          <w:rFonts w:ascii="Verdana" w:hAnsi="Verdana"/>
        </w:rPr>
      </w:pPr>
      <w:r w:rsidRPr="00E148E2">
        <w:rPr>
          <w:rFonts w:ascii="Verdana" w:eastAsia="Arial" w:hAnsi="Verdana" w:cs="Arial"/>
        </w:rPr>
        <w:t xml:space="preserve">Submitted as part of the Save British Farming evidence package on behalf of Northern Ireland farmers affected by the proposed restriction of </w:t>
      </w:r>
      <w:r w:rsidRPr="00E148E2">
        <w:rPr>
          <w:rFonts w:ascii="Verdana" w:eastAsia="Arial" w:hAnsi="Verdana" w:cs="Arial"/>
        </w:rPr>
        <w:t>Agricultural and Business Property Relief (APR/BPR).</w:t>
      </w:r>
    </w:p>
    <w:p w:rsidR="006C62CB" w:rsidRPr="00E148E2">
      <w:pPr>
        <w:pStyle w:val="Standard"/>
        <w:rPr>
          <w:rFonts w:ascii="Verdana" w:eastAsia="Arial" w:hAnsi="Verdana" w:cs="Arial"/>
          <w:b/>
        </w:rPr>
      </w:pPr>
    </w:p>
    <w:p w:rsidR="006C62CB" w:rsidRPr="00E148E2">
      <w:pPr>
        <w:pStyle w:val="Standard"/>
        <w:rPr>
          <w:rFonts w:ascii="Verdana" w:hAnsi="Verdana"/>
        </w:rPr>
      </w:pPr>
      <w:r w:rsidRPr="00E148E2">
        <w:rPr>
          <w:rFonts w:ascii="Verdana" w:eastAsia="Arial" w:hAnsi="Verdana" w:cs="Arial"/>
          <w:b/>
        </w:rPr>
        <w:t>Background and Legal Context</w:t>
      </w:r>
    </w:p>
    <w:p w:rsidR="006C62CB" w:rsidRPr="00E148E2">
      <w:pPr>
        <w:pStyle w:val="Standard"/>
        <w:rPr>
          <w:rFonts w:ascii="Verdana" w:hAnsi="Verdana"/>
        </w:rPr>
      </w:pPr>
      <w:r w:rsidRPr="00E148E2">
        <w:rPr>
          <w:rFonts w:ascii="Verdana" w:eastAsia="Arial" w:hAnsi="Verdana" w:cs="Arial"/>
        </w:rPr>
        <w:t>I am a Northern Ireland farmer facing an estimated £100,000 in Inheritance Tax on my £1.5 million [e.g. dairy, 150-acre] farm due to the proposed restriction of Agricultural and Business Property Relief (APR/BPR) from April 2026.</w:t>
      </w:r>
    </w:p>
    <w:p w:rsidR="006C62CB" w:rsidRPr="00E148E2">
      <w:pPr>
        <w:pStyle w:val="Standard"/>
        <w:rPr>
          <w:rFonts w:ascii="Verdana" w:eastAsia="Arial" w:hAnsi="Verdana" w:cs="Arial"/>
        </w:rPr>
      </w:pPr>
    </w:p>
    <w:p w:rsidR="006C62CB" w:rsidRPr="00E148E2">
      <w:pPr>
        <w:pStyle w:val="Standard"/>
        <w:rPr>
          <w:rFonts w:ascii="Verdana" w:hAnsi="Verdana"/>
        </w:rPr>
      </w:pPr>
      <w:r w:rsidRPr="00E148E2">
        <w:rPr>
          <w:rFonts w:ascii="Verdana" w:eastAsia="Arial" w:hAnsi="Verdana" w:cs="Arial"/>
        </w:rPr>
        <w:t>Under the Windsor Framework, Article 10 applies EU state-aid and agricultural parity rules for measures affecting trade in goods. APR has been a state-aid-compatible mechanism since 1984 to ensure farm continuity. The Government’s reforms, without notifying the European Commission or conducting a Northern Ireland-specific impact assessment, breach Article 10 and the UK–EU Trade and Cooperation Agreement (TCA), risking a dual tax regime between Northern Ireland and Great Britain.</w:t>
      </w:r>
    </w:p>
    <w:p w:rsidR="006C62CB" w:rsidRPr="00E148E2">
      <w:pPr>
        <w:pStyle w:val="Standard"/>
        <w:rPr>
          <w:rFonts w:ascii="Verdana" w:eastAsia="Arial" w:hAnsi="Verdana" w:cs="Arial"/>
        </w:rPr>
      </w:pPr>
    </w:p>
    <w:p w:rsidR="006C62CB" w:rsidRPr="00E148E2">
      <w:pPr>
        <w:pStyle w:val="Standard"/>
        <w:rPr>
          <w:rFonts w:ascii="Verdana" w:hAnsi="Verdana"/>
        </w:rPr>
      </w:pPr>
      <w:r w:rsidRPr="00E148E2">
        <w:rPr>
          <w:rFonts w:ascii="Verdana" w:eastAsia="Arial" w:hAnsi="Verdana" w:cs="Arial"/>
          <w:b/>
        </w:rPr>
        <w:t>CAP Parity and Economic Impact</w:t>
      </w:r>
    </w:p>
    <w:p w:rsidR="006C62CB" w:rsidRPr="00E148E2">
      <w:pPr>
        <w:pStyle w:val="Standard"/>
        <w:rPr>
          <w:rFonts w:ascii="Verdana" w:hAnsi="Verdana"/>
        </w:rPr>
      </w:pPr>
      <w:r w:rsidRPr="00E148E2">
        <w:rPr>
          <w:rFonts w:ascii="Verdana" w:eastAsia="Arial" w:hAnsi="Verdana" w:cs="Arial"/>
        </w:rPr>
        <w:t>This ensures farm stability and inter-generational continuity, unlike my £100,000 liability on a £1.5 million holding. HMRC’s complex valuation rules - especially for tenanted or mixed-use land - contrast with CAP’s simplified payment model, creating administrative divergence and risking forced sales.</w:t>
      </w:r>
    </w:p>
    <w:p w:rsidR="006C62CB" w:rsidRPr="00E148E2">
      <w:pPr>
        <w:pStyle w:val="Standard"/>
        <w:rPr>
          <w:rFonts w:ascii="Verdana" w:eastAsia="Arial" w:hAnsi="Verdana" w:cs="Arial"/>
        </w:rPr>
      </w:pPr>
    </w:p>
    <w:p w:rsidR="006C62CB" w:rsidRPr="00E148E2">
      <w:pPr>
        <w:pStyle w:val="Standard"/>
        <w:rPr>
          <w:rFonts w:ascii="Verdana" w:hAnsi="Verdana"/>
        </w:rPr>
      </w:pPr>
      <w:r w:rsidRPr="00E148E2">
        <w:rPr>
          <w:rFonts w:ascii="Verdana" w:eastAsia="Arial" w:hAnsi="Verdana" w:cs="Arial"/>
        </w:rPr>
        <w:t xml:space="preserve">This disparity disadvantages Northern Ireland’s £1.5 billion </w:t>
      </w:r>
      <w:r w:rsidRPr="00E148E2">
        <w:rPr>
          <w:rFonts w:ascii="Verdana" w:eastAsia="Arial" w:hAnsi="Verdana" w:cs="Arial"/>
        </w:rPr>
        <w:t>agri</w:t>
      </w:r>
      <w:r w:rsidRPr="00E148E2">
        <w:rPr>
          <w:rFonts w:ascii="Verdana" w:eastAsia="Arial" w:hAnsi="Verdana" w:cs="Arial"/>
        </w:rPr>
        <w:t>-exports to Ireland, breaches Windsor Framework Article 10 and TCA Articles 355–366, and threatens overall UK food security.</w:t>
      </w:r>
    </w:p>
    <w:p w:rsidR="006C62CB" w:rsidRPr="00E148E2">
      <w:pPr>
        <w:pStyle w:val="Standard"/>
        <w:rPr>
          <w:rFonts w:ascii="Verdana" w:eastAsia="Arial" w:hAnsi="Verdana" w:cs="Arial"/>
        </w:rPr>
      </w:pPr>
    </w:p>
    <w:p w:rsidR="006C62CB">
      <w:pPr>
        <w:pStyle w:val="Standard"/>
        <w:rPr>
          <w:rFonts w:ascii="Verdana" w:eastAsia="Arial" w:hAnsi="Verdana" w:cs="Arial"/>
        </w:rPr>
      </w:pPr>
      <w:r w:rsidRPr="00E148E2">
        <w:rPr>
          <w:rFonts w:ascii="Verdana" w:eastAsia="Arial" w:hAnsi="Verdana" w:cs="Arial"/>
        </w:rPr>
        <w:t>EU farmers receive €386.6 billion (2021–2027) in Common Agricultural Policy (CAP) support, including €291.1 billion in direct payments, and face no equivalent inheritance taxation, as detailed in the European Parliament’s 2025 CAP brief.</w:t>
      </w:r>
    </w:p>
    <w:p w:rsidR="00E148E2">
      <w:pPr>
        <w:pStyle w:val="Standard"/>
        <w:rPr>
          <w:rFonts w:ascii="Verdana" w:eastAsia="Arial" w:hAnsi="Verdana" w:cs="Arial"/>
        </w:rPr>
      </w:pPr>
    </w:p>
    <w:p w:rsidR="00E148E2" w:rsidRPr="00E148E2">
      <w:pPr>
        <w:pStyle w:val="Standard"/>
        <w:rPr>
          <w:rFonts w:ascii="Verdana" w:hAnsi="Verdana"/>
        </w:rPr>
      </w:pPr>
    </w:p>
    <w:p w:rsidR="006C62CB" w:rsidRPr="00E148E2">
      <w:pPr>
        <w:pStyle w:val="Standard"/>
        <w:rPr>
          <w:rFonts w:ascii="Verdana" w:eastAsia="Arial" w:hAnsi="Verdana" w:cs="Arial"/>
        </w:rPr>
      </w:pPr>
    </w:p>
    <w:p w:rsidR="006C62CB" w:rsidRPr="00E148E2">
      <w:pPr>
        <w:pStyle w:val="Standard"/>
        <w:rPr>
          <w:rFonts w:ascii="Verdana" w:hAnsi="Verdana"/>
        </w:rPr>
      </w:pPr>
      <w:r w:rsidRPr="00E148E2">
        <w:rPr>
          <w:rFonts w:ascii="Verdana" w:eastAsia="Arial" w:hAnsi="Verdana" w:cs="Arial"/>
          <w:b/>
        </w:rPr>
        <w:t>Administrative Burdens</w:t>
      </w:r>
    </w:p>
    <w:p w:rsidR="006C62CB" w:rsidRPr="00E148E2">
      <w:pPr>
        <w:pStyle w:val="Standard"/>
        <w:rPr>
          <w:rFonts w:ascii="Verdana" w:hAnsi="Verdana"/>
        </w:rPr>
      </w:pPr>
      <w:r w:rsidRPr="00E148E2">
        <w:rPr>
          <w:rFonts w:ascii="Verdana" w:eastAsia="Arial" w:hAnsi="Verdana" w:cs="Arial"/>
        </w:rPr>
        <w:t>Valuing my land for APR relief is highly complex, as HMRC’s “active farming” criteria are unclear and its six-month payment window forces sales where liquidity is limited.</w:t>
      </w:r>
    </w:p>
    <w:p w:rsidR="006C62CB" w:rsidRPr="00E148E2">
      <w:pPr>
        <w:pStyle w:val="Standard"/>
        <w:rPr>
          <w:rFonts w:ascii="Verdana" w:eastAsia="Arial" w:hAnsi="Verdana" w:cs="Arial"/>
        </w:rPr>
      </w:pPr>
    </w:p>
    <w:p w:rsidR="006C62CB" w:rsidRPr="00E148E2">
      <w:pPr>
        <w:pStyle w:val="Standard"/>
        <w:rPr>
          <w:rFonts w:ascii="Verdana" w:hAnsi="Verdana"/>
        </w:rPr>
      </w:pPr>
      <w:r w:rsidRPr="00E148E2">
        <w:rPr>
          <w:rFonts w:ascii="Verdana" w:eastAsia="Arial" w:hAnsi="Verdana" w:cs="Arial"/>
        </w:rPr>
        <w:t xml:space="preserve">My estate is </w:t>
      </w:r>
      <w:r w:rsidRPr="00E148E2">
        <w:rPr>
          <w:rFonts w:ascii="Verdana" w:eastAsia="Arial" w:hAnsi="Verdana" w:cs="Arial"/>
        </w:rPr>
        <w:t xml:space="preserve">asset-rich but cash-poor; meeting the new liability could require selling productive farmland or machinery. </w:t>
      </w:r>
      <w:r w:rsidRPr="00E148E2">
        <w:rPr>
          <w:rFonts w:ascii="Verdana" w:eastAsia="Arial" w:hAnsi="Verdana" w:cs="Arial"/>
        </w:rPr>
        <w:t>CenTax</w:t>
      </w:r>
      <w:r w:rsidRPr="00E148E2">
        <w:rPr>
          <w:rFonts w:ascii="Verdana" w:eastAsia="Arial" w:hAnsi="Verdana" w:cs="Arial"/>
        </w:rPr>
        <w:t xml:space="preserve"> (2024) estimates that around 480 estates face similar £100,000+ exposures under the reformed regime.</w:t>
      </w:r>
    </w:p>
    <w:p w:rsidR="006C62CB" w:rsidRPr="00E148E2">
      <w:pPr>
        <w:pStyle w:val="Standard"/>
        <w:rPr>
          <w:rFonts w:ascii="Verdana" w:eastAsia="Arial" w:hAnsi="Verdana" w:cs="Arial"/>
        </w:rPr>
      </w:pPr>
    </w:p>
    <w:p w:rsidR="006C62CB" w:rsidRPr="00E148E2">
      <w:pPr>
        <w:pStyle w:val="Standard"/>
        <w:rPr>
          <w:rFonts w:ascii="Verdana" w:hAnsi="Verdana"/>
        </w:rPr>
      </w:pPr>
      <w:r w:rsidRPr="00E148E2">
        <w:rPr>
          <w:rFonts w:ascii="Verdana" w:eastAsia="Arial" w:hAnsi="Verdana" w:cs="Arial"/>
          <w:b/>
        </w:rPr>
        <w:t>Environmental Divergence — Sand Eel Ban</w:t>
      </w:r>
    </w:p>
    <w:p w:rsidR="006C62CB" w:rsidRPr="00E148E2">
      <w:pPr>
        <w:pStyle w:val="Standard"/>
        <w:rPr>
          <w:rFonts w:ascii="Verdana" w:hAnsi="Verdana"/>
        </w:rPr>
      </w:pPr>
      <w:r w:rsidRPr="00E148E2">
        <w:rPr>
          <w:rFonts w:ascii="Verdana" w:eastAsia="Arial" w:hAnsi="Verdana" w:cs="Arial"/>
        </w:rPr>
        <w:t>In 2023–2024, the European Union introduced a ban on industrial sand eel fishing to protect seabird populations and marine ecosystems. The UK Government declined to implement the same measure, allowing continued fishing in UK waters.</w:t>
      </w:r>
    </w:p>
    <w:p w:rsidR="006C62CB" w:rsidRPr="00E148E2">
      <w:pPr>
        <w:pStyle w:val="Standard"/>
        <w:rPr>
          <w:rFonts w:ascii="Verdana" w:eastAsia="Arial" w:hAnsi="Verdana" w:cs="Arial"/>
        </w:rPr>
      </w:pPr>
    </w:p>
    <w:p w:rsidR="006C62CB" w:rsidRPr="00E148E2">
      <w:pPr>
        <w:pStyle w:val="Standard"/>
        <w:rPr>
          <w:rFonts w:ascii="Verdana" w:hAnsi="Verdana"/>
        </w:rPr>
      </w:pPr>
      <w:r w:rsidRPr="00E148E2">
        <w:rPr>
          <w:rFonts w:ascii="Verdana" w:eastAsia="Arial" w:hAnsi="Verdana" w:cs="Arial"/>
        </w:rPr>
        <w:t>This divergence undermines the non-regression and level-playing-field commitments in Articles 7.2 and 9–10 of the TCA, illustrating the broader post-Brexit regulatory rollback that threatens environmental standards and market parity for Northern Ireland’s agri-food sector.</w:t>
      </w:r>
    </w:p>
    <w:p w:rsidR="006C62CB" w:rsidRPr="00E148E2">
      <w:pPr>
        <w:pStyle w:val="Standard"/>
        <w:rPr>
          <w:rFonts w:ascii="Verdana" w:eastAsia="Arial" w:hAnsi="Verdana" w:cs="Arial"/>
        </w:rPr>
      </w:pPr>
    </w:p>
    <w:p w:rsidR="006C62CB" w:rsidRPr="00E148E2">
      <w:pPr>
        <w:pStyle w:val="Standard"/>
        <w:rPr>
          <w:rFonts w:ascii="Verdana" w:hAnsi="Verdana"/>
        </w:rPr>
      </w:pPr>
      <w:r w:rsidRPr="00E148E2">
        <w:rPr>
          <w:rFonts w:ascii="Verdana" w:eastAsia="Arial" w:hAnsi="Verdana" w:cs="Arial"/>
          <w:b/>
        </w:rPr>
        <w:t>Independent Expert Evidence - Centre for Inclusive Trade Policy (CITP, 2024)</w:t>
      </w:r>
    </w:p>
    <w:p w:rsidR="006C62CB" w:rsidRPr="00E148E2">
      <w:pPr>
        <w:pStyle w:val="Standard"/>
        <w:rPr>
          <w:rFonts w:ascii="Verdana" w:hAnsi="Verdana"/>
        </w:rPr>
      </w:pPr>
      <w:r w:rsidRPr="00E148E2">
        <w:rPr>
          <w:rFonts w:ascii="Verdana" w:eastAsia="Arial" w:hAnsi="Verdana" w:cs="Arial"/>
        </w:rPr>
        <w:t>Independent academic research from the Centre for Inclusive Trade Policy (CITP) — Briefing Paper 17: “An EU–UK SPS Agreement: The Perils and Possibilities of (Re)alignment” (Dr Emily Lydgate and Alex Carson-Taylor, 3 December 2024) — finds that UK agri-food exports to the EU have declined by 16.34 percent per year since 2021 compared with the three preceding years.</w:t>
      </w:r>
    </w:p>
    <w:p w:rsidR="006C62CB" w:rsidRPr="00E148E2">
      <w:pPr>
        <w:pStyle w:val="Standard"/>
        <w:rPr>
          <w:rFonts w:ascii="Verdana" w:eastAsia="Arial" w:hAnsi="Verdana" w:cs="Arial"/>
        </w:rPr>
      </w:pPr>
    </w:p>
    <w:p w:rsidR="006C62CB" w:rsidRPr="00E148E2">
      <w:pPr>
        <w:pStyle w:val="Standard"/>
        <w:rPr>
          <w:rFonts w:ascii="Verdana" w:hAnsi="Verdana"/>
        </w:rPr>
      </w:pPr>
      <w:r w:rsidRPr="00E148E2">
        <w:rPr>
          <w:rFonts w:ascii="Verdana" w:eastAsia="Arial" w:hAnsi="Verdana" w:cs="Arial"/>
        </w:rPr>
        <w:t>CITP identifies three forms of regulatory divergence now driving these losses:</w:t>
      </w:r>
    </w:p>
    <w:p w:rsidR="006C62CB" w:rsidRPr="00E148E2">
      <w:pPr>
        <w:pStyle w:val="Standard"/>
        <w:rPr>
          <w:rFonts w:ascii="Verdana" w:hAnsi="Verdana"/>
        </w:rPr>
      </w:pPr>
      <w:r w:rsidRPr="00E148E2">
        <w:rPr>
          <w:rFonts w:ascii="Verdana" w:eastAsia="Arial" w:hAnsi="Verdana" w:cs="Arial"/>
        </w:rPr>
        <w:t xml:space="preserve">• Formal legislative divergence, where UK law has departed from EU food-safety and veterinary </w:t>
      </w:r>
      <w:r w:rsidRPr="00E148E2">
        <w:rPr>
          <w:rFonts w:ascii="Verdana" w:eastAsia="Arial" w:hAnsi="Verdana" w:cs="Arial"/>
        </w:rPr>
        <w:t>rules;</w:t>
      </w:r>
    </w:p>
    <w:p w:rsidR="006C62CB" w:rsidRPr="00E148E2">
      <w:pPr>
        <w:pStyle w:val="Standard"/>
        <w:rPr>
          <w:rFonts w:ascii="Verdana" w:hAnsi="Verdana"/>
        </w:rPr>
      </w:pPr>
      <w:r w:rsidRPr="00E148E2">
        <w:rPr>
          <w:rFonts w:ascii="Verdana" w:eastAsia="Arial" w:hAnsi="Verdana" w:cs="Arial"/>
        </w:rPr>
        <w:t>• Process divergence, where duplicated certification and inspection requirements have increased costs and delays; and</w:t>
      </w:r>
    </w:p>
    <w:p w:rsidR="006C62CB" w:rsidRPr="00E148E2">
      <w:pPr>
        <w:pStyle w:val="Standard"/>
        <w:rPr>
          <w:rFonts w:ascii="Verdana" w:hAnsi="Verdana"/>
        </w:rPr>
      </w:pPr>
      <w:r w:rsidRPr="00E148E2">
        <w:rPr>
          <w:rFonts w:ascii="Verdana" w:eastAsia="Arial" w:hAnsi="Verdana" w:cs="Arial"/>
        </w:rPr>
        <w:t>• Strategic divergence, as UK policy has shifted toward “flexibility” in global trade rather than alignment with the EU.</w:t>
      </w:r>
    </w:p>
    <w:p w:rsidR="006C62CB" w:rsidRPr="00E148E2">
      <w:pPr>
        <w:pStyle w:val="Standard"/>
        <w:rPr>
          <w:rFonts w:ascii="Verdana" w:hAnsi="Verdana"/>
        </w:rPr>
      </w:pPr>
      <w:r w:rsidRPr="00E148E2">
        <w:rPr>
          <w:rFonts w:ascii="Verdana" w:eastAsia="Arial" w:hAnsi="Verdana" w:cs="Arial"/>
        </w:rPr>
        <w:t xml:space="preserve">For Northern Ireland farmers operating within the Windsor Framework, this evidence demonstrates how regulatory divergence is creating precisely the </w:t>
      </w:r>
      <w:r w:rsidRPr="00E148E2">
        <w:rPr>
          <w:rFonts w:ascii="Verdana" w:eastAsia="Arial" w:hAnsi="Verdana" w:cs="Arial"/>
        </w:rPr>
        <w:t>market distortion Article 10 was designed to prevent. Where EU competitors enjoy stable SPS rules and CAP support, Northern Irish producers now face the burden of dual standards and higher compliance costs on both sides of the Irish Sea.</w:t>
      </w:r>
    </w:p>
    <w:p w:rsidR="006C62CB" w:rsidRPr="00E148E2">
      <w:pPr>
        <w:pStyle w:val="Standard"/>
        <w:rPr>
          <w:rFonts w:ascii="Verdana" w:hAnsi="Verdana"/>
        </w:rPr>
      </w:pPr>
      <w:r w:rsidRPr="00E148E2">
        <w:rPr>
          <w:rFonts w:ascii="Verdana" w:eastAsia="Arial" w:hAnsi="Verdana" w:cs="Arial"/>
        </w:rPr>
        <w:t xml:space="preserve">CITP concludes that only a </w:t>
      </w:r>
      <w:r w:rsidRPr="00E148E2">
        <w:rPr>
          <w:rFonts w:ascii="Verdana" w:eastAsia="Arial" w:hAnsi="Verdana" w:cs="Arial"/>
        </w:rPr>
        <w:t>comprehensive SPS agreement with dynamic alignment could restore trade efficiency and stability for UK and Northern Ireland agriculture alike. This expert analysis supports our view that the Government’s current policy direction risks breaching Article 7.2 and Title XI of the Trade and Cooperation Agreement (TCA).</w:t>
      </w:r>
    </w:p>
    <w:p w:rsidR="006C62CB" w:rsidRPr="00E148E2">
      <w:pPr>
        <w:pStyle w:val="Standard"/>
        <w:rPr>
          <w:rFonts w:ascii="Verdana" w:eastAsia="Arial" w:hAnsi="Verdana" w:cs="Arial"/>
        </w:rPr>
      </w:pPr>
    </w:p>
    <w:p w:rsidR="006C62CB" w:rsidRPr="00E148E2">
      <w:pPr>
        <w:pStyle w:val="Standard"/>
        <w:rPr>
          <w:rFonts w:ascii="Verdana" w:hAnsi="Verdana"/>
        </w:rPr>
      </w:pPr>
      <w:r w:rsidRPr="00E148E2">
        <w:rPr>
          <w:rFonts w:ascii="Verdana" w:eastAsia="Arial" w:hAnsi="Verdana" w:cs="Arial"/>
          <w:b/>
        </w:rPr>
        <w:t>Expert Legal Analysis — Emma Chamberlain KC</w:t>
      </w:r>
    </w:p>
    <w:p w:rsidR="006C62CB" w:rsidRPr="00E148E2">
      <w:pPr>
        <w:pStyle w:val="Standard"/>
        <w:rPr>
          <w:rFonts w:ascii="Verdana" w:hAnsi="Verdana"/>
        </w:rPr>
      </w:pPr>
      <w:r w:rsidRPr="00E148E2">
        <w:rPr>
          <w:rFonts w:ascii="Verdana" w:eastAsia="Arial" w:hAnsi="Verdana" w:cs="Arial"/>
        </w:rPr>
        <w:t>Leading tax expert Emma Chamberlain KC has consistently advised Parliament that APR and BPR are vital to prevent forced sales and preserve continuity in family businesses.</w:t>
      </w:r>
    </w:p>
    <w:p w:rsidR="006C62CB" w:rsidRPr="00E148E2">
      <w:pPr>
        <w:pStyle w:val="Standard"/>
        <w:rPr>
          <w:rFonts w:ascii="Verdana" w:eastAsia="Arial" w:hAnsi="Verdana" w:cs="Arial"/>
        </w:rPr>
      </w:pPr>
    </w:p>
    <w:p w:rsidR="006C62CB" w:rsidRPr="00E148E2">
      <w:pPr>
        <w:pStyle w:val="Standard"/>
        <w:rPr>
          <w:rFonts w:ascii="Verdana" w:hAnsi="Verdana"/>
        </w:rPr>
      </w:pPr>
      <w:r w:rsidRPr="00E148E2">
        <w:rPr>
          <w:rFonts w:ascii="Verdana" w:eastAsia="Arial" w:hAnsi="Verdana" w:cs="Arial"/>
        </w:rPr>
        <w:t>In her 2016 Treasury Committee evidence and 2019–2020 Office of Tax Simplification review, she warned that removing these reliefs would trigger widespread liquidity crises and destroy inter-generational stability.</w:t>
      </w:r>
    </w:p>
    <w:p w:rsidR="006C62CB" w:rsidRPr="00E148E2">
      <w:pPr>
        <w:pStyle w:val="Standard"/>
        <w:rPr>
          <w:rFonts w:ascii="Verdana" w:eastAsia="Arial" w:hAnsi="Verdana" w:cs="Arial"/>
        </w:rPr>
      </w:pPr>
    </w:p>
    <w:p w:rsidR="006C62CB" w:rsidRPr="00E148E2">
      <w:pPr>
        <w:pStyle w:val="Standard"/>
        <w:rPr>
          <w:rFonts w:ascii="Verdana" w:hAnsi="Verdana"/>
        </w:rPr>
      </w:pPr>
      <w:r w:rsidRPr="00E148E2">
        <w:rPr>
          <w:rFonts w:ascii="Verdana" w:eastAsia="Arial" w:hAnsi="Verdana" w:cs="Arial"/>
        </w:rPr>
        <w:t>Her analysis confirms that the proposed reforms risk such crises for hundreds of family holdings across the UK, including up to 480 estates in Northern Ireland (</w:t>
      </w:r>
      <w:r w:rsidRPr="00E148E2">
        <w:rPr>
          <w:rFonts w:ascii="Verdana" w:eastAsia="Arial" w:hAnsi="Verdana" w:cs="Arial"/>
        </w:rPr>
        <w:t>CenTax</w:t>
      </w:r>
      <w:r w:rsidRPr="00E148E2">
        <w:rPr>
          <w:rFonts w:ascii="Verdana" w:eastAsia="Arial" w:hAnsi="Verdana" w:cs="Arial"/>
        </w:rPr>
        <w:t xml:space="preserve"> 2024). Disregarding this expert evidence risks economic harm and breaches of procedural fairness and proportionality under domestic and international law.</w:t>
      </w:r>
    </w:p>
    <w:p w:rsidR="006C62CB" w:rsidRPr="00E148E2">
      <w:pPr>
        <w:pStyle w:val="Standard"/>
        <w:rPr>
          <w:rFonts w:ascii="Verdana" w:eastAsia="Arial" w:hAnsi="Verdana" w:cs="Arial"/>
        </w:rPr>
      </w:pPr>
    </w:p>
    <w:p w:rsidR="006C62CB" w:rsidRPr="00E148E2">
      <w:pPr>
        <w:pStyle w:val="Standard"/>
        <w:rPr>
          <w:rFonts w:ascii="Verdana" w:hAnsi="Verdana"/>
        </w:rPr>
      </w:pPr>
      <w:r w:rsidRPr="00E148E2">
        <w:rPr>
          <w:rFonts w:ascii="Verdana" w:eastAsia="Arial" w:hAnsi="Verdana" w:cs="Arial"/>
          <w:b/>
        </w:rPr>
        <w:t>Recommendations</w:t>
      </w:r>
    </w:p>
    <w:p w:rsidR="006C62CB" w:rsidRPr="00E148E2">
      <w:pPr>
        <w:pStyle w:val="Standard"/>
        <w:rPr>
          <w:rFonts w:ascii="Verdana" w:hAnsi="Verdana"/>
        </w:rPr>
      </w:pPr>
      <w:r w:rsidRPr="00E148E2">
        <w:rPr>
          <w:rFonts w:ascii="Verdana" w:eastAsia="Arial" w:hAnsi="Verdana" w:cs="Arial"/>
        </w:rPr>
        <w:t>I urge the Committee to recommend that the Treasury:</w:t>
      </w:r>
    </w:p>
    <w:p w:rsidR="006C62CB" w:rsidRPr="00E148E2">
      <w:pPr>
        <w:pStyle w:val="Standard"/>
        <w:rPr>
          <w:rFonts w:ascii="Verdana" w:hAnsi="Verdana"/>
        </w:rPr>
      </w:pPr>
      <w:r w:rsidRPr="00E148E2">
        <w:rPr>
          <w:rFonts w:ascii="Verdana" w:eastAsia="Arial" w:hAnsi="Verdana" w:cs="Arial"/>
        </w:rPr>
        <w:t>1.</w:t>
      </w:r>
      <w:r w:rsidRPr="00E148E2">
        <w:rPr>
          <w:rFonts w:ascii="Verdana" w:eastAsia="Arial" w:hAnsi="Verdana" w:cs="Arial"/>
        </w:rPr>
        <w:tab/>
        <w:t xml:space="preserve">Suspend implementation of the inheritance-tax reforms in Northern Ireland pending a full Windsor Framework and TCA </w:t>
      </w:r>
      <w:r w:rsidRPr="00E148E2">
        <w:rPr>
          <w:rFonts w:ascii="Verdana" w:eastAsia="Arial" w:hAnsi="Verdana" w:cs="Arial"/>
        </w:rPr>
        <w:t>compatibility assessment.</w:t>
      </w:r>
    </w:p>
    <w:p w:rsidR="006C62CB" w:rsidRPr="00E148E2">
      <w:pPr>
        <w:pStyle w:val="Standard"/>
        <w:rPr>
          <w:rFonts w:ascii="Verdana" w:hAnsi="Verdana"/>
        </w:rPr>
      </w:pPr>
      <w:r w:rsidRPr="00E148E2">
        <w:rPr>
          <w:rFonts w:ascii="Verdana" w:eastAsia="Arial" w:hAnsi="Verdana" w:cs="Arial"/>
        </w:rPr>
        <w:t>2.</w:t>
      </w:r>
      <w:r w:rsidRPr="00E148E2">
        <w:rPr>
          <w:rFonts w:ascii="Verdana" w:eastAsia="Arial" w:hAnsi="Verdana" w:cs="Arial"/>
        </w:rPr>
        <w:tab/>
        <w:t>Notify the European Commission under Article 10 before any changes take effect.</w:t>
      </w:r>
    </w:p>
    <w:p w:rsidR="006C62CB" w:rsidRPr="00E148E2">
      <w:pPr>
        <w:pStyle w:val="Standard"/>
        <w:rPr>
          <w:rFonts w:ascii="Verdana" w:hAnsi="Verdana"/>
        </w:rPr>
      </w:pPr>
      <w:r w:rsidRPr="00E148E2">
        <w:rPr>
          <w:rFonts w:ascii="Verdana" w:eastAsia="Arial" w:hAnsi="Verdana" w:cs="Arial"/>
        </w:rPr>
        <w:t>3.</w:t>
      </w:r>
      <w:r w:rsidRPr="00E148E2">
        <w:rPr>
          <w:rFonts w:ascii="Verdana" w:eastAsia="Arial" w:hAnsi="Verdana" w:cs="Arial"/>
        </w:rPr>
        <w:tab/>
        <w:t>Consult Northern Ireland farming bodies and DAERA to ensure parity with EU standards and prevent market distortion.</w:t>
      </w:r>
    </w:p>
    <w:p w:rsidR="006C62CB" w:rsidRPr="00E148E2">
      <w:pPr>
        <w:pStyle w:val="Standard"/>
        <w:rPr>
          <w:rFonts w:ascii="Verdana" w:hAnsi="Verdana"/>
        </w:rPr>
      </w:pPr>
      <w:r w:rsidRPr="00E148E2">
        <w:rPr>
          <w:rFonts w:ascii="Verdana" w:eastAsia="Arial" w:hAnsi="Verdana" w:cs="Arial"/>
        </w:rPr>
        <w:t>4.</w:t>
      </w:r>
      <w:r w:rsidRPr="00E148E2">
        <w:rPr>
          <w:rFonts w:ascii="Verdana" w:eastAsia="Arial" w:hAnsi="Verdana" w:cs="Arial"/>
        </w:rPr>
        <w:tab/>
        <w:t>Simplify HMRC valuation procedures to mirror CAP’s streamlined rules and reduce administrative burden.</w:t>
      </w:r>
    </w:p>
    <w:p w:rsidR="006C62CB" w:rsidRPr="00E148E2">
      <w:pPr>
        <w:pStyle w:val="Standard"/>
        <w:rPr>
          <w:rFonts w:ascii="Verdana" w:eastAsia="Arial" w:hAnsi="Verdana" w:cs="Arial"/>
        </w:rPr>
      </w:pPr>
    </w:p>
    <w:p w:rsidR="006C62CB" w:rsidRPr="00E148E2">
      <w:pPr>
        <w:pStyle w:val="Standard"/>
        <w:rPr>
          <w:rFonts w:ascii="Verdana" w:hAnsi="Verdana"/>
        </w:rPr>
      </w:pPr>
      <w:r w:rsidRPr="00E148E2">
        <w:rPr>
          <w:rFonts w:ascii="Verdana" w:eastAsia="Arial" w:hAnsi="Verdana" w:cs="Arial"/>
          <w:b/>
        </w:rPr>
        <w:t>References</w:t>
      </w:r>
    </w:p>
    <w:p w:rsidR="006C62CB" w:rsidRPr="00E148E2">
      <w:pPr>
        <w:pStyle w:val="Standard"/>
        <w:rPr>
          <w:rFonts w:ascii="Verdana" w:hAnsi="Verdana"/>
        </w:rPr>
      </w:pPr>
      <w:r w:rsidRPr="00E148E2">
        <w:rPr>
          <w:rFonts w:ascii="Verdana" w:eastAsia="Arial" w:hAnsi="Verdana" w:cs="Arial"/>
        </w:rPr>
        <w:t>European Parliament (2025) – The EU Common Agricultural Policy —</w:t>
      </w:r>
      <w:r w:rsidRPr="00E148E2">
        <w:rPr>
          <w:rFonts w:ascii="Verdana" w:eastAsia="Arial" w:hAnsi="Verdana" w:cs="Arial"/>
        </w:rPr>
        <w:t> </w:t>
      </w:r>
      <w:r w:rsidRPr="00E148E2">
        <w:rPr>
          <w:rFonts w:ascii="Verdana" w:eastAsia="Arial" w:hAnsi="Verdana" w:cs="Arial"/>
        </w:rPr>
        <w:t>Its Reform and Future in Brief</w:t>
      </w:r>
    </w:p>
    <w:p w:rsidR="006C62CB" w:rsidRPr="00E148E2">
      <w:pPr>
        <w:pStyle w:val="Standard"/>
        <w:rPr>
          <w:rFonts w:ascii="Verdana" w:hAnsi="Verdana"/>
        </w:rPr>
      </w:pPr>
      <w:r w:rsidRPr="00E148E2">
        <w:rPr>
          <w:rFonts w:ascii="Verdana" w:eastAsia="Arial" w:hAnsi="Verdana" w:cs="Arial"/>
        </w:rPr>
        <w:t>https://www.europarl.europa.eu/topics/en/article/20210916STO12704/the-eu-common-agricultural-policy-its-reform-and-future-in-brief</w:t>
      </w:r>
    </w:p>
    <w:p w:rsidR="006C62CB" w:rsidRPr="00E148E2">
      <w:pPr>
        <w:pStyle w:val="Standard"/>
        <w:rPr>
          <w:rFonts w:ascii="Verdana" w:hAnsi="Verdana"/>
        </w:rPr>
      </w:pPr>
      <w:r w:rsidRPr="00E148E2">
        <w:rPr>
          <w:rFonts w:ascii="Verdana" w:eastAsia="Arial" w:hAnsi="Verdana" w:cs="Arial"/>
        </w:rPr>
        <w:t>Council Regulation (EU) 2023/2053 – Prohibition on industrial fishing of sand eel and similar species in EU waters (2024–2027)</w:t>
      </w:r>
    </w:p>
    <w:p w:rsidR="006C62CB" w:rsidRPr="00E148E2">
      <w:pPr>
        <w:pStyle w:val="Standard"/>
        <w:rPr>
          <w:rFonts w:ascii="Verdana" w:hAnsi="Verdana"/>
        </w:rPr>
      </w:pPr>
      <w:r w:rsidRPr="00E148E2">
        <w:rPr>
          <w:rFonts w:ascii="Verdana" w:eastAsia="Arial" w:hAnsi="Verdana" w:cs="Arial"/>
        </w:rPr>
        <w:t>https://eur-lex.europa.eu/legal-content/EN/TXT/?uri=CELEX:32023R2053</w:t>
      </w:r>
    </w:p>
    <w:p w:rsidR="006C62CB" w:rsidRPr="00E148E2">
      <w:pPr>
        <w:pStyle w:val="Standard"/>
        <w:rPr>
          <w:rFonts w:ascii="Verdana" w:hAnsi="Verdana"/>
        </w:rPr>
      </w:pPr>
      <w:r w:rsidRPr="00E148E2">
        <w:rPr>
          <w:rFonts w:ascii="Verdana" w:eastAsia="Arial" w:hAnsi="Verdana" w:cs="Arial"/>
        </w:rPr>
        <w:t>Independent academic research from the Centre for Inclusive Trade Policy (CITP)</w:t>
      </w:r>
    </w:p>
    <w:p w:rsidR="006C62CB" w:rsidRPr="00E148E2">
      <w:pPr>
        <w:pStyle w:val="Standard"/>
        <w:rPr>
          <w:rFonts w:ascii="Verdana" w:hAnsi="Verdana"/>
        </w:rPr>
      </w:pPr>
      <w:r w:rsidRPr="00E148E2">
        <w:rPr>
          <w:rFonts w:ascii="Verdana" w:eastAsia="Arial" w:hAnsi="Verdana" w:cs="Arial"/>
        </w:rPr>
        <w:t>Centre for Inclusive Trade Policy (2024) – An EU–UK SPS Agreement: The Perils and Possibilities of (Re)alignment (Briefing Paper 17) – https://citp.ac.uk/publications/an-eu-uk-veterinary-agreement-citp-bp17</w:t>
      </w:r>
    </w:p>
    <w:p w:rsidR="006C62CB" w:rsidRPr="00E148E2">
      <w:pPr>
        <w:pStyle w:val="Standard"/>
        <w:rPr>
          <w:rFonts w:ascii="Verdana" w:hAnsi="Verdana"/>
        </w:rPr>
      </w:pPr>
      <w:r w:rsidRPr="00E148E2">
        <w:rPr>
          <w:rFonts w:ascii="Verdana" w:eastAsia="Arial" w:hAnsi="Verdana" w:cs="Arial"/>
        </w:rPr>
        <w:t>Emma Chamberlain KC – Written Evidence to the House of Commons Treasury Committee (IHT0002, 2016)</w:t>
      </w:r>
    </w:p>
    <w:p w:rsidR="006C62CB" w:rsidRPr="00E148E2">
      <w:pPr>
        <w:pStyle w:val="Standard"/>
        <w:rPr>
          <w:rFonts w:ascii="Verdana" w:hAnsi="Verdana"/>
        </w:rPr>
      </w:pPr>
      <w:r w:rsidRPr="00E148E2">
        <w:rPr>
          <w:rFonts w:ascii="Verdana" w:eastAsia="Arial" w:hAnsi="Verdana" w:cs="Arial"/>
        </w:rPr>
        <w:t>https://committees.parliament.uk/writtenevidence/70589/pdf/</w:t>
      </w:r>
    </w:p>
    <w:p w:rsidR="006C62CB" w:rsidRPr="00E148E2">
      <w:pPr>
        <w:pStyle w:val="Standard"/>
        <w:rPr>
          <w:rFonts w:ascii="Verdana" w:hAnsi="Verdana"/>
        </w:rPr>
      </w:pPr>
      <w:r w:rsidRPr="00E148E2">
        <w:rPr>
          <w:rFonts w:ascii="Verdana" w:eastAsia="Arial" w:hAnsi="Verdana" w:cs="Arial"/>
        </w:rPr>
        <w:t>Emma Chamberlain KC, Office of Tax Simplification – 'Simplifying the Design of Inheritance Tax' (2019; updated 2020)</w:t>
      </w:r>
    </w:p>
    <w:p w:rsidR="006C62CB" w:rsidRPr="00E148E2">
      <w:pPr>
        <w:pStyle w:val="Standard"/>
        <w:rPr>
          <w:rFonts w:ascii="Verdana" w:hAnsi="Verdana"/>
        </w:rPr>
      </w:pPr>
      <w:r w:rsidRPr="00E148E2">
        <w:rPr>
          <w:rFonts w:ascii="Verdana" w:eastAsia="Arial" w:hAnsi="Verdana" w:cs="Arial"/>
        </w:rPr>
        <w:t>https://www.gov.uk/government/publications/ots-report-simplifying-the-design-of-inheritance-tax</w:t>
      </w:r>
    </w:p>
    <w:p w:rsidR="006C62CB" w:rsidRPr="00E148E2">
      <w:pPr>
        <w:pStyle w:val="Standard"/>
        <w:rPr>
          <w:rFonts w:ascii="Verdana" w:hAnsi="Verdana"/>
        </w:rPr>
      </w:pPr>
      <w:r w:rsidRPr="00E148E2">
        <w:rPr>
          <w:rFonts w:ascii="Verdana" w:eastAsia="Arial" w:hAnsi="Verdana" w:cs="Arial"/>
        </w:rPr>
        <w:t>Yours sincerely,</w:t>
      </w:r>
    </w:p>
    <w:p w:rsidR="006C62CB" w:rsidRPr="00E148E2" w:rsidP="00E148E2">
      <w:pPr>
        <w:pStyle w:val="Standard"/>
        <w:rPr>
          <w:rFonts w:ascii="Verdana" w:hAnsi="Verdana"/>
        </w:rPr>
      </w:pPr>
      <w:r w:rsidRPr="00E148E2">
        <w:rPr>
          <w:rFonts w:ascii="Verdana" w:eastAsia="Arial" w:hAnsi="Verdana" w:cs="Arial"/>
        </w:rPr>
        <w:t xml:space="preserve">Stephen Taylor </w:t>
      </w:r>
    </w:p>
    <w:p w:rsidR="006C62CB" w:rsidRPr="00E148E2">
      <w:pPr>
        <w:pStyle w:val="Standard"/>
        <w:rPr>
          <w:rFonts w:ascii="Verdana" w:eastAsia="Arial" w:hAnsi="Verdana" w:cs="Arial"/>
        </w:rPr>
      </w:pPr>
    </w:p>
    <w:p w:rsidR="006C62CB">
      <w:pPr>
        <w:pStyle w:val="Standard"/>
        <w:rPr>
          <w:rFonts w:ascii="Verdana" w:eastAsia="Arial" w:hAnsi="Verdana" w:cs="Arial"/>
          <w:i/>
        </w:rPr>
      </w:pPr>
      <w:r w:rsidRPr="00E148E2">
        <w:rPr>
          <w:rFonts w:ascii="Verdana" w:eastAsia="Arial" w:hAnsi="Verdana" w:cs="Arial"/>
          <w:i/>
        </w:rPr>
        <w:t>This evidence was prepared with editorial assistance from AI tools under the direction of Save British Farming. All factual sources cited are official and verifiable.</w:t>
      </w:r>
    </w:p>
    <w:p w:rsidR="00E148E2">
      <w:pPr>
        <w:pStyle w:val="Standard"/>
        <w:rPr>
          <w:rFonts w:ascii="Verdana" w:eastAsia="Arial" w:hAnsi="Verdana" w:cs="Arial"/>
          <w:i/>
        </w:rPr>
      </w:pPr>
    </w:p>
    <w:p w:rsidR="00E148E2" w:rsidRPr="00E148E2">
      <w:pPr>
        <w:pStyle w:val="Standard"/>
        <w:rPr>
          <w:rFonts w:ascii="Verdana" w:hAnsi="Verdana"/>
        </w:rPr>
      </w:pPr>
      <w:r>
        <w:rPr>
          <w:rFonts w:ascii="Verdana" w:eastAsia="Arial" w:hAnsi="Verdana" w:cs="Arial"/>
          <w:i/>
        </w:rPr>
        <w:t xml:space="preserve">7 October 2025 </w:t>
      </w:r>
    </w:p>
    <w:p w:rsidR="006C62CB">
      <w:pPr>
        <w:pStyle w:val="Standard"/>
      </w:pPr>
    </w:p>
    <w:sectPr>
      <w:pgSz w:w="11906" w:h="16838"/>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F">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Liberation Sans">
    <w:charset w:val="00"/>
    <w:family w:val="swiss"/>
    <w:pitch w:val="variable"/>
  </w:font>
  <w:font w:name="Linux Libertine G">
    <w:charset w:val="00"/>
    <w:family w:val="auto"/>
    <w:pitch w:val="variable"/>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AA63515"/>
    <w:multiLevelType w:val="multilevel"/>
    <w:tmpl w:val="2B4ED932"/>
    <w:styleLink w:val="NoList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autoHyphenation/>
  <w:characterSpacingControl w:val="doNotCompress"/>
  <w:compat>
    <w:compatSetting w:name="compatibilityMode" w:uri="http://schemas.microsoft.com/office/word" w:val="15"/>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GB"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pPr>
  </w:style>
  <w:style w:type="paragraph" w:styleId="Heading1">
    <w:name w:val="heading 1"/>
    <w:basedOn w:val="Normal"/>
    <w:next w:val="Standard"/>
    <w:uiPriority w:val="9"/>
    <w:qFormat/>
    <w:pPr>
      <w:keepNext/>
      <w:keepLines/>
      <w:spacing w:before="360" w:after="80"/>
      <w:outlineLvl w:val="0"/>
    </w:pPr>
    <w:rPr>
      <w:color w:val="2F5496"/>
      <w:sz w:val="40"/>
      <w:szCs w:val="40"/>
    </w:rPr>
  </w:style>
  <w:style w:type="paragraph" w:styleId="Heading2">
    <w:name w:val="heading 2"/>
    <w:basedOn w:val="Normal"/>
    <w:next w:val="Standard"/>
    <w:uiPriority w:val="9"/>
    <w:semiHidden/>
    <w:unhideWhenUsed/>
    <w:qFormat/>
    <w:pPr>
      <w:keepNext/>
      <w:keepLines/>
      <w:spacing w:before="160" w:after="80"/>
      <w:outlineLvl w:val="1"/>
    </w:pPr>
    <w:rPr>
      <w:color w:val="2F5496"/>
      <w:sz w:val="32"/>
      <w:szCs w:val="32"/>
    </w:rPr>
  </w:style>
  <w:style w:type="paragraph" w:styleId="Heading3">
    <w:name w:val="heading 3"/>
    <w:basedOn w:val="Normal"/>
    <w:next w:val="Standard"/>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Standard"/>
    <w:uiPriority w:val="9"/>
    <w:semiHidden/>
    <w:unhideWhenUsed/>
    <w:qFormat/>
    <w:pPr>
      <w:keepNext/>
      <w:keepLines/>
      <w:spacing w:before="80" w:after="40"/>
      <w:outlineLvl w:val="3"/>
    </w:pPr>
    <w:rPr>
      <w:i/>
      <w:color w:val="2F5496"/>
    </w:rPr>
  </w:style>
  <w:style w:type="paragraph" w:styleId="Heading5">
    <w:name w:val="heading 5"/>
    <w:basedOn w:val="Normal"/>
    <w:next w:val="Standard"/>
    <w:uiPriority w:val="9"/>
    <w:semiHidden/>
    <w:unhideWhenUsed/>
    <w:qFormat/>
    <w:pPr>
      <w:keepNext/>
      <w:keepLines/>
      <w:spacing w:before="80" w:after="40"/>
      <w:outlineLvl w:val="4"/>
    </w:pPr>
    <w:rPr>
      <w:color w:val="2F5496"/>
    </w:rPr>
  </w:style>
  <w:style w:type="paragraph" w:styleId="Heading6">
    <w:name w:val="heading 6"/>
    <w:basedOn w:val="Normal"/>
    <w:next w:val="Standard"/>
    <w:uiPriority w:val="9"/>
    <w:semiHidden/>
    <w:unhideWhenUsed/>
    <w:qFormat/>
    <w:pPr>
      <w:keepNext/>
      <w:keepLines/>
      <w:spacing w:before="40"/>
      <w:outlineLvl w:val="5"/>
    </w:pPr>
    <w:rPr>
      <w:i/>
      <w:color w:val="595959"/>
    </w:rPr>
  </w:style>
  <w:style w:type="paragraph" w:styleId="Heading7">
    <w:name w:val="heading 7"/>
    <w:basedOn w:val="Normal"/>
    <w:next w:val="Standard"/>
    <w:pPr>
      <w:keepNext/>
      <w:keepLines/>
      <w:spacing w:before="40"/>
      <w:outlineLvl w:val="6"/>
    </w:pPr>
    <w:rPr>
      <w:rFonts w:eastAsia="F" w:cs="F"/>
      <w:color w:val="595959"/>
    </w:rPr>
  </w:style>
  <w:style w:type="paragraph" w:styleId="Heading8">
    <w:name w:val="heading 8"/>
    <w:basedOn w:val="Normal"/>
    <w:next w:val="Standard"/>
    <w:pPr>
      <w:keepNext/>
      <w:keepLines/>
      <w:outlineLvl w:val="7"/>
    </w:pPr>
    <w:rPr>
      <w:rFonts w:eastAsia="F" w:cs="F"/>
      <w:i/>
      <w:iCs/>
      <w:color w:val="272727"/>
    </w:rPr>
  </w:style>
  <w:style w:type="paragraph" w:styleId="Heading9">
    <w:name w:val="heading 9"/>
    <w:basedOn w:val="Normal"/>
    <w:next w:val="Standard"/>
    <w:pPr>
      <w:keepNext/>
      <w:keepLines/>
      <w:outlineLvl w:val="8"/>
    </w:pPr>
    <w:rPr>
      <w:rFonts w:eastAsia="F" w:cs="F"/>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pacing w:after="160" w:line="259" w:lineRule="auto"/>
    </w:pPr>
  </w:style>
  <w:style w:type="paragraph" w:customStyle="1" w:styleId="Heading">
    <w:name w:val="Heading"/>
    <w:basedOn w:val="Standard"/>
    <w:next w:val="Textbody"/>
    <w:pPr>
      <w:keepNext/>
      <w:spacing w:before="240" w:after="120"/>
    </w:pPr>
    <w:rPr>
      <w:rFonts w:ascii="Liberation Sans" w:eastAsia="Linux Libertine G" w:hAnsi="Liberation Sans" w:cs="Linux Libertine G"/>
      <w:sz w:val="28"/>
      <w:szCs w:val="28"/>
    </w:rPr>
  </w:style>
  <w:style w:type="paragraph" w:customStyle="1" w:styleId="Textbody">
    <w:name w:val="Text body"/>
    <w:basedOn w:val="Standard"/>
    <w:pPr>
      <w:spacing w:after="140" w:line="276" w:lineRule="auto"/>
    </w:pPr>
  </w:style>
  <w:style w:type="paragraph" w:styleId="List">
    <w:name w:val="List"/>
    <w:basedOn w:val="Textbody"/>
    <w:rPr>
      <w:sz w:val="24"/>
    </w:rPr>
  </w:style>
  <w:style w:type="paragraph" w:styleId="Caption">
    <w:name w:val="caption"/>
    <w:basedOn w:val="Standard"/>
    <w:pPr>
      <w:suppressLineNumbers/>
      <w:spacing w:before="120" w:after="120"/>
    </w:pPr>
    <w:rPr>
      <w:i/>
      <w:iCs/>
      <w:sz w:val="24"/>
      <w:szCs w:val="24"/>
    </w:rPr>
  </w:style>
  <w:style w:type="paragraph" w:customStyle="1" w:styleId="Index">
    <w:name w:val="Index"/>
    <w:basedOn w:val="Standard"/>
    <w:pPr>
      <w:suppressLineNumbers/>
    </w:pPr>
    <w:rPr>
      <w:sz w:val="24"/>
    </w:rPr>
  </w:style>
  <w:style w:type="paragraph" w:styleId="Title">
    <w:name w:val="Title"/>
    <w:basedOn w:val="Normal"/>
    <w:next w:val="Standard"/>
    <w:uiPriority w:val="10"/>
    <w:qFormat/>
    <w:pPr>
      <w:spacing w:after="80"/>
    </w:pPr>
    <w:rPr>
      <w:sz w:val="56"/>
      <w:szCs w:val="56"/>
    </w:rPr>
  </w:style>
  <w:style w:type="paragraph" w:styleId="Quote">
    <w:name w:val="Quote"/>
    <w:basedOn w:val="Normal"/>
    <w:next w:val="Standard"/>
    <w:pPr>
      <w:spacing w:before="160"/>
      <w:jc w:val="center"/>
    </w:pPr>
    <w:rPr>
      <w:i/>
      <w:iCs/>
      <w:color w:val="404040"/>
    </w:rPr>
  </w:style>
  <w:style w:type="paragraph" w:styleId="ListParagraph">
    <w:name w:val="List Paragraph"/>
    <w:basedOn w:val="Normal"/>
    <w:pPr>
      <w:ind w:left="720"/>
    </w:pPr>
  </w:style>
  <w:style w:type="paragraph" w:styleId="IntenseQuote">
    <w:name w:val="Intense Quote"/>
    <w:basedOn w:val="Normal"/>
    <w:next w:val="Standard"/>
    <w:pPr>
      <w:pBdr>
        <w:top w:val="single" w:sz="4" w:space="10" w:color="2F5496"/>
        <w:bottom w:val="single" w:sz="4" w:space="10" w:color="2F5496"/>
      </w:pBdr>
      <w:spacing w:before="360" w:after="360"/>
      <w:ind w:left="864" w:right="864"/>
      <w:jc w:val="center"/>
    </w:pPr>
    <w:rPr>
      <w:i/>
      <w:iCs/>
      <w:color w:val="2F5496"/>
    </w:rPr>
  </w:style>
  <w:style w:type="paragraph" w:styleId="Subtitle">
    <w:name w:val="Subtitle"/>
    <w:basedOn w:val="Normal"/>
    <w:next w:val="Standard"/>
    <w:uiPriority w:val="11"/>
    <w:qFormat/>
    <w:rPr>
      <w:color w:val="595959"/>
      <w:sz w:val="28"/>
      <w:szCs w:val="28"/>
    </w:rPr>
  </w:style>
  <w:style w:type="character" w:customStyle="1" w:styleId="Heading1Char">
    <w:name w:val="Heading 1 Char"/>
    <w:basedOn w:val="DefaultParagraphFont"/>
    <w:rPr>
      <w:rFonts w:ascii="Calibri Light" w:eastAsia="F" w:hAnsi="Calibri Light" w:cs="F"/>
      <w:color w:val="2F5496"/>
      <w:sz w:val="40"/>
      <w:szCs w:val="40"/>
    </w:rPr>
  </w:style>
  <w:style w:type="character" w:customStyle="1" w:styleId="Heading2Char">
    <w:name w:val="Heading 2 Char"/>
    <w:basedOn w:val="DefaultParagraphFont"/>
    <w:rPr>
      <w:rFonts w:ascii="Calibri Light" w:eastAsia="F" w:hAnsi="Calibri Light" w:cs="F"/>
      <w:color w:val="2F5496"/>
      <w:sz w:val="32"/>
      <w:szCs w:val="32"/>
    </w:rPr>
  </w:style>
  <w:style w:type="character" w:customStyle="1" w:styleId="Heading3Char">
    <w:name w:val="Heading 3 Char"/>
    <w:basedOn w:val="DefaultParagraphFont"/>
    <w:rPr>
      <w:rFonts w:eastAsia="F" w:cs="F"/>
      <w:color w:val="2F5496"/>
      <w:sz w:val="28"/>
      <w:szCs w:val="28"/>
    </w:rPr>
  </w:style>
  <w:style w:type="character" w:customStyle="1" w:styleId="Heading4Char">
    <w:name w:val="Heading 4 Char"/>
    <w:basedOn w:val="DefaultParagraphFont"/>
    <w:rPr>
      <w:rFonts w:eastAsia="F" w:cs="F"/>
      <w:i/>
      <w:iCs/>
      <w:color w:val="2F5496"/>
    </w:rPr>
  </w:style>
  <w:style w:type="character" w:customStyle="1" w:styleId="Heading5Char">
    <w:name w:val="Heading 5 Char"/>
    <w:basedOn w:val="DefaultParagraphFont"/>
    <w:rPr>
      <w:rFonts w:eastAsia="F" w:cs="F"/>
      <w:color w:val="2F5496"/>
    </w:rPr>
  </w:style>
  <w:style w:type="character" w:customStyle="1" w:styleId="Heading6Char">
    <w:name w:val="Heading 6 Char"/>
    <w:basedOn w:val="DefaultParagraphFont"/>
    <w:rPr>
      <w:rFonts w:eastAsia="F" w:cs="F"/>
      <w:i/>
      <w:iCs/>
      <w:color w:val="595959"/>
    </w:rPr>
  </w:style>
  <w:style w:type="character" w:customStyle="1" w:styleId="Heading7Char">
    <w:name w:val="Heading 7 Char"/>
    <w:basedOn w:val="DefaultParagraphFont"/>
    <w:rPr>
      <w:rFonts w:eastAsia="F" w:cs="F"/>
      <w:color w:val="595959"/>
    </w:rPr>
  </w:style>
  <w:style w:type="character" w:customStyle="1" w:styleId="Heading8Char">
    <w:name w:val="Heading 8 Char"/>
    <w:basedOn w:val="DefaultParagraphFont"/>
    <w:rPr>
      <w:rFonts w:eastAsia="F" w:cs="F"/>
      <w:i/>
      <w:iCs/>
      <w:color w:val="272727"/>
    </w:rPr>
  </w:style>
  <w:style w:type="character" w:customStyle="1" w:styleId="Heading9Char">
    <w:name w:val="Heading 9 Char"/>
    <w:basedOn w:val="DefaultParagraphFont"/>
    <w:rPr>
      <w:rFonts w:eastAsia="F" w:cs="F"/>
      <w:color w:val="272727"/>
    </w:rPr>
  </w:style>
  <w:style w:type="character" w:customStyle="1" w:styleId="TitleChar">
    <w:name w:val="Title Char"/>
    <w:basedOn w:val="DefaultParagraphFont"/>
    <w:rPr>
      <w:rFonts w:ascii="Calibri Light" w:eastAsia="F" w:hAnsi="Calibri Light" w:cs="F"/>
      <w:spacing w:val="-10"/>
      <w:kern w:val="3"/>
      <w:sz w:val="56"/>
      <w:szCs w:val="56"/>
    </w:rPr>
  </w:style>
  <w:style w:type="character" w:customStyle="1" w:styleId="SubtitleChar">
    <w:name w:val="Subtitle Char"/>
    <w:basedOn w:val="DefaultParagraphFont"/>
    <w:rPr>
      <w:rFonts w:eastAsia="F" w:cs="F"/>
      <w:color w:val="595959"/>
      <w:spacing w:val="15"/>
      <w:sz w:val="28"/>
      <w:szCs w:val="28"/>
    </w:rPr>
  </w:style>
  <w:style w:type="character" w:customStyle="1" w:styleId="QuoteChar">
    <w:name w:val="Quote Char"/>
    <w:basedOn w:val="DefaultParagraphFont"/>
    <w:rPr>
      <w:i/>
      <w:iCs/>
      <w:color w:val="404040"/>
    </w:rPr>
  </w:style>
  <w:style w:type="character" w:styleId="IntenseEmphasis">
    <w:name w:val="Intense Emphasis"/>
    <w:basedOn w:val="DefaultParagraphFont"/>
    <w:rPr>
      <w:i/>
      <w:iCs/>
      <w:color w:val="2F5496"/>
    </w:rPr>
  </w:style>
  <w:style w:type="character" w:customStyle="1" w:styleId="IntenseQuoteChar">
    <w:name w:val="Intense Quote Char"/>
    <w:basedOn w:val="DefaultParagraphFont"/>
    <w:rPr>
      <w:i/>
      <w:iCs/>
      <w:color w:val="2F5496"/>
    </w:rPr>
  </w:style>
  <w:style w:type="character" w:styleId="IntenseReference">
    <w:name w:val="Intense Reference"/>
    <w:basedOn w:val="DefaultParagraphFont"/>
    <w:rPr>
      <w:b/>
      <w:bCs/>
      <w:smallCaps/>
      <w:color w:val="2F5496"/>
      <w:spacing w:val="5"/>
    </w:rPr>
  </w:style>
  <w:style w:type="numbering" w:customStyle="1" w:styleId="NoList1">
    <w:name w:val="No List_1"/>
    <w:basedOn w:val="NoList"/>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