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26AD" w:rsidRPr="001526AD" w:rsidP="0073425E">
      <w:pPr>
        <w:spacing w:before="60" w:after="60" w:line="300" w:lineRule="auto"/>
        <w:jc w:val="center"/>
        <w:rPr>
          <w:rFonts w:cstheme="minorHAnsi"/>
          <w:b/>
          <w:bCs/>
          <w:sz w:val="24"/>
          <w:szCs w:val="24"/>
        </w:rPr>
      </w:pPr>
      <w:r w:rsidRPr="001526AD">
        <w:rPr>
          <w:rFonts w:cstheme="minorHAnsi"/>
          <w:b/>
          <w:bCs/>
          <w:sz w:val="24"/>
          <w:szCs w:val="24"/>
        </w:rPr>
        <w:t xml:space="preserve">WRITTEN EVIDENCE SUBMITTED BY ELEONOR DUHS, </w:t>
      </w:r>
      <w:r w:rsidR="00AB5C84">
        <w:rPr>
          <w:rFonts w:cstheme="minorHAnsi"/>
          <w:b/>
          <w:bCs/>
          <w:sz w:val="24"/>
          <w:szCs w:val="24"/>
        </w:rPr>
        <w:t>(</w:t>
      </w:r>
      <w:r w:rsidRPr="001526AD">
        <w:rPr>
          <w:rFonts w:cstheme="minorHAnsi"/>
          <w:b/>
          <w:bCs/>
          <w:sz w:val="24"/>
          <w:szCs w:val="24"/>
        </w:rPr>
        <w:t>BARRISTER, PARTNER, HEAD OF DATA &amp; PRIVACY, BATES WELLS LLP</w:t>
      </w:r>
      <w:r w:rsidR="00AB5C84">
        <w:rPr>
          <w:rFonts w:cstheme="minorHAnsi"/>
          <w:b/>
          <w:bCs/>
          <w:sz w:val="24"/>
          <w:szCs w:val="24"/>
        </w:rPr>
        <w:t>)</w:t>
      </w:r>
    </w:p>
    <w:p w:rsidR="00AB5C84" w:rsidP="0073425E">
      <w:pPr>
        <w:spacing w:before="60" w:after="60" w:line="300" w:lineRule="auto"/>
        <w:jc w:val="center"/>
        <w:rPr>
          <w:rFonts w:cstheme="minorHAnsi"/>
          <w:b/>
          <w:bCs/>
          <w:sz w:val="24"/>
          <w:szCs w:val="24"/>
        </w:rPr>
      </w:pPr>
      <w:r w:rsidRPr="001526AD">
        <w:rPr>
          <w:rFonts w:cstheme="minorHAnsi"/>
          <w:b/>
          <w:bCs/>
          <w:sz w:val="24"/>
          <w:szCs w:val="24"/>
        </w:rPr>
        <w:t>(RAI0035)</w:t>
      </w:r>
      <w:r w:rsidRPr="00AB5C84">
        <w:rPr>
          <w:rFonts w:cstheme="minorHAnsi"/>
          <w:b/>
          <w:bCs/>
          <w:sz w:val="24"/>
          <w:szCs w:val="24"/>
        </w:rPr>
        <w:t xml:space="preserve"> </w:t>
      </w:r>
    </w:p>
    <w:p w:rsidR="00AB5C84" w:rsidP="00AB5C84">
      <w:pPr>
        <w:spacing w:before="60" w:after="60" w:line="300" w:lineRule="auto"/>
        <w:rPr>
          <w:rFonts w:cstheme="minorHAnsi"/>
          <w:b/>
          <w:bCs/>
          <w:sz w:val="24"/>
          <w:szCs w:val="24"/>
        </w:rPr>
      </w:pPr>
    </w:p>
    <w:p w:rsidR="004E1941" w:rsidRPr="001526AD" w:rsidP="00AB5C84">
      <w:pPr>
        <w:spacing w:before="60" w:after="60" w:line="300" w:lineRule="auto"/>
        <w:rPr>
          <w:rFonts w:cstheme="minorHAnsi"/>
          <w:b/>
          <w:bCs/>
          <w:sz w:val="24"/>
          <w:szCs w:val="24"/>
        </w:rPr>
      </w:pPr>
      <w:r w:rsidRPr="001526AD">
        <w:rPr>
          <w:rFonts w:cstheme="minorHAnsi"/>
          <w:b/>
          <w:bCs/>
          <w:sz w:val="24"/>
          <w:szCs w:val="24"/>
        </w:rPr>
        <w:t xml:space="preserve">Sara Moon, Solicitor, Data &amp; Privacy Team, Bates Wells </w:t>
      </w:r>
      <w:r w:rsidRPr="001526AD" w:rsidR="00AB5C84">
        <w:rPr>
          <w:rFonts w:cstheme="minorHAnsi"/>
          <w:b/>
          <w:bCs/>
          <w:sz w:val="24"/>
          <w:szCs w:val="24"/>
        </w:rPr>
        <w:t>LLP</w:t>
      </w:r>
      <w:r>
        <w:rPr>
          <w:rStyle w:val="FootnoteReference"/>
          <w:rFonts w:cstheme="minorHAnsi"/>
          <w:b/>
          <w:bCs/>
          <w:sz w:val="24"/>
          <w:szCs w:val="24"/>
        </w:rPr>
        <w:footnoteReference w:id="2"/>
      </w:r>
    </w:p>
    <w:p w:rsidR="0073425E" w:rsidRPr="0073425E" w:rsidP="0073425E">
      <w:pPr>
        <w:spacing w:before="60" w:after="60" w:line="300" w:lineRule="auto"/>
        <w:jc w:val="center"/>
        <w:rPr>
          <w:rFonts w:cstheme="minorHAnsi"/>
          <w:b/>
          <w:bCs/>
        </w:rPr>
      </w:pPr>
    </w:p>
    <w:tbl>
      <w:tblPr>
        <w:tblStyle w:val="TableGrid"/>
        <w:tblW w:w="9630" w:type="dxa"/>
        <w:tblLayout w:type="fixed"/>
        <w:tblLook w:val="06A0"/>
      </w:tblPr>
      <w:tblGrid>
        <w:gridCol w:w="9630"/>
      </w:tblGrid>
      <w:tr w:rsidTr="00436DD5">
        <w:tblPrEx>
          <w:tblW w:w="9630" w:type="dxa"/>
          <w:tblLayout w:type="fixed"/>
          <w:tblLook w:val="06A0"/>
        </w:tblPrEx>
        <w:trPr>
          <w:trHeight w:val="300"/>
        </w:trPr>
        <w:tc>
          <w:tcPr>
            <w:tcW w:w="963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1526AD" w:rsidRPr="00F47BF8" w:rsidP="00470E2D">
            <w:pPr>
              <w:spacing w:before="60" w:after="60" w:line="300" w:lineRule="auto"/>
              <w:jc w:val="both"/>
              <w:rPr>
                <w:rFonts w:cstheme="minorHAnsi"/>
              </w:rPr>
            </w:pPr>
            <w:r w:rsidRPr="00F47BF8">
              <w:rPr>
                <w:rFonts w:cstheme="minorHAnsi"/>
                <w:b/>
                <w:bCs/>
              </w:rPr>
              <w:t>Key Points</w:t>
            </w:r>
          </w:p>
          <w:p w:rsidR="001526AD" w:rsidRPr="00F47BF8" w:rsidP="00267291">
            <w:pPr>
              <w:pStyle w:val="ListParagraph"/>
              <w:numPr>
                <w:ilvl w:val="0"/>
                <w:numId w:val="2"/>
              </w:numPr>
              <w:spacing w:before="60" w:after="60" w:line="300" w:lineRule="auto"/>
              <w:ind w:left="360"/>
              <w:jc w:val="both"/>
              <w:rPr>
                <w:rFonts w:cstheme="minorHAnsi"/>
              </w:rPr>
            </w:pPr>
            <w:r w:rsidRPr="00F47BF8">
              <w:rPr>
                <w:rFonts w:cstheme="minorHAnsi"/>
              </w:rPr>
              <w:t>Data protection law is a detailed working out of Article 8 of the European Convention on Human Rights (ECHR). The UK GDPR and the Data Protection Act 2018 play a central role in protecting human rights in the context of emerging technologies, including AI.</w:t>
            </w:r>
          </w:p>
          <w:p w:rsidR="001526AD" w:rsidRPr="00F47BF8" w:rsidP="00267291">
            <w:pPr>
              <w:pStyle w:val="ListParagraph"/>
              <w:spacing w:before="60" w:after="60" w:line="300" w:lineRule="auto"/>
              <w:ind w:left="360"/>
              <w:jc w:val="both"/>
              <w:rPr>
                <w:rFonts w:cstheme="minorHAnsi"/>
              </w:rPr>
            </w:pPr>
          </w:p>
          <w:p w:rsidR="001526AD" w:rsidRPr="00F47BF8" w:rsidP="00267291">
            <w:pPr>
              <w:pStyle w:val="ListParagraph"/>
              <w:numPr>
                <w:ilvl w:val="0"/>
                <w:numId w:val="2"/>
              </w:numPr>
              <w:spacing w:before="60" w:after="60" w:line="300" w:lineRule="auto"/>
              <w:ind w:left="360"/>
              <w:jc w:val="both"/>
              <w:rPr>
                <w:rFonts w:cstheme="minorHAnsi"/>
              </w:rPr>
            </w:pPr>
            <w:r w:rsidRPr="00F47BF8">
              <w:rPr>
                <w:rFonts w:cstheme="minorHAnsi"/>
              </w:rPr>
              <w:t>Data Protection law</w:t>
            </w:r>
            <w:r>
              <w:rPr>
                <w:rFonts w:cstheme="minorHAnsi"/>
              </w:rPr>
              <w:t xml:space="preserve"> contains important safeguards which protect individuals </w:t>
            </w:r>
            <w:r w:rsidRPr="00F47BF8">
              <w:rPr>
                <w:rFonts w:cstheme="minorHAnsi"/>
              </w:rPr>
              <w:t>when AI is being used to make decisions about them.  The law requires organisations to explain when they are using automated decision-making, including meaningful information about the logic involved, the significance</w:t>
            </w:r>
            <w:r>
              <w:rPr>
                <w:rFonts w:cstheme="minorHAnsi"/>
              </w:rPr>
              <w:t>,</w:t>
            </w:r>
            <w:r w:rsidRPr="00F47BF8">
              <w:rPr>
                <w:rFonts w:cstheme="minorHAnsi"/>
              </w:rPr>
              <w:t xml:space="preserve"> and the consequences of </w:t>
            </w:r>
            <w:r>
              <w:rPr>
                <w:rFonts w:cstheme="minorHAnsi"/>
              </w:rPr>
              <w:t xml:space="preserve">the </w:t>
            </w:r>
            <w:r w:rsidRPr="00F47BF8">
              <w:rPr>
                <w:rFonts w:cstheme="minorHAnsi"/>
              </w:rPr>
              <w:t>processing</w:t>
            </w:r>
            <w:r>
              <w:rPr>
                <w:rFonts w:cstheme="minorHAnsi"/>
              </w:rPr>
              <w:t>.</w:t>
            </w:r>
            <w:r w:rsidRPr="00F47BF8">
              <w:rPr>
                <w:rFonts w:cstheme="minorHAnsi"/>
              </w:rPr>
              <w:t xml:space="preserve">  Individuals are also entitled to ask for a human review of automated decision-making</w:t>
            </w:r>
            <w:r>
              <w:rPr>
                <w:rFonts w:cstheme="minorHAnsi"/>
              </w:rPr>
              <w:t>.</w:t>
            </w:r>
            <w:r w:rsidRPr="00F47BF8">
              <w:rPr>
                <w:rFonts w:cstheme="minorHAnsi"/>
              </w:rPr>
              <w:t xml:space="preserve"> Further, organisations are required to carefully assess the human rights implications of deploying new technologies.</w:t>
            </w:r>
          </w:p>
          <w:p w:rsidR="001526AD" w:rsidRPr="00F47BF8" w:rsidP="00267291">
            <w:pPr>
              <w:pStyle w:val="ListParagraph"/>
              <w:ind w:left="360"/>
              <w:jc w:val="both"/>
              <w:rPr>
                <w:rFonts w:cstheme="minorHAnsi"/>
              </w:rPr>
            </w:pPr>
          </w:p>
          <w:p w:rsidR="001526AD" w:rsidRPr="00F47BF8" w:rsidP="00267291">
            <w:pPr>
              <w:pStyle w:val="ListParagraph"/>
              <w:numPr>
                <w:ilvl w:val="0"/>
                <w:numId w:val="2"/>
              </w:numPr>
              <w:spacing w:before="60" w:after="60" w:line="300" w:lineRule="auto"/>
              <w:ind w:left="360"/>
              <w:jc w:val="both"/>
              <w:rPr>
                <w:rFonts w:cstheme="minorHAnsi"/>
              </w:rPr>
            </w:pPr>
            <w:r>
              <w:rPr>
                <w:rFonts w:cstheme="minorHAnsi"/>
              </w:rPr>
              <w:t xml:space="preserve">In our experience, </w:t>
            </w:r>
            <w:r w:rsidRPr="00F47BF8">
              <w:rPr>
                <w:rFonts w:cstheme="minorHAnsi"/>
              </w:rPr>
              <w:t>many organisations are unaware of</w:t>
            </w:r>
            <w:r>
              <w:rPr>
                <w:rFonts w:cstheme="minorHAnsi"/>
              </w:rPr>
              <w:t>, misunderstand or disregard</w:t>
            </w:r>
            <w:r w:rsidRPr="00F47BF8">
              <w:rPr>
                <w:rFonts w:cstheme="minorHAnsi"/>
              </w:rPr>
              <w:t xml:space="preserve"> their legal obligations in this context</w:t>
            </w:r>
            <w:r>
              <w:rPr>
                <w:rFonts w:cstheme="minorHAnsi"/>
              </w:rPr>
              <w:t xml:space="preserve">.  </w:t>
            </w:r>
            <w:r w:rsidRPr="00F47BF8">
              <w:rPr>
                <w:rFonts w:cstheme="minorHAnsi"/>
              </w:rPr>
              <w:t xml:space="preserve">This means that they do not undertake the required due diligence to ensure that the systems work properly and that errors and bias are identified and corrected. Further, the absence of direct obligations to undertake data protection impact assessments on the developers of these systems leads to a gap in compliance.    </w:t>
            </w:r>
          </w:p>
          <w:p w:rsidR="001526AD" w:rsidRPr="00F47BF8" w:rsidP="00267291">
            <w:pPr>
              <w:pStyle w:val="ListParagraph"/>
              <w:ind w:left="360"/>
              <w:jc w:val="both"/>
              <w:rPr>
                <w:rFonts w:cstheme="minorHAnsi"/>
              </w:rPr>
            </w:pPr>
          </w:p>
          <w:p w:rsidR="001526AD" w:rsidRPr="00F47BF8" w:rsidP="00267291">
            <w:pPr>
              <w:pStyle w:val="ListParagraph"/>
              <w:numPr>
                <w:ilvl w:val="0"/>
                <w:numId w:val="2"/>
              </w:numPr>
              <w:spacing w:before="60" w:after="60" w:line="300" w:lineRule="auto"/>
              <w:ind w:left="360"/>
              <w:jc w:val="both"/>
              <w:rPr>
                <w:rFonts w:cstheme="minorHAnsi"/>
              </w:rPr>
            </w:pPr>
            <w:r w:rsidRPr="00F47BF8">
              <w:rPr>
                <w:rFonts w:cstheme="minorHAnsi"/>
              </w:rPr>
              <w:t>The deploying</w:t>
            </w:r>
            <w:r>
              <w:rPr>
                <w:rFonts w:cstheme="minorHAnsi"/>
              </w:rPr>
              <w:t xml:space="preserve"> of</w:t>
            </w:r>
            <w:r w:rsidRPr="00F47BF8">
              <w:rPr>
                <w:rFonts w:cstheme="minorHAnsi"/>
              </w:rPr>
              <w:t xml:space="preserve"> AI systems used to evaluate human beings without proper due diligence, analysis and governance structures create</w:t>
            </w:r>
            <w:r>
              <w:rPr>
                <w:rFonts w:cstheme="minorHAnsi"/>
              </w:rPr>
              <w:t>s</w:t>
            </w:r>
            <w:r w:rsidRPr="00F47BF8">
              <w:rPr>
                <w:rFonts w:cstheme="minorHAnsi"/>
              </w:rPr>
              <w:t xml:space="preserve"> significant risks for individuals, organisations and society at large:  there is the potential for A-level algorithm/Horizon-type scandals to proliferate across many sectors. </w:t>
            </w:r>
            <w:r>
              <w:rPr>
                <w:rFonts w:cstheme="minorHAnsi"/>
              </w:rPr>
              <w:t xml:space="preserve"> </w:t>
            </w:r>
            <w:r w:rsidRPr="00F47BF8">
              <w:rPr>
                <w:rFonts w:cstheme="minorHAnsi"/>
              </w:rPr>
              <w:t xml:space="preserve">The </w:t>
            </w:r>
            <w:r>
              <w:rPr>
                <w:rFonts w:cstheme="minorHAnsi"/>
              </w:rPr>
              <w:t>evidence</w:t>
            </w:r>
            <w:r w:rsidRPr="00F47BF8">
              <w:rPr>
                <w:rFonts w:cstheme="minorHAnsi"/>
              </w:rPr>
              <w:t xml:space="preserve"> provided by the Communication Workers’ Union in South Wales included in Appendix </w:t>
            </w:r>
            <w:r>
              <w:rPr>
                <w:rFonts w:cstheme="minorHAnsi"/>
              </w:rPr>
              <w:t xml:space="preserve">1 </w:t>
            </w:r>
            <w:r w:rsidRPr="00F47BF8">
              <w:rPr>
                <w:rFonts w:cstheme="minorHAnsi"/>
              </w:rPr>
              <w:t>show</w:t>
            </w:r>
            <w:r>
              <w:rPr>
                <w:rFonts w:cstheme="minorHAnsi"/>
              </w:rPr>
              <w:t>s</w:t>
            </w:r>
            <w:r w:rsidRPr="00F47BF8">
              <w:rPr>
                <w:rFonts w:cstheme="minorHAnsi"/>
              </w:rPr>
              <w:t xml:space="preserve"> that these risks are already materialising.   </w:t>
            </w:r>
          </w:p>
          <w:p w:rsidR="001526AD" w:rsidRPr="00F47BF8" w:rsidP="00267291">
            <w:pPr>
              <w:pStyle w:val="ListParagraph"/>
              <w:ind w:left="360"/>
              <w:jc w:val="both"/>
              <w:rPr>
                <w:rFonts w:cstheme="minorHAnsi"/>
              </w:rPr>
            </w:pPr>
          </w:p>
          <w:p w:rsidR="001526AD" w:rsidRPr="00F47BF8" w:rsidP="00267291">
            <w:pPr>
              <w:pStyle w:val="ListParagraph"/>
              <w:numPr>
                <w:ilvl w:val="0"/>
                <w:numId w:val="2"/>
              </w:numPr>
              <w:spacing w:before="60" w:after="60" w:line="300" w:lineRule="auto"/>
              <w:ind w:left="360"/>
              <w:jc w:val="both"/>
              <w:rPr>
                <w:rFonts w:cstheme="minorHAnsi"/>
              </w:rPr>
            </w:pPr>
            <w:r w:rsidRPr="00F47BF8">
              <w:rPr>
                <w:rFonts w:cstheme="minorHAnsi"/>
              </w:rPr>
              <w:t xml:space="preserve">At its core data protection law is an extremely useful tool to regulate AI.  Its human rights foundation is flexible:  this is crucial in ensuring that the law can regulate effectively in an era of rapid technological change. However, current data protection law is too complex. The heavy compliance burden has created a box-ticking culture which obscures </w:t>
            </w:r>
            <w:r>
              <w:rPr>
                <w:rFonts w:cstheme="minorHAnsi"/>
              </w:rPr>
              <w:t>the law’s</w:t>
            </w:r>
            <w:r w:rsidRPr="00F47BF8">
              <w:rPr>
                <w:rFonts w:cstheme="minorHAnsi"/>
              </w:rPr>
              <w:t xml:space="preserve"> human rights foundations and valuable concepts such as proportionality and fairness.  </w:t>
            </w:r>
          </w:p>
          <w:p w:rsidR="001526AD" w:rsidRPr="00F47BF8" w:rsidP="00267291">
            <w:pPr>
              <w:pStyle w:val="ListParagraph"/>
              <w:ind w:left="360"/>
              <w:jc w:val="both"/>
              <w:rPr>
                <w:rFonts w:cstheme="minorHAnsi"/>
              </w:rPr>
            </w:pPr>
          </w:p>
          <w:p w:rsidR="001526AD" w:rsidRPr="00F47BF8" w:rsidP="00267291">
            <w:pPr>
              <w:pStyle w:val="ListParagraph"/>
              <w:numPr>
                <w:ilvl w:val="0"/>
                <w:numId w:val="2"/>
              </w:numPr>
              <w:spacing w:before="60" w:after="60" w:line="300" w:lineRule="auto"/>
              <w:ind w:left="360"/>
              <w:jc w:val="both"/>
              <w:rPr>
                <w:rFonts w:cstheme="minorHAnsi"/>
              </w:rPr>
            </w:pPr>
            <w:r w:rsidRPr="00F47BF8">
              <w:rPr>
                <w:rFonts w:cstheme="minorHAnsi"/>
              </w:rPr>
              <w:t xml:space="preserve">In order to deal with these problems data protection law should be reformed and simplified whilst preserving </w:t>
            </w:r>
            <w:r>
              <w:rPr>
                <w:rFonts w:cstheme="minorHAnsi"/>
              </w:rPr>
              <w:t>its</w:t>
            </w:r>
            <w:r w:rsidRPr="00F47BF8">
              <w:rPr>
                <w:rFonts w:cstheme="minorHAnsi"/>
              </w:rPr>
              <w:t xml:space="preserve"> vital principles and safeguards.  This will help to ensure that the </w:t>
            </w:r>
            <w:r>
              <w:rPr>
                <w:rFonts w:cstheme="minorHAnsi"/>
              </w:rPr>
              <w:t>Fourth Industrial R</w:t>
            </w:r>
            <w:r w:rsidRPr="00F47BF8">
              <w:rPr>
                <w:rFonts w:cstheme="minorHAnsi"/>
              </w:rPr>
              <w:t>evolution</w:t>
            </w:r>
            <w:r>
              <w:rPr>
                <w:rStyle w:val="FootnoteReference"/>
                <w:rFonts w:cstheme="minorHAnsi"/>
              </w:rPr>
              <w:footnoteReference w:id="3"/>
            </w:r>
            <w:r w:rsidRPr="00F47BF8">
              <w:rPr>
                <w:rFonts w:cstheme="minorHAnsi"/>
              </w:rPr>
              <w:t xml:space="preserve"> enhances opportunity for all.</w:t>
            </w:r>
          </w:p>
        </w:tc>
      </w:tr>
    </w:tbl>
    <w:p w:rsidR="001526AD" w:rsidRPr="008C71D4" w:rsidP="008C71D4">
      <w:pPr>
        <w:pStyle w:val="BWBLevel1"/>
        <w:numPr>
          <w:ilvl w:val="0"/>
          <w:numId w:val="0"/>
        </w:numPr>
        <w:ind w:left="879"/>
        <w:rPr>
          <w:rFonts w:asciiTheme="minorHAnsi" w:hAnsiTheme="minorHAnsi" w:cstheme="minorHAnsi"/>
          <w:b/>
          <w:sz w:val="22"/>
        </w:rPr>
      </w:pPr>
    </w:p>
    <w:p w:rsidR="001526AD" w:rsidRPr="00F47BF8" w:rsidP="00C50912">
      <w:pPr>
        <w:pStyle w:val="BWBLevel1"/>
        <w:rPr>
          <w:rFonts w:asciiTheme="minorHAnsi" w:hAnsiTheme="minorHAnsi" w:cstheme="minorHAnsi"/>
          <w:b/>
          <w:sz w:val="22"/>
        </w:rPr>
      </w:pPr>
      <w:r w:rsidRPr="00F47BF8">
        <w:rPr>
          <w:rFonts w:asciiTheme="minorHAnsi" w:hAnsiTheme="minorHAnsi" w:cstheme="minorHAnsi"/>
          <w:b/>
          <w:sz w:val="22"/>
        </w:rPr>
        <w:t xml:space="preserve">How can Artificial Intelligence (AI) affect individual human rights for good or ill, in particular in the areas of: </w:t>
      </w:r>
    </w:p>
    <w:p w:rsidR="001526AD" w:rsidRPr="00F47BF8" w:rsidP="00470E2D">
      <w:pPr>
        <w:pStyle w:val="BWBLevel5"/>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privacy and data usage</w:t>
      </w:r>
    </w:p>
    <w:p w:rsidR="001526AD" w:rsidRPr="00F47BF8" w:rsidP="00470E2D">
      <w:pPr>
        <w:pStyle w:val="BWBLevel5"/>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discrimination and bias</w:t>
      </w:r>
    </w:p>
    <w:p w:rsidR="001526AD" w:rsidRPr="00F47BF8" w:rsidP="00470E2D">
      <w:pPr>
        <w:pStyle w:val="BWBLevel5"/>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effective remedies for violations of human rights?</w:t>
      </w:r>
    </w:p>
    <w:p w:rsidR="001526AD" w:rsidRPr="00F47BF8" w:rsidP="00C50912">
      <w:pPr>
        <w:spacing w:before="60" w:after="60" w:line="300" w:lineRule="auto"/>
        <w:jc w:val="both"/>
        <w:rPr>
          <w:rFonts w:cstheme="minorHAnsi"/>
        </w:rPr>
      </w:pPr>
    </w:p>
    <w:p w:rsidR="001526AD" w:rsidRPr="000E2187" w:rsidP="00880C22">
      <w:pPr>
        <w:pStyle w:val="BWBLevel2"/>
        <w:numPr>
          <w:ilvl w:val="1"/>
          <w:numId w:val="9"/>
        </w:numPr>
        <w:rPr>
          <w:rFonts w:asciiTheme="minorHAnsi" w:hAnsiTheme="minorHAnsi" w:cstheme="minorHAnsi"/>
          <w:sz w:val="22"/>
        </w:rPr>
      </w:pPr>
      <w:r w:rsidRPr="000E2187">
        <w:rPr>
          <w:rFonts w:asciiTheme="minorHAnsi" w:hAnsiTheme="minorHAnsi" w:cstheme="minorHAnsi"/>
          <w:sz w:val="22"/>
        </w:rPr>
        <w:t>This submission highlights some of the difficulties in complying with the UK GDPR when individual</w:t>
      </w:r>
      <w:r>
        <w:rPr>
          <w:rFonts w:asciiTheme="minorHAnsi" w:hAnsiTheme="minorHAnsi" w:cstheme="minorHAnsi"/>
          <w:sz w:val="22"/>
        </w:rPr>
        <w:t xml:space="preserve">s’ </w:t>
      </w:r>
      <w:r w:rsidRPr="000E2187">
        <w:rPr>
          <w:rFonts w:asciiTheme="minorHAnsi" w:hAnsiTheme="minorHAnsi" w:cstheme="minorHAnsi"/>
          <w:sz w:val="22"/>
        </w:rPr>
        <w:t>personal data is used in the context of AI technology. Transparency, fairness and proportionality are all problematic because machine learning systems operate in a manner which is opaque. The risks of discrimination and bias are well-documented</w:t>
      </w:r>
      <w:r>
        <w:rPr>
          <w:rStyle w:val="FootnoteReference"/>
          <w:rFonts w:asciiTheme="minorHAnsi" w:hAnsiTheme="minorHAnsi" w:cstheme="minorHAnsi"/>
          <w:sz w:val="22"/>
        </w:rPr>
        <w:footnoteReference w:id="4"/>
      </w:r>
      <w:r w:rsidRPr="000E2187">
        <w:rPr>
          <w:rFonts w:asciiTheme="minorHAnsi" w:hAnsiTheme="minorHAnsi" w:cstheme="minorHAnsi"/>
          <w:sz w:val="22"/>
        </w:rPr>
        <w:t xml:space="preserve"> and concerning. The government’s weakening of protections from automated-decision making in relation to individuals is worrying.</w:t>
      </w:r>
    </w:p>
    <w:p w:rsidR="001526AD" w:rsidRPr="00154D33" w:rsidP="00154D33">
      <w:pPr>
        <w:pStyle w:val="BWBLevel2"/>
        <w:rPr>
          <w:rFonts w:asciiTheme="minorHAnsi" w:hAnsiTheme="minorHAnsi" w:cstheme="minorHAnsi"/>
          <w:sz w:val="22"/>
        </w:rPr>
      </w:pPr>
      <w:r w:rsidRPr="00F47BF8">
        <w:rPr>
          <w:rFonts w:asciiTheme="minorHAnsi" w:hAnsiTheme="minorHAnsi" w:cstheme="minorHAnsi"/>
          <w:sz w:val="22"/>
        </w:rPr>
        <w:t>In our experience the vast majority of individuals whose data protection rights have been breached cannot afford to litigate. The only form of redress open to them is to make a complaint to the Information Commissioner’s Office</w:t>
      </w:r>
      <w:r>
        <w:rPr>
          <w:rFonts w:asciiTheme="minorHAnsi" w:hAnsiTheme="minorHAnsi" w:cstheme="minorHAnsi"/>
          <w:sz w:val="22"/>
        </w:rPr>
        <w:t xml:space="preserve"> (ICO)</w:t>
      </w:r>
      <w:r w:rsidRPr="00F47BF8">
        <w:rPr>
          <w:rFonts w:asciiTheme="minorHAnsi" w:hAnsiTheme="minorHAnsi" w:cstheme="minorHAnsi"/>
          <w:sz w:val="22"/>
        </w:rPr>
        <w:t xml:space="preserve">.  However, </w:t>
      </w:r>
      <w:r>
        <w:rPr>
          <w:rFonts w:asciiTheme="minorHAnsi" w:hAnsiTheme="minorHAnsi" w:cstheme="minorHAnsi"/>
          <w:sz w:val="22"/>
        </w:rPr>
        <w:t xml:space="preserve">as further described below, </w:t>
      </w:r>
      <w:r w:rsidRPr="00F47BF8">
        <w:rPr>
          <w:rFonts w:asciiTheme="minorHAnsi" w:hAnsiTheme="minorHAnsi" w:cstheme="minorHAnsi"/>
          <w:sz w:val="22"/>
        </w:rPr>
        <w:t>regulatory action is rare.  The lack of enforcement is, according to Professor David Erdos, leading to a “severe and serious weakening of information rights regulation”.</w:t>
      </w:r>
      <w:r>
        <w:rPr>
          <w:rStyle w:val="FootnoteReference"/>
          <w:rFonts w:asciiTheme="minorHAnsi" w:hAnsiTheme="minorHAnsi" w:cstheme="minorHAnsi"/>
          <w:sz w:val="22"/>
        </w:rPr>
        <w:footnoteReference w:id="5"/>
      </w:r>
    </w:p>
    <w:p w:rsidR="001526AD" w:rsidP="00C50912">
      <w:pPr>
        <w:pStyle w:val="BWBLevel1"/>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To what extent does the UK’s existing legal framework provide sufficient protections for human rights in relation to AI? </w:t>
      </w:r>
    </w:p>
    <w:p w:rsidR="001526AD" w:rsidRPr="00A163EA" w:rsidP="00A163EA">
      <w:pPr>
        <w:pStyle w:val="BWBLevel2"/>
        <w:numPr>
          <w:ilvl w:val="0"/>
          <w:numId w:val="0"/>
        </w:numPr>
        <w:ind w:left="879"/>
        <w:rPr>
          <w:rFonts w:asciiTheme="minorHAnsi" w:hAnsiTheme="minorHAnsi" w:cstheme="minorHAnsi"/>
          <w:b/>
          <w:bCs/>
          <w:sz w:val="22"/>
        </w:rPr>
      </w:pPr>
      <w:r w:rsidRPr="00A163EA">
        <w:rPr>
          <w:rFonts w:asciiTheme="minorHAnsi" w:hAnsiTheme="minorHAnsi" w:cstheme="minorHAnsi"/>
          <w:b/>
          <w:bCs/>
          <w:sz w:val="22"/>
        </w:rPr>
        <w:t>The relationship between human rights and data protection law</w:t>
      </w:r>
    </w:p>
    <w:p w:rsidR="001526AD" w:rsidRPr="00B77067" w:rsidP="00C50912">
      <w:pPr>
        <w:pStyle w:val="BWBLevel2"/>
        <w:rPr>
          <w:rFonts w:asciiTheme="minorHAnsi" w:eastAsiaTheme="minorEastAsia" w:hAnsiTheme="minorHAnsi" w:cstheme="minorHAnsi"/>
          <w:b/>
          <w:bCs/>
          <w:sz w:val="22"/>
        </w:rPr>
      </w:pPr>
      <w:r w:rsidRPr="00B77067">
        <w:rPr>
          <w:rFonts w:asciiTheme="minorHAnsi" w:hAnsiTheme="minorHAnsi" w:cstheme="minorHAnsi"/>
          <w:sz w:val="22"/>
        </w:rPr>
        <w:t>One of the central protections for human rights in relation to AI is data protection law.  Human rights law is the foundation of UK data protection legislation</w:t>
      </w:r>
      <w:r>
        <w:rPr>
          <w:rFonts w:asciiTheme="minorHAnsi" w:hAnsiTheme="minorHAnsi" w:cstheme="minorHAnsi"/>
          <w:sz w:val="22"/>
        </w:rPr>
        <w:t>, which has its origins in the EU legal order</w:t>
      </w:r>
      <w:r w:rsidRPr="00B77067">
        <w:rPr>
          <w:rFonts w:asciiTheme="minorHAnsi" w:hAnsiTheme="minorHAnsi" w:cstheme="minorHAnsi"/>
          <w:sz w:val="22"/>
        </w:rPr>
        <w:t xml:space="preserve">. </w:t>
      </w:r>
      <w:r w:rsidRPr="00C61850">
        <w:rPr>
          <w:rFonts w:asciiTheme="minorHAnsi" w:hAnsiTheme="minorHAnsi" w:cstheme="minorHAnsi"/>
          <w:sz w:val="22"/>
        </w:rPr>
        <w:t xml:space="preserve">  </w:t>
      </w:r>
      <w:r w:rsidRPr="00B77067">
        <w:rPr>
          <w:rFonts w:asciiTheme="minorHAnsi" w:hAnsiTheme="minorHAnsi" w:cstheme="minorHAnsi"/>
          <w:sz w:val="22"/>
        </w:rPr>
        <w:t>Recital 1 to the GDPR</w:t>
      </w:r>
      <w:r>
        <w:rPr>
          <w:rStyle w:val="FootnoteReference"/>
          <w:rFonts w:asciiTheme="minorHAnsi" w:hAnsiTheme="minorHAnsi" w:cstheme="minorHAnsi"/>
          <w:sz w:val="22"/>
        </w:rPr>
        <w:footnoteReference w:id="6"/>
      </w:r>
      <w:r w:rsidRPr="00B77067">
        <w:rPr>
          <w:rFonts w:asciiTheme="minorHAnsi" w:hAnsiTheme="minorHAnsi" w:cstheme="minorHAnsi"/>
          <w:sz w:val="22"/>
        </w:rPr>
        <w:t xml:space="preserve"> states:</w:t>
      </w:r>
    </w:p>
    <w:p w:rsidR="001526AD" w:rsidRPr="00F47BF8" w:rsidP="00C50912">
      <w:pPr>
        <w:pStyle w:val="BWBLevel2"/>
        <w:numPr>
          <w:ilvl w:val="0"/>
          <w:numId w:val="0"/>
        </w:numPr>
        <w:ind w:left="879"/>
        <w:rPr>
          <w:rFonts w:asciiTheme="minorHAnsi" w:eastAsiaTheme="minorEastAsia" w:hAnsiTheme="minorHAnsi" w:cstheme="minorHAnsi"/>
          <w:b/>
          <w:bCs/>
          <w:sz w:val="22"/>
        </w:rPr>
      </w:pPr>
      <w:r w:rsidRPr="00F47BF8">
        <w:rPr>
          <w:rFonts w:asciiTheme="minorHAnsi" w:hAnsiTheme="minorHAnsi" w:cstheme="minorHAnsi"/>
          <w:i/>
          <w:iCs/>
          <w:sz w:val="22"/>
        </w:rPr>
        <w:t>The protection of natural persons in relation to the processing of personal data is a fundamental right. Article 8(1) of the Charter of Fundamental Rights of the European Union (the ‘Charter’)</w:t>
      </w:r>
      <w:r>
        <w:rPr>
          <w:rStyle w:val="FootnoteReference"/>
          <w:rFonts w:asciiTheme="minorHAnsi" w:hAnsiTheme="minorHAnsi" w:cstheme="minorHAnsi"/>
          <w:i/>
          <w:iCs/>
          <w:sz w:val="22"/>
        </w:rPr>
        <w:footnoteReference w:id="7"/>
      </w:r>
      <w:r w:rsidRPr="00F47BF8">
        <w:rPr>
          <w:rFonts w:asciiTheme="minorHAnsi" w:hAnsiTheme="minorHAnsi" w:cstheme="minorHAnsi"/>
          <w:i/>
          <w:iCs/>
          <w:sz w:val="22"/>
        </w:rPr>
        <w:t xml:space="preserve"> and Article 16(1) of the Treaty on the Functioning of the European Union (TFEU)</w:t>
      </w:r>
      <w:r>
        <w:rPr>
          <w:rStyle w:val="FootnoteReference"/>
          <w:rFonts w:asciiTheme="minorHAnsi" w:hAnsiTheme="minorHAnsi" w:cstheme="minorHAnsi"/>
          <w:i/>
          <w:iCs/>
          <w:sz w:val="22"/>
        </w:rPr>
        <w:footnoteReference w:id="8"/>
      </w:r>
      <w:r w:rsidRPr="00F47BF8">
        <w:rPr>
          <w:rFonts w:asciiTheme="minorHAnsi" w:hAnsiTheme="minorHAnsi" w:cstheme="minorHAnsi"/>
          <w:i/>
          <w:iCs/>
          <w:sz w:val="22"/>
        </w:rPr>
        <w:t xml:space="preserve"> provide that everyone has the right to the protection of personal data concerning him or her.</w:t>
      </w:r>
    </w:p>
    <w:p w:rsidR="001526AD" w:rsidRPr="00F47BF8" w:rsidP="00470E2D">
      <w:pPr>
        <w:pStyle w:val="ListParagraph"/>
        <w:spacing w:before="60" w:after="60" w:line="300" w:lineRule="auto"/>
        <w:jc w:val="both"/>
        <w:rPr>
          <w:rFonts w:cstheme="minorHAnsi"/>
        </w:rPr>
      </w:pPr>
    </w:p>
    <w:p w:rsidR="001526AD" w:rsidRPr="00F47BF8" w:rsidP="00C50912">
      <w:pPr>
        <w:pStyle w:val="BWBLevel2"/>
        <w:rPr>
          <w:rFonts w:asciiTheme="minorHAnsi" w:hAnsiTheme="minorHAnsi" w:cstheme="minorHAnsi"/>
          <w:sz w:val="22"/>
        </w:rPr>
      </w:pPr>
      <w:r w:rsidRPr="00F47BF8">
        <w:rPr>
          <w:rFonts w:asciiTheme="minorHAnsi" w:hAnsiTheme="minorHAnsi" w:cstheme="minorHAnsi"/>
          <w:sz w:val="22"/>
        </w:rPr>
        <w:t xml:space="preserve">The Charter Explanations set out the basis for Article 8 of the Charter of Fundamental Rights of the European Union (the </w:t>
      </w:r>
      <w:r>
        <w:rPr>
          <w:rFonts w:asciiTheme="minorHAnsi" w:hAnsiTheme="minorHAnsi" w:cstheme="minorHAnsi"/>
          <w:sz w:val="22"/>
        </w:rPr>
        <w:t>“</w:t>
      </w:r>
      <w:r w:rsidRPr="006B729A">
        <w:rPr>
          <w:rFonts w:asciiTheme="minorHAnsi" w:hAnsiTheme="minorHAnsi" w:cstheme="minorHAnsi"/>
          <w:b/>
          <w:bCs/>
          <w:sz w:val="22"/>
        </w:rPr>
        <w:t>Charter</w:t>
      </w:r>
      <w:r w:rsidRPr="006B729A">
        <w:rPr>
          <w:rFonts w:asciiTheme="minorHAnsi" w:hAnsiTheme="minorHAnsi" w:cstheme="minorHAnsi"/>
          <w:sz w:val="22"/>
        </w:rPr>
        <w:t>”</w:t>
      </w:r>
      <w:r w:rsidRPr="00F47BF8">
        <w:rPr>
          <w:rFonts w:asciiTheme="minorHAnsi" w:hAnsiTheme="minorHAnsi" w:cstheme="minorHAnsi"/>
          <w:sz w:val="22"/>
        </w:rPr>
        <w:t>).  Article 8 of the Charter has its basis in Article 8 of the ECHR, as well as the Council of Europe’s Convention of 28 January 1981 for the Protection of Individuals with regard to Automatic Processing of Personal Data.</w:t>
      </w:r>
      <w:r>
        <w:rPr>
          <w:rStyle w:val="FootnoteReference"/>
          <w:rFonts w:asciiTheme="minorHAnsi" w:hAnsiTheme="minorHAnsi" w:cstheme="minorHAnsi"/>
          <w:sz w:val="22"/>
        </w:rPr>
        <w:footnoteReference w:id="9"/>
      </w:r>
    </w:p>
    <w:p w:rsidR="001526AD" w:rsidRPr="00F47BF8" w:rsidP="00C50912">
      <w:pPr>
        <w:pStyle w:val="BWBLevel2"/>
        <w:rPr>
          <w:rFonts w:asciiTheme="minorHAnsi" w:hAnsiTheme="minorHAnsi" w:cstheme="minorHAnsi"/>
          <w:sz w:val="22"/>
        </w:rPr>
      </w:pPr>
      <w:r w:rsidRPr="00F47BF8">
        <w:rPr>
          <w:rFonts w:asciiTheme="minorHAnsi" w:hAnsiTheme="minorHAnsi" w:cstheme="minorHAnsi"/>
          <w:sz w:val="22"/>
        </w:rPr>
        <w:t>The UK did not save the Charter into domestic law upon departure from the EU</w:t>
      </w:r>
      <w:r>
        <w:rPr>
          <w:rStyle w:val="FootnoteReference"/>
          <w:rFonts w:asciiTheme="minorHAnsi" w:hAnsiTheme="minorHAnsi" w:cstheme="minorHAnsi"/>
          <w:sz w:val="22"/>
        </w:rPr>
        <w:footnoteReference w:id="10"/>
      </w:r>
      <w:r w:rsidRPr="00F47BF8">
        <w:rPr>
          <w:rFonts w:asciiTheme="minorHAnsi" w:hAnsiTheme="minorHAnsi" w:cstheme="minorHAnsi"/>
          <w:sz w:val="22"/>
        </w:rPr>
        <w:t xml:space="preserve"> and has deleted EU fundamental rights from the statute book.</w:t>
      </w:r>
      <w:r>
        <w:rPr>
          <w:rStyle w:val="FootnoteReference"/>
          <w:rFonts w:asciiTheme="minorHAnsi" w:hAnsiTheme="minorHAnsi" w:cstheme="minorHAnsi"/>
          <w:sz w:val="22"/>
        </w:rPr>
        <w:footnoteReference w:id="11"/>
      </w:r>
      <w:r w:rsidRPr="00F47BF8">
        <w:rPr>
          <w:rFonts w:asciiTheme="minorHAnsi" w:hAnsiTheme="minorHAnsi" w:cstheme="minorHAnsi"/>
          <w:sz w:val="22"/>
        </w:rPr>
        <w:t xml:space="preserve"> However, </w:t>
      </w:r>
      <w:r>
        <w:rPr>
          <w:rFonts w:asciiTheme="minorHAnsi" w:hAnsiTheme="minorHAnsi" w:cstheme="minorHAnsi"/>
          <w:sz w:val="22"/>
        </w:rPr>
        <w:t>r</w:t>
      </w:r>
      <w:r w:rsidRPr="00F47BF8">
        <w:rPr>
          <w:rFonts w:asciiTheme="minorHAnsi" w:hAnsiTheme="minorHAnsi" w:cstheme="minorHAnsi"/>
          <w:sz w:val="22"/>
        </w:rPr>
        <w:t xml:space="preserve">eferences to fundamental rights and </w:t>
      </w:r>
      <w:r w:rsidRPr="00F47BF8">
        <w:rPr>
          <w:rFonts w:asciiTheme="minorHAnsi" w:hAnsiTheme="minorHAnsi" w:cstheme="minorHAnsi"/>
          <w:sz w:val="22"/>
        </w:rPr>
        <w:t xml:space="preserve">freedoms in the UK GDPR and the Data Protection Act 2018 (however expressed) are to </w:t>
      </w:r>
      <w:r>
        <w:rPr>
          <w:rFonts w:asciiTheme="minorHAnsi" w:hAnsiTheme="minorHAnsi" w:cstheme="minorHAnsi"/>
          <w:sz w:val="22"/>
        </w:rPr>
        <w:t xml:space="preserve">be read as references to </w:t>
      </w:r>
      <w:r w:rsidRPr="00F47BF8">
        <w:rPr>
          <w:rFonts w:asciiTheme="minorHAnsi" w:hAnsiTheme="minorHAnsi" w:cstheme="minorHAnsi"/>
          <w:sz w:val="22"/>
        </w:rPr>
        <w:t>“</w:t>
      </w:r>
      <w:r w:rsidRPr="00331211">
        <w:rPr>
          <w:rFonts w:asciiTheme="minorHAnsi" w:hAnsiTheme="minorHAnsi" w:cstheme="minorHAnsi"/>
          <w:i/>
          <w:iCs/>
          <w:sz w:val="22"/>
        </w:rPr>
        <w:t>the Convention rights within the meaning of the Human Rights Act 1998</w:t>
      </w:r>
      <w:r w:rsidRPr="00F47BF8">
        <w:rPr>
          <w:rFonts w:asciiTheme="minorHAnsi" w:hAnsiTheme="minorHAnsi" w:cstheme="minorHAnsi"/>
          <w:sz w:val="22"/>
        </w:rPr>
        <w:t xml:space="preserve">”. </w:t>
      </w:r>
      <w:r>
        <w:rPr>
          <w:rStyle w:val="FootnoteReference"/>
          <w:rFonts w:asciiTheme="minorHAnsi" w:hAnsiTheme="minorHAnsi" w:cstheme="minorHAnsi"/>
          <w:sz w:val="22"/>
        </w:rPr>
        <w:footnoteReference w:id="12"/>
      </w:r>
      <w:r w:rsidRPr="00F47BF8">
        <w:rPr>
          <w:rFonts w:asciiTheme="minorHAnsi" w:hAnsiTheme="minorHAnsi" w:cstheme="minorHAnsi"/>
          <w:sz w:val="22"/>
        </w:rPr>
        <w:t xml:space="preserve">  There are </w:t>
      </w:r>
      <w:r>
        <w:rPr>
          <w:rFonts w:asciiTheme="minorHAnsi" w:hAnsiTheme="minorHAnsi" w:cstheme="minorHAnsi"/>
          <w:sz w:val="22"/>
        </w:rPr>
        <w:t>70</w:t>
      </w:r>
      <w:r w:rsidRPr="00F47BF8">
        <w:rPr>
          <w:rFonts w:asciiTheme="minorHAnsi" w:hAnsiTheme="minorHAnsi" w:cstheme="minorHAnsi"/>
          <w:sz w:val="22"/>
        </w:rPr>
        <w:t xml:space="preserve"> references in the UK GDPR to rights and freedoms.</w:t>
      </w:r>
      <w:r>
        <w:rPr>
          <w:rStyle w:val="FootnoteReference"/>
          <w:rFonts w:asciiTheme="minorHAnsi" w:hAnsiTheme="minorHAnsi" w:cstheme="minorHAnsi"/>
          <w:sz w:val="22"/>
        </w:rPr>
        <w:footnoteReference w:id="13"/>
      </w:r>
      <w:r w:rsidRPr="00F47BF8">
        <w:rPr>
          <w:rFonts w:asciiTheme="minorHAnsi" w:hAnsiTheme="minorHAnsi" w:cstheme="minorHAnsi"/>
          <w:sz w:val="22"/>
        </w:rPr>
        <w:t xml:space="preserve">  Article 1(2) of the UK GDPR states that: “</w:t>
      </w:r>
      <w:r w:rsidRPr="00F47BF8">
        <w:rPr>
          <w:rFonts w:asciiTheme="minorHAnsi" w:hAnsiTheme="minorHAnsi" w:cstheme="minorHAnsi"/>
          <w:i/>
          <w:iCs/>
          <w:sz w:val="22"/>
        </w:rPr>
        <w:t xml:space="preserve">This Regulation contributes to the protection of individuals’ fundamental rights and freedoms.”  </w:t>
      </w:r>
      <w:r w:rsidRPr="00F47BF8">
        <w:rPr>
          <w:rFonts w:asciiTheme="minorHAnsi" w:hAnsiTheme="minorHAnsi" w:cstheme="minorHAnsi"/>
          <w:sz w:val="22"/>
        </w:rPr>
        <w:t>Further,  there are 11</w:t>
      </w:r>
      <w:r>
        <w:rPr>
          <w:rFonts w:asciiTheme="minorHAnsi" w:hAnsiTheme="minorHAnsi" w:cstheme="minorHAnsi"/>
          <w:sz w:val="22"/>
        </w:rPr>
        <w:t>8</w:t>
      </w:r>
      <w:r>
        <w:rPr>
          <w:rStyle w:val="FootnoteReference"/>
          <w:rFonts w:asciiTheme="minorHAnsi" w:hAnsiTheme="minorHAnsi" w:cstheme="minorHAnsi"/>
          <w:sz w:val="22"/>
        </w:rPr>
        <w:footnoteReference w:id="14"/>
      </w:r>
      <w:r w:rsidRPr="00F47BF8">
        <w:rPr>
          <w:rFonts w:asciiTheme="minorHAnsi" w:hAnsiTheme="minorHAnsi" w:cstheme="minorHAnsi"/>
          <w:sz w:val="22"/>
        </w:rPr>
        <w:t xml:space="preserve"> references in the UK GDPR to processing personal data where it is “necessary”. The courts have held that “</w:t>
      </w:r>
      <w:r w:rsidRPr="00F47BF8">
        <w:rPr>
          <w:rFonts w:asciiTheme="minorHAnsi" w:hAnsiTheme="minorHAnsi" w:cstheme="minorHAnsi"/>
          <w:i/>
          <w:iCs/>
          <w:sz w:val="22"/>
        </w:rPr>
        <w:t>It is common ground that the word “necessary”…carries with it connotations of the European Convention on Human Rights:  those include the proposition that a pressing social need is involved and that the measure employed is proportionate to the legitimate aim being pursued</w:t>
      </w:r>
      <w:r w:rsidRPr="00F47BF8">
        <w:rPr>
          <w:rFonts w:asciiTheme="minorHAnsi" w:hAnsiTheme="minorHAnsi" w:cstheme="minorHAnsi"/>
          <w:sz w:val="22"/>
        </w:rPr>
        <w:t>”.</w:t>
      </w:r>
      <w:r>
        <w:rPr>
          <w:rStyle w:val="FootnoteReference"/>
          <w:rFonts w:asciiTheme="minorHAnsi" w:hAnsiTheme="minorHAnsi" w:cstheme="minorHAnsi"/>
          <w:sz w:val="22"/>
        </w:rPr>
        <w:footnoteReference w:id="15"/>
      </w:r>
    </w:p>
    <w:p w:rsidR="001526AD" w:rsidRPr="00F47BF8" w:rsidP="00470E2D">
      <w:pPr>
        <w:pStyle w:val="ListParagraph"/>
        <w:jc w:val="both"/>
        <w:rPr>
          <w:rFonts w:cstheme="minorHAnsi"/>
        </w:rPr>
      </w:pPr>
    </w:p>
    <w:p w:rsidR="001526AD" w:rsidRPr="00167FBB" w:rsidP="00167FBB">
      <w:pPr>
        <w:pStyle w:val="BWBLevel2"/>
        <w:rPr>
          <w:rFonts w:asciiTheme="minorHAnsi" w:hAnsiTheme="minorHAnsi" w:cstheme="minorHAnsi"/>
          <w:sz w:val="22"/>
        </w:rPr>
      </w:pPr>
      <w:r w:rsidRPr="00F47BF8">
        <w:rPr>
          <w:rFonts w:asciiTheme="minorHAnsi" w:hAnsiTheme="minorHAnsi" w:cstheme="minorHAnsi"/>
          <w:sz w:val="22"/>
        </w:rPr>
        <w:t xml:space="preserve">Collins Rice J provides a useful summary of how data protection law approaches the balancing of competing interests in the case of </w:t>
      </w:r>
      <w:r w:rsidRPr="00F47BF8">
        <w:rPr>
          <w:rFonts w:asciiTheme="minorHAnsi" w:hAnsiTheme="minorHAnsi" w:cstheme="minorHAnsi"/>
          <w:i/>
          <w:iCs/>
          <w:sz w:val="22"/>
        </w:rPr>
        <w:t xml:space="preserve">RMT </w:t>
      </w:r>
      <w:r w:rsidRPr="00F47BF8">
        <w:rPr>
          <w:rFonts w:asciiTheme="minorHAnsi" w:hAnsiTheme="minorHAnsi" w:cstheme="minorHAnsi"/>
          <w:sz w:val="22"/>
        </w:rPr>
        <w:t xml:space="preserve">v </w:t>
      </w:r>
      <w:r w:rsidRPr="00F47BF8">
        <w:rPr>
          <w:rFonts w:asciiTheme="minorHAnsi" w:hAnsiTheme="minorHAnsi" w:cstheme="minorHAnsi"/>
          <w:i/>
          <w:iCs/>
          <w:sz w:val="22"/>
        </w:rPr>
        <w:t>Bonne Terre Ltd &amp; Anor</w:t>
      </w:r>
      <w:r w:rsidRPr="00F47BF8">
        <w:rPr>
          <w:rFonts w:asciiTheme="minorHAnsi" w:hAnsiTheme="minorHAnsi" w:cstheme="minorHAnsi"/>
          <w:sz w:val="22"/>
        </w:rPr>
        <w:t>:</w:t>
      </w:r>
      <w:bookmarkStart w:id="0" w:name="para100"/>
      <w:r w:rsidRPr="00F47BF8">
        <w:rPr>
          <w:rFonts w:asciiTheme="minorHAnsi" w:hAnsiTheme="minorHAnsi" w:cstheme="minorHAnsi"/>
          <w:sz w:val="22"/>
        </w:rPr>
        <w:t xml:space="preserve"> </w:t>
      </w:r>
    </w:p>
    <w:p w:rsidR="001526AD" w:rsidRPr="00F47BF8" w:rsidP="00167FBB">
      <w:pPr>
        <w:pStyle w:val="BWBLevel2"/>
        <w:numPr>
          <w:ilvl w:val="0"/>
          <w:numId w:val="0"/>
        </w:numPr>
        <w:ind w:left="879"/>
        <w:rPr>
          <w:rFonts w:asciiTheme="minorHAnsi" w:hAnsiTheme="minorHAnsi" w:cstheme="minorHAnsi"/>
          <w:sz w:val="22"/>
        </w:rPr>
      </w:pPr>
      <w:r>
        <w:rPr>
          <w:rFonts w:asciiTheme="minorHAnsi" w:hAnsiTheme="minorHAnsi" w:cstheme="minorHAnsi"/>
          <w:color w:val="000000"/>
          <w:sz w:val="22"/>
          <w:lang w:eastAsia="en-GB"/>
        </w:rPr>
        <w:t>“</w:t>
      </w:r>
      <w:r w:rsidRPr="00167FBB">
        <w:rPr>
          <w:rFonts w:asciiTheme="minorHAnsi" w:hAnsiTheme="minorHAnsi" w:cstheme="minorHAnsi"/>
          <w:i/>
          <w:iCs/>
          <w:color w:val="000000"/>
          <w:sz w:val="22"/>
          <w:lang w:eastAsia="en-GB"/>
        </w:rPr>
        <w:t>The data protection regimes applicable to the relevant period of this claim are constructed, as we have seen, from a number of nested or intersecting principles. These are designed to strike a sophisticated balance between, on the one hand, the freedom and flourishing of public life and modern business and trade (the Directive implemented in the 1998 Act was a single market measure) – increasingly dependent as these are on information about people, their behaviour and their preferences in order to calibrate, influence and meet demand – and, on the other hand, the rights of individuals to privacy, ultimately derived from Art.8 ECHR, and so including 'the protection of human autonomy and dignity—the right to control the dissemination of information about one's private life and the right to the esteem and respect of other people'. The sophistication of the balance between commercial freedom and the autonomous control by individuals of their personal information comes partly from the relatively fine-grained detail of the data protection regime, and partly from its inherent fact-sensitivity and reliance on essentially evaluative and context-specific concepts. The balance is struck in different places and different ways accordingly.</w:t>
      </w:r>
      <w:bookmarkEnd w:id="0"/>
      <w:r>
        <w:rPr>
          <w:rFonts w:asciiTheme="minorHAnsi" w:hAnsiTheme="minorHAnsi" w:cstheme="minorHAnsi"/>
          <w:color w:val="000000"/>
          <w:sz w:val="22"/>
          <w:lang w:eastAsia="en-GB"/>
        </w:rPr>
        <w:t>”</w:t>
      </w:r>
      <w:r>
        <w:rPr>
          <w:rStyle w:val="FootnoteReference"/>
          <w:rFonts w:asciiTheme="minorHAnsi" w:hAnsiTheme="minorHAnsi" w:cstheme="minorHAnsi"/>
          <w:color w:val="000000"/>
          <w:sz w:val="22"/>
          <w:lang w:eastAsia="en-GB"/>
        </w:rPr>
        <w:footnoteReference w:id="16"/>
      </w:r>
    </w:p>
    <w:p w:rsidR="001526AD" w:rsidRPr="00F47BF8" w:rsidP="00470E2D">
      <w:pPr>
        <w:pStyle w:val="ListParagraph"/>
        <w:spacing w:before="60" w:after="60" w:line="300" w:lineRule="auto"/>
        <w:ind w:left="1440"/>
        <w:jc w:val="both"/>
        <w:rPr>
          <w:rFonts w:cstheme="minorHAnsi"/>
        </w:rPr>
      </w:pPr>
    </w:p>
    <w:p w:rsidR="001526AD" w:rsidRPr="0030408B" w:rsidP="0030408B">
      <w:pPr>
        <w:pStyle w:val="BWBLevel2"/>
        <w:rPr>
          <w:rStyle w:val="cf01"/>
          <w:rFonts w:asciiTheme="minorHAnsi" w:hAnsiTheme="minorHAnsi" w:cstheme="minorHAnsi"/>
          <w:sz w:val="22"/>
          <w:szCs w:val="22"/>
        </w:rPr>
      </w:pPr>
      <w:r w:rsidRPr="00F47BF8">
        <w:rPr>
          <w:rFonts w:asciiTheme="minorHAnsi" w:hAnsiTheme="minorHAnsi" w:cstheme="minorHAnsi"/>
          <w:sz w:val="22"/>
        </w:rPr>
        <w:t>Data protection law applies where public bodies and private organisations process personal data.  Given the broad definition of personal data</w:t>
      </w:r>
      <w:r>
        <w:rPr>
          <w:rStyle w:val="FootnoteReference"/>
          <w:rFonts w:asciiTheme="minorHAnsi" w:hAnsiTheme="minorHAnsi" w:cstheme="minorHAnsi"/>
          <w:sz w:val="22"/>
        </w:rPr>
        <w:footnoteReference w:id="17"/>
      </w:r>
      <w:r w:rsidRPr="00F47BF8">
        <w:rPr>
          <w:rFonts w:asciiTheme="minorHAnsi" w:hAnsiTheme="minorHAnsi" w:cstheme="minorHAnsi"/>
          <w:sz w:val="22"/>
        </w:rPr>
        <w:t xml:space="preserve">, data protection law applies in some way to most </w:t>
      </w:r>
      <w:r w:rsidRPr="00F47BF8">
        <w:rPr>
          <w:rFonts w:asciiTheme="minorHAnsi" w:hAnsiTheme="minorHAnsi" w:cstheme="minorHAnsi"/>
          <w:sz w:val="22"/>
        </w:rPr>
        <w:t>public or economic activity including in the development and deployment of AI systems.  The former Information Commissioner Elizabeth Denham explained the link between emerging technologies and personal data in the following way:</w:t>
      </w:r>
    </w:p>
    <w:p w:rsidR="001526AD" w:rsidRPr="00F47BF8" w:rsidP="00C50912">
      <w:pPr>
        <w:pStyle w:val="BWBLevel2"/>
        <w:numPr>
          <w:ilvl w:val="0"/>
          <w:numId w:val="0"/>
        </w:numPr>
        <w:ind w:left="879"/>
        <w:rPr>
          <w:rFonts w:asciiTheme="minorHAnsi" w:hAnsiTheme="minorHAnsi" w:cstheme="minorHAnsi"/>
          <w:sz w:val="22"/>
        </w:rPr>
      </w:pPr>
      <w:r w:rsidRPr="00F47BF8">
        <w:rPr>
          <w:rStyle w:val="cf01"/>
          <w:rFonts w:asciiTheme="minorHAnsi" w:eastAsiaTheme="minorEastAsia" w:hAnsiTheme="minorHAnsi" w:cstheme="minorHAnsi"/>
          <w:sz w:val="22"/>
          <w:szCs w:val="22"/>
        </w:rPr>
        <w:t>“</w:t>
      </w:r>
      <w:r w:rsidRPr="00F47BF8">
        <w:rPr>
          <w:rFonts w:asciiTheme="minorHAnsi" w:eastAsiaTheme="minorEastAsia" w:hAnsiTheme="minorHAnsi" w:cstheme="minorHAnsi"/>
          <w:i/>
          <w:iCs/>
          <w:sz w:val="22"/>
        </w:rPr>
        <w:t>The energy powering these new technologies is our data: about our behaviour, our interests, our spending patterns, our loves and likes, our beliefs, our health, sometimes even our DNA – the very building blocks that make us who we are.”</w:t>
      </w:r>
      <w:r>
        <w:rPr>
          <w:rStyle w:val="FootnoteReference"/>
          <w:rFonts w:asciiTheme="minorHAnsi" w:eastAsiaTheme="minorEastAsia" w:hAnsiTheme="minorHAnsi" w:cstheme="minorHAnsi"/>
          <w:sz w:val="22"/>
        </w:rPr>
        <w:footnoteReference w:id="18"/>
      </w:r>
    </w:p>
    <w:p w:rsidR="001526AD" w:rsidRPr="004828F3" w:rsidP="004828F3">
      <w:pPr>
        <w:spacing w:before="100" w:beforeAutospacing="1" w:after="100" w:afterAutospacing="1" w:line="240" w:lineRule="auto"/>
        <w:jc w:val="both"/>
        <w:rPr>
          <w:rFonts w:cstheme="minorHAnsi"/>
          <w:b/>
          <w:bCs/>
          <w:color w:val="000000" w:themeColor="text1"/>
          <w:lang w:eastAsia="en-GB"/>
        </w:rPr>
      </w:pPr>
      <w:r w:rsidRPr="004828F3">
        <w:rPr>
          <w:rFonts w:cstheme="minorHAnsi"/>
          <w:b/>
          <w:bCs/>
          <w:color w:val="000000" w:themeColor="text1"/>
          <w:lang w:eastAsia="en-GB"/>
        </w:rPr>
        <w:t xml:space="preserve">Data protection rights in the context of AI </w:t>
      </w:r>
    </w:p>
    <w:p w:rsidR="001526AD" w:rsidP="00E13555">
      <w:pPr>
        <w:pStyle w:val="BWBLevel2"/>
        <w:rPr>
          <w:rFonts w:asciiTheme="minorHAnsi" w:hAnsiTheme="minorHAnsi" w:cstheme="minorHAnsi"/>
          <w:sz w:val="22"/>
        </w:rPr>
      </w:pPr>
      <w:r w:rsidRPr="00F47BF8">
        <w:rPr>
          <w:rFonts w:asciiTheme="minorHAnsi" w:hAnsiTheme="minorHAnsi" w:cstheme="minorHAnsi"/>
          <w:sz w:val="22"/>
        </w:rPr>
        <w:t>Data protection law is intended to be technology-neutral, in order to ensure that the rights of individuals are protected.</w:t>
      </w:r>
      <w:r>
        <w:rPr>
          <w:rFonts w:asciiTheme="minorHAnsi" w:hAnsiTheme="minorHAnsi" w:cstheme="minorHAnsi"/>
          <w:sz w:val="22"/>
          <w:vertAlign w:val="superscript"/>
        </w:rPr>
        <w:footnoteReference w:id="19"/>
      </w:r>
      <w:r w:rsidRPr="00F47BF8">
        <w:rPr>
          <w:rFonts w:asciiTheme="minorHAnsi" w:hAnsiTheme="minorHAnsi" w:cstheme="minorHAnsi"/>
          <w:sz w:val="22"/>
        </w:rPr>
        <w:t xml:space="preserve">  The rights and principles that it contains are therefore relevant in the context of emerging technologies, including AI. </w:t>
      </w:r>
    </w:p>
    <w:p w:rsidR="001526AD" w:rsidP="00E13555">
      <w:pPr>
        <w:pStyle w:val="BWBLevel2"/>
        <w:rPr>
          <w:rFonts w:asciiTheme="minorHAnsi" w:hAnsiTheme="minorHAnsi" w:cstheme="minorHAnsi"/>
          <w:sz w:val="22"/>
        </w:rPr>
      </w:pPr>
      <w:r w:rsidRPr="00F47BF8">
        <w:rPr>
          <w:rFonts w:asciiTheme="minorHAnsi" w:hAnsiTheme="minorHAnsi" w:cstheme="minorHAnsi"/>
          <w:sz w:val="22"/>
        </w:rPr>
        <w:t>The central principles under data protection law are that personal data should be processed fairly, lawfully and transparently in relation to the data subject</w:t>
      </w:r>
      <w:r>
        <w:rPr>
          <w:rFonts w:asciiTheme="minorHAnsi" w:hAnsiTheme="minorHAnsi" w:cstheme="minorHAnsi"/>
          <w:sz w:val="22"/>
        </w:rPr>
        <w:t xml:space="preserve"> (see Article 5(1)(a) of the UK GDPR)</w:t>
      </w:r>
      <w:r w:rsidRPr="00F47BF8">
        <w:rPr>
          <w:rFonts w:asciiTheme="minorHAnsi" w:hAnsiTheme="minorHAnsi" w:cstheme="minorHAnsi"/>
          <w:sz w:val="22"/>
        </w:rPr>
        <w:t>.</w:t>
      </w:r>
      <w:r w:rsidRPr="008932E5">
        <w:rPr>
          <w:rFonts w:asciiTheme="minorHAnsi" w:hAnsiTheme="minorHAnsi" w:cstheme="minorHAnsi"/>
          <w:sz w:val="22"/>
          <w:vertAlign w:val="superscript"/>
        </w:rPr>
        <w:t xml:space="preserve"> </w:t>
      </w:r>
      <w:r w:rsidRPr="00F47BF8">
        <w:rPr>
          <w:rFonts w:asciiTheme="minorHAnsi" w:hAnsiTheme="minorHAnsi" w:cstheme="minorHAnsi"/>
          <w:sz w:val="22"/>
        </w:rPr>
        <w:t xml:space="preserve"> Other key principles are accountability, security and purpose limitation. There is considerable overlap between the data protection principles and the frameworks set out at international level such as the OECD’s principles for stewardship of trustworthy AI</w:t>
      </w:r>
      <w:r>
        <w:rPr>
          <w:rFonts w:asciiTheme="minorHAnsi" w:hAnsiTheme="minorHAnsi" w:cstheme="minorHAnsi"/>
          <w:sz w:val="22"/>
          <w:vertAlign w:val="superscript"/>
        </w:rPr>
        <w:footnoteReference w:id="20"/>
      </w:r>
      <w:r w:rsidRPr="00285141">
        <w:rPr>
          <w:rFonts w:asciiTheme="minorHAnsi" w:hAnsiTheme="minorHAnsi" w:cstheme="minorHAnsi"/>
          <w:sz w:val="22"/>
          <w:vertAlign w:val="superscript"/>
        </w:rPr>
        <w:t xml:space="preserve"> </w:t>
      </w:r>
      <w:r w:rsidRPr="00F47BF8">
        <w:rPr>
          <w:rFonts w:asciiTheme="minorHAnsi" w:hAnsiTheme="minorHAnsi" w:cstheme="minorHAnsi"/>
          <w:sz w:val="22"/>
        </w:rPr>
        <w:t>and the Council of Europe’s Framework Convention on Artificial Intelligence.</w:t>
      </w:r>
      <w:r>
        <w:rPr>
          <w:rFonts w:asciiTheme="minorHAnsi" w:hAnsiTheme="minorHAnsi" w:cstheme="minorHAnsi"/>
          <w:sz w:val="22"/>
          <w:vertAlign w:val="superscript"/>
        </w:rPr>
        <w:footnoteReference w:id="21"/>
      </w:r>
      <w:r w:rsidRPr="00285141">
        <w:rPr>
          <w:rFonts w:asciiTheme="minorHAnsi" w:hAnsiTheme="minorHAnsi" w:cstheme="minorHAnsi"/>
          <w:sz w:val="22"/>
          <w:vertAlign w:val="superscript"/>
        </w:rPr>
        <w:t xml:space="preserve"> </w:t>
      </w:r>
      <w:r w:rsidRPr="00F47BF8">
        <w:rPr>
          <w:rFonts w:asciiTheme="minorHAnsi" w:hAnsiTheme="minorHAnsi" w:cstheme="minorHAnsi"/>
          <w:sz w:val="22"/>
        </w:rPr>
        <w:t xml:space="preserve"> </w:t>
      </w:r>
    </w:p>
    <w:p w:rsidR="001526AD" w:rsidP="00BE0924">
      <w:pPr>
        <w:pStyle w:val="BWBLevel2"/>
        <w:rPr>
          <w:rFonts w:asciiTheme="minorHAnsi" w:hAnsiTheme="minorHAnsi" w:cstheme="minorHAnsi"/>
          <w:sz w:val="22"/>
        </w:rPr>
      </w:pPr>
      <w:r>
        <w:rPr>
          <w:rFonts w:asciiTheme="minorHAnsi" w:hAnsiTheme="minorHAnsi" w:cstheme="minorHAnsi"/>
          <w:sz w:val="22"/>
        </w:rPr>
        <w:t xml:space="preserve">The central principles of data protection law provide important safeguards for individuals where AI is being used.  However, in our experience compliance with these principles is poor.  Part of the reason for this is that only controllers of personal data (eg a company buying an AI system to evaluate its workforce) are required to carry out the human rights analysis under data protection law.  For example, only controllers have a direct responsibility to complete data protection impact assessments or to consider the proportionality and necessity of the processing.   Developers of AI systems often hold themselves out as processors.  Processors have no direct responsibility for conducting human rights assessments under data protection law.  This leaves a potential gap in protection for individuals.  </w:t>
      </w:r>
    </w:p>
    <w:p w:rsidR="001526AD" w:rsidP="00BE0924">
      <w:pPr>
        <w:pStyle w:val="BWBLevel2"/>
        <w:rPr>
          <w:rFonts w:asciiTheme="minorHAnsi" w:hAnsiTheme="minorHAnsi" w:cstheme="minorHAnsi"/>
          <w:sz w:val="22"/>
        </w:rPr>
      </w:pPr>
      <w:r>
        <w:rPr>
          <w:rFonts w:asciiTheme="minorHAnsi" w:hAnsiTheme="minorHAnsi" w:cstheme="minorHAnsi"/>
          <w:sz w:val="22"/>
        </w:rPr>
        <w:t xml:space="preserve">A further flaw is that data protection law is very onerous in terms of the obligations it places on organisations.  Many organisations rely on automated systems to help produce the audit trails required to “demonstrate” compliance.  This means that little real analysis and thought goes into </w:t>
      </w:r>
      <w:r>
        <w:rPr>
          <w:rFonts w:asciiTheme="minorHAnsi" w:hAnsiTheme="minorHAnsi" w:cstheme="minorHAnsi"/>
          <w:sz w:val="22"/>
        </w:rPr>
        <w:t>the way in which human rights risks present themselves and can be mitigated.  This in turn leads to a lower standard of protections for individuals.</w:t>
      </w:r>
    </w:p>
    <w:p w:rsidR="001526AD" w:rsidP="00BE0924">
      <w:pPr>
        <w:pStyle w:val="BWBLevel2"/>
        <w:rPr>
          <w:rFonts w:asciiTheme="minorHAnsi" w:hAnsiTheme="minorHAnsi" w:cstheme="minorHAnsi"/>
          <w:sz w:val="22"/>
        </w:rPr>
      </w:pPr>
      <w:r>
        <w:rPr>
          <w:rFonts w:asciiTheme="minorHAnsi" w:hAnsiTheme="minorHAnsi" w:cstheme="minorHAnsi"/>
          <w:sz w:val="22"/>
        </w:rPr>
        <w:t>A lack of enforcement by the data protection regulator (see for example the analysis by Professor Erdos as referenced above) means that compliance with the relevant standards is not a priority for many organisations.</w:t>
      </w:r>
    </w:p>
    <w:p w:rsidR="001526AD" w:rsidRPr="001D0918" w:rsidP="001D0918">
      <w:pPr>
        <w:pStyle w:val="BWBLevel2"/>
        <w:rPr>
          <w:rFonts w:asciiTheme="minorHAnsi" w:hAnsiTheme="minorHAnsi" w:cstheme="minorHAnsi"/>
          <w:sz w:val="22"/>
        </w:rPr>
      </w:pPr>
      <w:r w:rsidRPr="00972986">
        <w:rPr>
          <w:rFonts w:asciiTheme="minorHAnsi" w:hAnsiTheme="minorHAnsi" w:cstheme="minorHAnsi"/>
          <w:sz w:val="22"/>
        </w:rPr>
        <w:t xml:space="preserve">For a more detailed analysis of </w:t>
      </w:r>
      <w:r>
        <w:rPr>
          <w:rFonts w:asciiTheme="minorHAnsi" w:hAnsiTheme="minorHAnsi" w:cstheme="minorHAnsi"/>
          <w:sz w:val="22"/>
        </w:rPr>
        <w:t>how t</w:t>
      </w:r>
      <w:r w:rsidRPr="00972986">
        <w:rPr>
          <w:rFonts w:asciiTheme="minorHAnsi" w:hAnsiTheme="minorHAnsi" w:cstheme="minorHAnsi"/>
          <w:sz w:val="22"/>
        </w:rPr>
        <w:t xml:space="preserve">he obligations under the UK GDPR and the Data Protection Act 2018 apply in the context of AI, please see Appendix 2.  </w:t>
      </w:r>
    </w:p>
    <w:p w:rsidR="001526AD" w:rsidRPr="00F47BF8" w:rsidP="00470E2D">
      <w:pPr>
        <w:pStyle w:val="BWBLevel1"/>
        <w:spacing w:before="60" w:after="60" w:line="300" w:lineRule="auto"/>
        <w:rPr>
          <w:rFonts w:asciiTheme="minorHAnsi" w:eastAsiaTheme="minorEastAsia" w:hAnsiTheme="minorHAnsi" w:cstheme="minorHAnsi"/>
          <w:sz w:val="22"/>
        </w:rPr>
      </w:pPr>
      <w:r w:rsidRPr="00F47BF8">
        <w:rPr>
          <w:rFonts w:asciiTheme="minorHAnsi" w:eastAsiaTheme="minorEastAsia" w:hAnsiTheme="minorHAnsi" w:cstheme="minorHAnsi"/>
          <w:b/>
          <w:bCs/>
          <w:sz w:val="22"/>
        </w:rPr>
        <w:t xml:space="preserve">To what extent is the Government’s policy approach to deploying AI, expressed in its “AI Opportunities Action Plan”, sufficiently robust in respect of safeguarding human rights? </w:t>
      </w:r>
    </w:p>
    <w:p w:rsidR="001526AD" w:rsidRPr="00F47BF8" w:rsidP="00470E2D">
      <w:pPr>
        <w:pStyle w:val="BWBLevel1"/>
        <w:numPr>
          <w:ilvl w:val="0"/>
          <w:numId w:val="0"/>
        </w:numPr>
        <w:spacing w:before="60" w:after="60" w:line="300" w:lineRule="auto"/>
        <w:ind w:left="879"/>
        <w:rPr>
          <w:rFonts w:asciiTheme="minorHAnsi" w:eastAsiaTheme="minorEastAsia" w:hAnsiTheme="minorHAnsi" w:cstheme="minorHAnsi"/>
          <w:color w:val="0B0C0C"/>
          <w:sz w:val="22"/>
        </w:rPr>
      </w:pPr>
    </w:p>
    <w:p w:rsidR="001526AD" w:rsidRPr="000B6E7C" w:rsidP="00CD517A">
      <w:pPr>
        <w:pStyle w:val="BWBLevel2"/>
        <w:rPr>
          <w:rFonts w:asciiTheme="minorHAnsi" w:hAnsiTheme="minorHAnsi" w:cstheme="minorHAnsi"/>
          <w:sz w:val="22"/>
        </w:rPr>
      </w:pPr>
      <w:r>
        <w:rPr>
          <w:rFonts w:asciiTheme="minorHAnsi" w:hAnsiTheme="minorHAnsi" w:cstheme="minorHAnsi"/>
          <w:sz w:val="22"/>
        </w:rPr>
        <w:t xml:space="preserve">The government’s prioritising of growth ahead of human rights as evidenced in the AI Opportunities Action Plan (the Plan) is problematic.  </w:t>
      </w:r>
      <w:r w:rsidRPr="00F47BF8">
        <w:rPr>
          <w:rFonts w:asciiTheme="minorHAnsi" w:hAnsiTheme="minorHAnsi" w:cstheme="minorHAnsi"/>
          <w:sz w:val="22"/>
        </w:rPr>
        <w:t xml:space="preserve">It remains unclear what advantages proceed from </w:t>
      </w:r>
      <w:r>
        <w:rPr>
          <w:rFonts w:asciiTheme="minorHAnsi" w:hAnsiTheme="minorHAnsi" w:cstheme="minorHAnsi"/>
          <w:sz w:val="22"/>
        </w:rPr>
        <w:t xml:space="preserve">the </w:t>
      </w:r>
      <w:r w:rsidRPr="00F47BF8">
        <w:rPr>
          <w:rFonts w:asciiTheme="minorHAnsi" w:hAnsiTheme="minorHAnsi" w:cstheme="minorHAnsi"/>
          <w:sz w:val="22"/>
        </w:rPr>
        <w:t>watering down of protections from automated decision-making</w:t>
      </w:r>
      <w:r>
        <w:rPr>
          <w:rFonts w:asciiTheme="minorHAnsi" w:hAnsiTheme="minorHAnsi" w:cstheme="minorHAnsi"/>
          <w:sz w:val="22"/>
        </w:rPr>
        <w:t>, as has happened in the Data (Use and Access) Act 2025</w:t>
      </w:r>
      <w:r w:rsidRPr="00F47BF8">
        <w:rPr>
          <w:rFonts w:asciiTheme="minorHAnsi" w:hAnsiTheme="minorHAnsi" w:cstheme="minorHAnsi"/>
          <w:sz w:val="22"/>
        </w:rPr>
        <w:t>.</w:t>
      </w:r>
      <w:r>
        <w:rPr>
          <w:rStyle w:val="FootnoteReference"/>
          <w:rFonts w:asciiTheme="minorHAnsi" w:hAnsiTheme="minorHAnsi" w:cstheme="minorHAnsi"/>
          <w:sz w:val="22"/>
        </w:rPr>
        <w:footnoteReference w:id="22"/>
      </w:r>
      <w:r w:rsidRPr="00F47BF8">
        <w:rPr>
          <w:rFonts w:asciiTheme="minorHAnsi" w:hAnsiTheme="minorHAnsi" w:cstheme="minorHAnsi"/>
          <w:sz w:val="22"/>
        </w:rPr>
        <w:t xml:space="preserve">  Leaving in place the current protections from automated decision-making would not have stopped businesses from developing new technologies in the UK: the protections would only apply in the context of important decisions being made about people through automated means.  Article 22 of the UK GDPR as currently in force does not hinder research and development, but it does mean that robust protections exist where machines are used to make important decisions about people.      </w:t>
      </w:r>
    </w:p>
    <w:p w:rsidR="001526AD" w:rsidRPr="00F47BF8" w:rsidP="00C50912">
      <w:pPr>
        <w:pStyle w:val="BWBLevel2"/>
        <w:rPr>
          <w:rFonts w:asciiTheme="minorHAnsi" w:hAnsiTheme="minorHAnsi" w:cstheme="minorHAnsi"/>
          <w:sz w:val="22"/>
        </w:rPr>
      </w:pPr>
      <w:r>
        <w:rPr>
          <w:rFonts w:asciiTheme="minorHAnsi" w:hAnsiTheme="minorHAnsi" w:cstheme="minorHAnsi"/>
          <w:sz w:val="22"/>
        </w:rPr>
        <w:t>The</w:t>
      </w:r>
      <w:r w:rsidRPr="00F47BF8">
        <w:rPr>
          <w:rFonts w:asciiTheme="minorHAnsi" w:hAnsiTheme="minorHAnsi" w:cstheme="minorHAnsi"/>
          <w:sz w:val="22"/>
        </w:rPr>
        <w:t xml:space="preserve"> emphasis </w:t>
      </w:r>
      <w:r>
        <w:rPr>
          <w:rFonts w:asciiTheme="minorHAnsi" w:hAnsiTheme="minorHAnsi" w:cstheme="minorHAnsi"/>
          <w:sz w:val="22"/>
        </w:rPr>
        <w:t xml:space="preserve">in the Plan </w:t>
      </w:r>
      <w:r w:rsidRPr="00F47BF8">
        <w:rPr>
          <w:rFonts w:asciiTheme="minorHAnsi" w:hAnsiTheme="minorHAnsi" w:cstheme="minorHAnsi"/>
          <w:sz w:val="22"/>
        </w:rPr>
        <w:t>on regulators enabling growth</w:t>
      </w:r>
      <w:r>
        <w:rPr>
          <w:rStyle w:val="FootnoteReference"/>
          <w:rFonts w:asciiTheme="minorHAnsi" w:eastAsiaTheme="minorEastAsia" w:hAnsiTheme="minorHAnsi" w:cstheme="minorHAnsi"/>
          <w:color w:val="424242"/>
          <w:sz w:val="22"/>
        </w:rPr>
        <w:footnoteReference w:id="23"/>
      </w:r>
      <w:r w:rsidRPr="00F47BF8">
        <w:rPr>
          <w:rFonts w:asciiTheme="minorHAnsi" w:hAnsiTheme="minorHAnsi" w:cstheme="minorHAnsi"/>
          <w:sz w:val="22"/>
        </w:rPr>
        <w:t xml:space="preserve"> is at odds with the Information Commissioner’s </w:t>
      </w:r>
      <w:r>
        <w:rPr>
          <w:rFonts w:asciiTheme="minorHAnsi" w:hAnsiTheme="minorHAnsi" w:cstheme="minorHAnsi"/>
          <w:sz w:val="22"/>
        </w:rPr>
        <w:t>principal o</w:t>
      </w:r>
      <w:r w:rsidRPr="00F47BF8">
        <w:rPr>
          <w:rFonts w:asciiTheme="minorHAnsi" w:hAnsiTheme="minorHAnsi" w:cstheme="minorHAnsi"/>
          <w:sz w:val="22"/>
        </w:rPr>
        <w:t>bjective “</w:t>
      </w:r>
      <w:r w:rsidRPr="00B37692">
        <w:rPr>
          <w:rFonts w:asciiTheme="minorHAnsi" w:hAnsiTheme="minorHAnsi" w:cstheme="minorHAnsi"/>
          <w:i/>
          <w:iCs/>
          <w:sz w:val="22"/>
        </w:rPr>
        <w:t xml:space="preserve">to secure an appropriate level of protection for personal data” </w:t>
      </w:r>
      <w:r w:rsidRPr="00B37692">
        <w:rPr>
          <w:rFonts w:asciiTheme="minorHAnsi" w:hAnsiTheme="minorHAnsi" w:cstheme="minorHAnsi"/>
          <w:sz w:val="22"/>
        </w:rPr>
        <w:t>and</w:t>
      </w:r>
      <w:r w:rsidRPr="00B37692">
        <w:rPr>
          <w:rFonts w:asciiTheme="minorHAnsi" w:hAnsiTheme="minorHAnsi" w:cstheme="minorHAnsi"/>
          <w:i/>
          <w:iCs/>
          <w:sz w:val="22"/>
        </w:rPr>
        <w:t xml:space="preserve"> “promote public trust and confidence in the processing of personal data</w:t>
      </w:r>
      <w:r w:rsidRPr="00F47BF8">
        <w:rPr>
          <w:rFonts w:asciiTheme="minorHAnsi" w:hAnsiTheme="minorHAnsi" w:cstheme="minorHAnsi"/>
          <w:sz w:val="22"/>
        </w:rPr>
        <w:t>.”</w:t>
      </w:r>
      <w:r>
        <w:rPr>
          <w:rStyle w:val="FootnoteReference"/>
          <w:rFonts w:asciiTheme="minorHAnsi" w:eastAsiaTheme="minorEastAsia" w:hAnsiTheme="minorHAnsi" w:cstheme="minorHAnsi"/>
          <w:color w:val="424242"/>
          <w:sz w:val="22"/>
        </w:rPr>
        <w:footnoteReference w:id="24"/>
      </w:r>
      <w:r w:rsidRPr="00F47BF8">
        <w:rPr>
          <w:rFonts w:asciiTheme="minorHAnsi" w:hAnsiTheme="minorHAnsi" w:cstheme="minorHAnsi"/>
          <w:sz w:val="22"/>
        </w:rPr>
        <w:t xml:space="preserve"> The plan to “</w:t>
      </w:r>
      <w:r w:rsidRPr="00B37692">
        <w:rPr>
          <w:rFonts w:asciiTheme="minorHAnsi" w:hAnsiTheme="minorHAnsi" w:cstheme="minorHAnsi"/>
          <w:i/>
          <w:iCs/>
          <w:sz w:val="22"/>
        </w:rPr>
        <w:t>require all regulators to publish annually how they have enabled innovation and growth driven by AI</w:t>
      </w:r>
      <w:r w:rsidRPr="00F47BF8">
        <w:rPr>
          <w:rFonts w:asciiTheme="minorHAnsi" w:hAnsiTheme="minorHAnsi" w:cstheme="minorHAnsi"/>
          <w:sz w:val="22"/>
        </w:rPr>
        <w:t>” prioritises economic expansion, potentially at the expense of</w:t>
      </w:r>
      <w:r>
        <w:rPr>
          <w:rFonts w:asciiTheme="minorHAnsi" w:hAnsiTheme="minorHAnsi" w:cstheme="minorHAnsi"/>
          <w:sz w:val="22"/>
        </w:rPr>
        <w:t xml:space="preserve"> the protection of individuals.</w:t>
      </w:r>
      <w:r w:rsidRPr="00F47BF8">
        <w:rPr>
          <w:rFonts w:asciiTheme="minorHAnsi" w:hAnsiTheme="minorHAnsi" w:cstheme="minorHAnsi"/>
          <w:sz w:val="22"/>
        </w:rPr>
        <w:t xml:space="preserve"> </w:t>
      </w:r>
    </w:p>
    <w:p w:rsidR="001526AD" w:rsidRPr="00F47BF8" w:rsidP="00C50912">
      <w:pPr>
        <w:pStyle w:val="BWBLevel2"/>
        <w:rPr>
          <w:rFonts w:asciiTheme="minorHAnsi" w:hAnsiTheme="minorHAnsi" w:cstheme="minorHAnsi"/>
          <w:sz w:val="22"/>
        </w:rPr>
      </w:pPr>
      <w:r>
        <w:rPr>
          <w:rFonts w:asciiTheme="minorHAnsi" w:eastAsiaTheme="minorEastAsia" w:hAnsiTheme="minorHAnsi" w:cstheme="minorHAnsi"/>
          <w:color w:val="424242"/>
          <w:sz w:val="22"/>
        </w:rPr>
        <w:t>T</w:t>
      </w:r>
      <w:r w:rsidRPr="00F47BF8">
        <w:rPr>
          <w:rFonts w:asciiTheme="minorHAnsi" w:eastAsiaTheme="minorEastAsia" w:hAnsiTheme="minorHAnsi" w:cstheme="minorHAnsi"/>
          <w:color w:val="424242"/>
          <w:sz w:val="22"/>
        </w:rPr>
        <w:t xml:space="preserve">he </w:t>
      </w:r>
      <w:r>
        <w:rPr>
          <w:rFonts w:asciiTheme="minorHAnsi" w:eastAsiaTheme="minorEastAsia" w:hAnsiTheme="minorHAnsi" w:cstheme="minorHAnsi"/>
          <w:color w:val="424242"/>
          <w:sz w:val="22"/>
        </w:rPr>
        <w:t>P</w:t>
      </w:r>
      <w:r w:rsidRPr="00F47BF8">
        <w:rPr>
          <w:rFonts w:asciiTheme="minorHAnsi" w:eastAsiaTheme="minorEastAsia" w:hAnsiTheme="minorHAnsi" w:cstheme="minorHAnsi"/>
          <w:color w:val="424242"/>
          <w:sz w:val="22"/>
        </w:rPr>
        <w:t xml:space="preserve">lan highlights </w:t>
      </w:r>
      <w:r>
        <w:rPr>
          <w:rFonts w:asciiTheme="minorHAnsi" w:eastAsiaTheme="minorEastAsia" w:hAnsiTheme="minorHAnsi" w:cstheme="minorHAnsi"/>
          <w:color w:val="424242"/>
          <w:sz w:val="22"/>
        </w:rPr>
        <w:t xml:space="preserve">the </w:t>
      </w:r>
      <w:r w:rsidRPr="00F47BF8">
        <w:rPr>
          <w:rFonts w:asciiTheme="minorHAnsi" w:eastAsiaTheme="minorEastAsia" w:hAnsiTheme="minorHAnsi" w:cstheme="minorHAnsi"/>
          <w:color w:val="424242"/>
          <w:sz w:val="22"/>
        </w:rPr>
        <w:t>benefit</w:t>
      </w:r>
      <w:r>
        <w:rPr>
          <w:rFonts w:asciiTheme="minorHAnsi" w:eastAsiaTheme="minorEastAsia" w:hAnsiTheme="minorHAnsi" w:cstheme="minorHAnsi"/>
          <w:color w:val="424242"/>
          <w:sz w:val="22"/>
        </w:rPr>
        <w:t>s</w:t>
      </w:r>
      <w:r w:rsidRPr="00F47BF8">
        <w:rPr>
          <w:rFonts w:asciiTheme="minorHAnsi" w:eastAsiaTheme="minorEastAsia" w:hAnsiTheme="minorHAnsi" w:cstheme="minorHAnsi"/>
          <w:color w:val="424242"/>
          <w:sz w:val="22"/>
        </w:rPr>
        <w:t xml:space="preserve"> of AI such as faster diagnosis of medical conditions and improving assessment processes in the education sector</w:t>
      </w:r>
      <w:r>
        <w:rPr>
          <w:rFonts w:asciiTheme="minorHAnsi" w:eastAsiaTheme="minorEastAsia" w:hAnsiTheme="minorHAnsi" w:cstheme="minorHAnsi"/>
          <w:color w:val="424242"/>
          <w:sz w:val="22"/>
        </w:rPr>
        <w:t>.  However</w:t>
      </w:r>
      <w:r w:rsidRPr="00F47BF8">
        <w:rPr>
          <w:rFonts w:asciiTheme="minorHAnsi" w:eastAsiaTheme="minorEastAsia" w:hAnsiTheme="minorHAnsi" w:cstheme="minorHAnsi"/>
          <w:color w:val="424242"/>
          <w:sz w:val="22"/>
        </w:rPr>
        <w:t xml:space="preserve"> it does not sufficiently address potential risks</w:t>
      </w:r>
      <w:r>
        <w:rPr>
          <w:rFonts w:asciiTheme="minorHAnsi" w:eastAsiaTheme="minorEastAsia" w:hAnsiTheme="minorHAnsi" w:cstheme="minorHAnsi"/>
          <w:color w:val="424242"/>
          <w:sz w:val="22"/>
        </w:rPr>
        <w:t>.  H</w:t>
      </w:r>
      <w:r w:rsidRPr="00F47BF8">
        <w:rPr>
          <w:rFonts w:asciiTheme="minorHAnsi" w:eastAsiaTheme="minorEastAsia" w:hAnsiTheme="minorHAnsi" w:cstheme="minorHAnsi"/>
          <w:color w:val="424242"/>
          <w:sz w:val="22"/>
        </w:rPr>
        <w:t>allucination is a well-known inherent problem in AI that can create</w:t>
      </w:r>
      <w:r>
        <w:rPr>
          <w:rFonts w:asciiTheme="minorHAnsi" w:eastAsiaTheme="minorEastAsia" w:hAnsiTheme="minorHAnsi" w:cstheme="minorHAnsi"/>
          <w:color w:val="424242"/>
          <w:sz w:val="22"/>
        </w:rPr>
        <w:t xml:space="preserve"> adverse effects in sensitive contexts such as medical care</w:t>
      </w:r>
      <w:r w:rsidRPr="00F47BF8">
        <w:rPr>
          <w:rFonts w:asciiTheme="minorHAnsi" w:eastAsiaTheme="minorEastAsia" w:hAnsiTheme="minorHAnsi" w:cstheme="minorHAnsi"/>
          <w:color w:val="424242"/>
          <w:sz w:val="22"/>
        </w:rPr>
        <w:t xml:space="preserve"> and education. </w:t>
      </w:r>
      <w:r>
        <w:rPr>
          <w:rFonts w:asciiTheme="minorHAnsi" w:eastAsiaTheme="minorEastAsia" w:hAnsiTheme="minorHAnsi" w:cstheme="minorHAnsi"/>
          <w:color w:val="424242"/>
          <w:sz w:val="22"/>
        </w:rPr>
        <w:t>A recent article from</w:t>
      </w:r>
      <w:r w:rsidRPr="00F47BF8">
        <w:rPr>
          <w:rFonts w:asciiTheme="minorHAnsi" w:eastAsiaTheme="minorEastAsia" w:hAnsiTheme="minorHAnsi" w:cstheme="minorHAnsi"/>
          <w:color w:val="424242"/>
          <w:sz w:val="22"/>
        </w:rPr>
        <w:t xml:space="preserve"> Apple’s Machine Learning Research </w:t>
      </w:r>
      <w:r>
        <w:rPr>
          <w:rFonts w:asciiTheme="minorHAnsi" w:eastAsiaTheme="minorEastAsia" w:hAnsiTheme="minorHAnsi" w:cstheme="minorHAnsi"/>
          <w:color w:val="424242"/>
          <w:sz w:val="22"/>
        </w:rPr>
        <w:t>points</w:t>
      </w:r>
      <w:r w:rsidRPr="00F47BF8">
        <w:rPr>
          <w:rFonts w:asciiTheme="minorHAnsi" w:eastAsiaTheme="minorEastAsia" w:hAnsiTheme="minorHAnsi" w:cstheme="minorHAnsi"/>
          <w:color w:val="424242"/>
          <w:sz w:val="22"/>
        </w:rPr>
        <w:t xml:space="preserve"> out limitations in Large Reasoning Models (LRMs</w:t>
      </w:r>
      <w:r>
        <w:rPr>
          <w:rFonts w:asciiTheme="minorHAnsi" w:eastAsiaTheme="minorEastAsia" w:hAnsiTheme="minorHAnsi" w:cstheme="minorHAnsi"/>
          <w:color w:val="424242"/>
          <w:sz w:val="22"/>
        </w:rPr>
        <w:t>)</w:t>
      </w:r>
      <w:r w:rsidRPr="00F47BF8">
        <w:rPr>
          <w:rFonts w:asciiTheme="minorHAnsi" w:eastAsiaTheme="minorEastAsia" w:hAnsiTheme="minorHAnsi" w:cstheme="minorHAnsi"/>
          <w:color w:val="424242"/>
          <w:sz w:val="22"/>
        </w:rPr>
        <w:t xml:space="preserve"> </w:t>
      </w:r>
      <w:r>
        <w:rPr>
          <w:rFonts w:asciiTheme="minorHAnsi" w:eastAsiaTheme="minorEastAsia" w:hAnsiTheme="minorHAnsi" w:cstheme="minorHAnsi"/>
          <w:color w:val="424242"/>
          <w:sz w:val="22"/>
        </w:rPr>
        <w:t>i</w:t>
      </w:r>
      <w:r w:rsidRPr="00F47BF8">
        <w:rPr>
          <w:rFonts w:asciiTheme="minorHAnsi" w:eastAsiaTheme="minorEastAsia" w:hAnsiTheme="minorHAnsi" w:cstheme="minorHAnsi"/>
          <w:color w:val="424242"/>
          <w:sz w:val="22"/>
        </w:rPr>
        <w:t>ncluding “inconsistent reasoning”.</w:t>
      </w:r>
      <w:r>
        <w:rPr>
          <w:rStyle w:val="FootnoteReference"/>
          <w:rFonts w:asciiTheme="minorHAnsi" w:eastAsiaTheme="minorEastAsia" w:hAnsiTheme="minorHAnsi" w:cstheme="minorHAnsi"/>
          <w:color w:val="424242"/>
          <w:sz w:val="22"/>
        </w:rPr>
        <w:footnoteReference w:id="25"/>
      </w:r>
      <w:r w:rsidRPr="00F47BF8">
        <w:rPr>
          <w:rFonts w:asciiTheme="minorHAnsi" w:eastAsiaTheme="minorEastAsia" w:hAnsiTheme="minorHAnsi" w:cstheme="minorHAnsi"/>
          <w:color w:val="424242"/>
          <w:sz w:val="22"/>
        </w:rPr>
        <w:t xml:space="preserve"> </w:t>
      </w:r>
      <w:r>
        <w:rPr>
          <w:rFonts w:asciiTheme="minorHAnsi" w:eastAsiaTheme="minorEastAsia" w:hAnsiTheme="minorHAnsi" w:cstheme="minorHAnsi"/>
          <w:color w:val="424242"/>
          <w:sz w:val="22"/>
        </w:rPr>
        <w:t>Further, t</w:t>
      </w:r>
      <w:r w:rsidRPr="00F47BF8">
        <w:rPr>
          <w:rFonts w:asciiTheme="minorHAnsi" w:eastAsiaTheme="minorEastAsia" w:hAnsiTheme="minorHAnsi" w:cstheme="minorHAnsi"/>
          <w:color w:val="424242"/>
          <w:sz w:val="22"/>
        </w:rPr>
        <w:t xml:space="preserve">he black box nature of AI </w:t>
      </w:r>
      <w:r>
        <w:rPr>
          <w:rFonts w:asciiTheme="minorHAnsi" w:eastAsiaTheme="minorEastAsia" w:hAnsiTheme="minorHAnsi" w:cstheme="minorHAnsi"/>
          <w:color w:val="424242"/>
          <w:sz w:val="22"/>
        </w:rPr>
        <w:t>(</w:t>
      </w:r>
      <w:r w:rsidRPr="00F47BF8">
        <w:rPr>
          <w:rFonts w:asciiTheme="minorHAnsi" w:eastAsiaTheme="minorEastAsia" w:hAnsiTheme="minorHAnsi" w:cstheme="minorHAnsi"/>
          <w:color w:val="424242"/>
          <w:sz w:val="22"/>
        </w:rPr>
        <w:t xml:space="preserve">in the sense that it is difficult </w:t>
      </w:r>
      <w:r>
        <w:rPr>
          <w:rFonts w:asciiTheme="minorHAnsi" w:eastAsiaTheme="minorEastAsia" w:hAnsiTheme="minorHAnsi" w:cstheme="minorHAnsi"/>
          <w:color w:val="424242"/>
          <w:sz w:val="22"/>
        </w:rPr>
        <w:t xml:space="preserve">- </w:t>
      </w:r>
      <w:r w:rsidRPr="00F47BF8">
        <w:rPr>
          <w:rFonts w:asciiTheme="minorHAnsi" w:eastAsiaTheme="minorEastAsia" w:hAnsiTheme="minorHAnsi" w:cstheme="minorHAnsi"/>
          <w:color w:val="424242"/>
          <w:sz w:val="22"/>
        </w:rPr>
        <w:t>if not impossible</w:t>
      </w:r>
      <w:r>
        <w:rPr>
          <w:rFonts w:asciiTheme="minorHAnsi" w:eastAsiaTheme="minorEastAsia" w:hAnsiTheme="minorHAnsi" w:cstheme="minorHAnsi"/>
          <w:color w:val="424242"/>
          <w:sz w:val="22"/>
        </w:rPr>
        <w:t xml:space="preserve"> - </w:t>
      </w:r>
      <w:r w:rsidRPr="00F47BF8">
        <w:rPr>
          <w:rFonts w:asciiTheme="minorHAnsi" w:eastAsiaTheme="minorEastAsia" w:hAnsiTheme="minorHAnsi" w:cstheme="minorHAnsi"/>
          <w:color w:val="424242"/>
          <w:sz w:val="22"/>
        </w:rPr>
        <w:t xml:space="preserve"> </w:t>
      </w:r>
      <w:r w:rsidRPr="00F47BF8">
        <w:rPr>
          <w:rFonts w:asciiTheme="minorHAnsi" w:eastAsiaTheme="minorEastAsia" w:hAnsiTheme="minorHAnsi" w:cstheme="minorHAnsi"/>
          <w:color w:val="424242"/>
          <w:sz w:val="22"/>
        </w:rPr>
        <w:t>to understand the decision-making processes of algorithms</w:t>
      </w:r>
      <w:r>
        <w:rPr>
          <w:rFonts w:asciiTheme="minorHAnsi" w:eastAsiaTheme="minorEastAsia" w:hAnsiTheme="minorHAnsi" w:cstheme="minorHAnsi"/>
          <w:color w:val="424242"/>
          <w:sz w:val="22"/>
        </w:rPr>
        <w:t xml:space="preserve">) </w:t>
      </w:r>
      <w:r w:rsidRPr="00F47BF8">
        <w:rPr>
          <w:rFonts w:asciiTheme="minorHAnsi" w:eastAsiaTheme="minorEastAsia" w:hAnsiTheme="minorHAnsi" w:cstheme="minorHAnsi"/>
          <w:color w:val="424242"/>
          <w:sz w:val="22"/>
        </w:rPr>
        <w:t>is particularly problematic in medical contexts. While human doctors also make mistakes when diagnosing, mistakes made by AI differ in nature and are considered more serious because it is difficult to know what factors AI has considered and whether it considered irrelevant factors.</w:t>
      </w:r>
      <w:r>
        <w:rPr>
          <w:rStyle w:val="FootnoteReference"/>
          <w:rFonts w:asciiTheme="minorHAnsi" w:eastAsiaTheme="minorEastAsia" w:hAnsiTheme="minorHAnsi" w:cstheme="minorHAnsi"/>
          <w:color w:val="424242"/>
          <w:sz w:val="22"/>
        </w:rPr>
        <w:footnoteReference w:id="26"/>
      </w:r>
      <w:r w:rsidRPr="00F47BF8">
        <w:rPr>
          <w:rFonts w:asciiTheme="minorHAnsi" w:eastAsiaTheme="minorEastAsia" w:hAnsiTheme="minorHAnsi" w:cstheme="minorHAnsi"/>
          <w:color w:val="424242"/>
          <w:sz w:val="22"/>
        </w:rPr>
        <w:t xml:space="preserve"> It is also important to note that despite the hype around </w:t>
      </w:r>
      <w:r>
        <w:rPr>
          <w:rFonts w:asciiTheme="minorHAnsi" w:eastAsiaTheme="minorEastAsia" w:hAnsiTheme="minorHAnsi" w:cstheme="minorHAnsi"/>
          <w:color w:val="424242"/>
          <w:sz w:val="22"/>
        </w:rPr>
        <w:t xml:space="preserve">the </w:t>
      </w:r>
      <w:r w:rsidRPr="00F47BF8">
        <w:rPr>
          <w:rFonts w:asciiTheme="minorHAnsi" w:eastAsiaTheme="minorEastAsia" w:hAnsiTheme="minorHAnsi" w:cstheme="minorHAnsi"/>
          <w:color w:val="424242"/>
          <w:sz w:val="22"/>
        </w:rPr>
        <w:t xml:space="preserve">benefits of AI, a recent MIT report reveals that the effectiveness of AI is yet to be proven: </w:t>
      </w:r>
      <w:r w:rsidRPr="00F47BF8">
        <w:rPr>
          <w:rFonts w:asciiTheme="minorHAnsi" w:hAnsiTheme="minorHAnsi" w:cstheme="minorHAnsi"/>
          <w:sz w:val="22"/>
        </w:rPr>
        <w:t xml:space="preserve">95% of organisations that invested in AI got </w:t>
      </w:r>
      <w:r>
        <w:rPr>
          <w:rFonts w:asciiTheme="minorHAnsi" w:hAnsiTheme="minorHAnsi" w:cstheme="minorHAnsi"/>
          <w:sz w:val="22"/>
        </w:rPr>
        <w:t>no</w:t>
      </w:r>
      <w:r w:rsidRPr="00F47BF8">
        <w:rPr>
          <w:rFonts w:asciiTheme="minorHAnsi" w:hAnsiTheme="minorHAnsi" w:cstheme="minorHAnsi"/>
          <w:sz w:val="22"/>
        </w:rPr>
        <w:t xml:space="preserve"> return and only 5% of AI pilots produced value. This is due to issues such as AI forgetting context, failing to learn and improve within an organisation’s environment, and failing to integrate properly into existing workflows.</w:t>
      </w:r>
      <w:r>
        <w:rPr>
          <w:rStyle w:val="FootnoteReference"/>
          <w:rFonts w:asciiTheme="minorHAnsi" w:hAnsiTheme="minorHAnsi" w:cstheme="minorHAnsi"/>
          <w:sz w:val="22"/>
        </w:rPr>
        <w:footnoteReference w:id="27"/>
      </w:r>
      <w:r w:rsidRPr="00F47BF8">
        <w:rPr>
          <w:rFonts w:asciiTheme="minorHAnsi" w:hAnsiTheme="minorHAnsi" w:cstheme="minorHAnsi"/>
          <w:sz w:val="22"/>
        </w:rPr>
        <w:t xml:space="preserve"> The </w:t>
      </w:r>
      <w:r w:rsidRPr="00F47BF8">
        <w:rPr>
          <w:rFonts w:asciiTheme="minorHAnsi" w:eastAsiaTheme="minorEastAsia" w:hAnsiTheme="minorHAnsi" w:cstheme="minorHAnsi"/>
          <w:sz w:val="22"/>
        </w:rPr>
        <w:t xml:space="preserve">Gartner Hype Cycle </w:t>
      </w:r>
      <w:r w:rsidRPr="00F47BF8">
        <w:rPr>
          <w:rFonts w:asciiTheme="minorHAnsi" w:eastAsiaTheme="minorEastAsia" w:hAnsiTheme="minorHAnsi" w:cstheme="minorHAnsi"/>
          <w:color w:val="424242"/>
          <w:sz w:val="22"/>
        </w:rPr>
        <w:t>illustrates how emerging technologies evolve through five phases, from early excitement and inflated expectations, through disillusionment, to eventual understanding and productive adoption.</w:t>
      </w:r>
      <w:r>
        <w:rPr>
          <w:rStyle w:val="FootnoteReference"/>
          <w:rFonts w:asciiTheme="minorHAnsi" w:eastAsiaTheme="minorEastAsia" w:hAnsiTheme="minorHAnsi" w:cstheme="minorHAnsi"/>
          <w:sz w:val="22"/>
        </w:rPr>
        <w:footnoteReference w:id="28"/>
      </w:r>
      <w:r w:rsidRPr="00F47BF8">
        <w:rPr>
          <w:rFonts w:asciiTheme="minorHAnsi" w:eastAsiaTheme="minorEastAsia" w:hAnsiTheme="minorHAnsi" w:cstheme="minorHAnsi"/>
          <w:sz w:val="22"/>
        </w:rPr>
        <w:t xml:space="preserve"> As </w:t>
      </w:r>
      <w:r>
        <w:rPr>
          <w:rFonts w:asciiTheme="minorHAnsi" w:eastAsiaTheme="minorEastAsia" w:hAnsiTheme="minorHAnsi" w:cstheme="minorHAnsi"/>
          <w:sz w:val="22"/>
        </w:rPr>
        <w:t>generative AI</w:t>
      </w:r>
      <w:r w:rsidRPr="00F47BF8">
        <w:rPr>
          <w:rFonts w:asciiTheme="minorHAnsi" w:eastAsiaTheme="minorEastAsia" w:hAnsiTheme="minorHAnsi" w:cstheme="minorHAnsi"/>
          <w:sz w:val="22"/>
        </w:rPr>
        <w:t xml:space="preserve"> is seemingly going through </w:t>
      </w:r>
      <w:r>
        <w:rPr>
          <w:rFonts w:asciiTheme="minorHAnsi" w:eastAsiaTheme="minorEastAsia" w:hAnsiTheme="minorHAnsi" w:cstheme="minorHAnsi"/>
          <w:sz w:val="22"/>
        </w:rPr>
        <w:t>a</w:t>
      </w:r>
      <w:r w:rsidRPr="00F47BF8">
        <w:rPr>
          <w:rFonts w:asciiTheme="minorHAnsi" w:eastAsiaTheme="minorEastAsia" w:hAnsiTheme="minorHAnsi" w:cstheme="minorHAnsi"/>
          <w:sz w:val="22"/>
        </w:rPr>
        <w:t xml:space="preserve"> phase of disillusionment and other newer types of AI like AI agents</w:t>
      </w:r>
      <w:r>
        <w:rPr>
          <w:rFonts w:asciiTheme="minorHAnsi" w:eastAsiaTheme="minorEastAsia" w:hAnsiTheme="minorHAnsi" w:cstheme="minorHAnsi"/>
          <w:sz w:val="22"/>
        </w:rPr>
        <w:t xml:space="preserve"> are</w:t>
      </w:r>
      <w:r w:rsidRPr="00F47BF8">
        <w:rPr>
          <w:rFonts w:asciiTheme="minorHAnsi" w:eastAsiaTheme="minorEastAsia" w:hAnsiTheme="minorHAnsi" w:cstheme="minorHAnsi"/>
          <w:sz w:val="22"/>
        </w:rPr>
        <w:t xml:space="preserve"> likely still at the peak of inflated expectations,</w:t>
      </w:r>
      <w:r>
        <w:rPr>
          <w:rStyle w:val="FootnoteReference"/>
          <w:rFonts w:asciiTheme="minorHAnsi" w:eastAsiaTheme="minorEastAsia" w:hAnsiTheme="minorHAnsi" w:cstheme="minorHAnsi"/>
          <w:sz w:val="22"/>
        </w:rPr>
        <w:footnoteReference w:id="29"/>
      </w:r>
      <w:r w:rsidRPr="00F47BF8">
        <w:rPr>
          <w:rFonts w:asciiTheme="minorHAnsi" w:eastAsiaTheme="minorEastAsia" w:hAnsiTheme="minorHAnsi" w:cstheme="minorHAnsi"/>
          <w:sz w:val="22"/>
        </w:rPr>
        <w:t xml:space="preserve"> any </w:t>
      </w:r>
      <w:r>
        <w:rPr>
          <w:rFonts w:asciiTheme="minorHAnsi" w:eastAsiaTheme="minorEastAsia" w:hAnsiTheme="minorHAnsi" w:cstheme="minorHAnsi"/>
          <w:sz w:val="22"/>
        </w:rPr>
        <w:t>alleged</w:t>
      </w:r>
      <w:r w:rsidRPr="00F47BF8">
        <w:rPr>
          <w:rFonts w:asciiTheme="minorHAnsi" w:eastAsiaTheme="minorEastAsia" w:hAnsiTheme="minorHAnsi" w:cstheme="minorHAnsi"/>
          <w:sz w:val="22"/>
        </w:rPr>
        <w:t xml:space="preserve"> benefits of AI should be considered with caution</w:t>
      </w:r>
      <w:r>
        <w:rPr>
          <w:rFonts w:asciiTheme="minorHAnsi" w:eastAsiaTheme="minorEastAsia" w:hAnsiTheme="minorHAnsi" w:cstheme="minorHAnsi"/>
          <w:sz w:val="22"/>
        </w:rPr>
        <w:t>.</w:t>
      </w:r>
      <w:r w:rsidRPr="00F47BF8">
        <w:rPr>
          <w:rFonts w:asciiTheme="minorHAnsi" w:eastAsiaTheme="minorEastAsia" w:hAnsiTheme="minorHAnsi" w:cstheme="minorHAnsi"/>
          <w:sz w:val="22"/>
        </w:rPr>
        <w:t xml:space="preserve"> </w:t>
      </w:r>
    </w:p>
    <w:p w:rsidR="001526AD" w:rsidRPr="00F47BF8" w:rsidP="001258AF">
      <w:pPr>
        <w:pStyle w:val="BWBLevel2"/>
        <w:rPr>
          <w:rFonts w:asciiTheme="minorHAnsi" w:hAnsiTheme="minorHAnsi" w:cstheme="minorHAnsi"/>
          <w:sz w:val="22"/>
        </w:rPr>
      </w:pPr>
      <w:r w:rsidRPr="00F47BF8">
        <w:rPr>
          <w:rFonts w:asciiTheme="minorHAnsi" w:eastAsiaTheme="minorEastAsia" w:hAnsiTheme="minorHAnsi" w:cstheme="minorHAnsi"/>
          <w:color w:val="424242"/>
          <w:sz w:val="22"/>
        </w:rPr>
        <w:t xml:space="preserve">The </w:t>
      </w:r>
      <w:r>
        <w:rPr>
          <w:rFonts w:asciiTheme="minorHAnsi" w:eastAsiaTheme="minorEastAsia" w:hAnsiTheme="minorHAnsi" w:cstheme="minorHAnsi"/>
          <w:color w:val="424242"/>
          <w:sz w:val="22"/>
        </w:rPr>
        <w:t>P</w:t>
      </w:r>
      <w:r w:rsidRPr="00F47BF8">
        <w:rPr>
          <w:rFonts w:asciiTheme="minorHAnsi" w:eastAsiaTheme="minorEastAsia" w:hAnsiTheme="minorHAnsi" w:cstheme="minorHAnsi"/>
          <w:color w:val="424242"/>
          <w:sz w:val="22"/>
        </w:rPr>
        <w:t xml:space="preserve">lan does not discuss any environmental </w:t>
      </w:r>
      <w:r>
        <w:rPr>
          <w:rFonts w:asciiTheme="minorHAnsi" w:eastAsiaTheme="minorEastAsia" w:hAnsiTheme="minorHAnsi" w:cstheme="minorHAnsi"/>
          <w:color w:val="424242"/>
          <w:sz w:val="22"/>
        </w:rPr>
        <w:t xml:space="preserve">impacts </w:t>
      </w:r>
      <w:r w:rsidRPr="00F47BF8">
        <w:rPr>
          <w:rFonts w:asciiTheme="minorHAnsi" w:eastAsiaTheme="minorEastAsia" w:hAnsiTheme="minorHAnsi" w:cstheme="minorHAnsi"/>
          <w:color w:val="424242"/>
          <w:sz w:val="22"/>
        </w:rPr>
        <w:t>of AI</w:t>
      </w:r>
      <w:r>
        <w:rPr>
          <w:rFonts w:asciiTheme="minorHAnsi" w:eastAsiaTheme="minorEastAsia" w:hAnsiTheme="minorHAnsi" w:cstheme="minorHAnsi"/>
          <w:color w:val="424242"/>
          <w:sz w:val="22"/>
        </w:rPr>
        <w:t>.  This is a serious omission.  AI may have significant</w:t>
      </w:r>
      <w:r w:rsidRPr="00F47BF8">
        <w:rPr>
          <w:rFonts w:asciiTheme="minorHAnsi" w:eastAsiaTheme="minorEastAsia" w:hAnsiTheme="minorHAnsi" w:cstheme="minorHAnsi"/>
          <w:color w:val="424242"/>
          <w:sz w:val="22"/>
        </w:rPr>
        <w:t xml:space="preserve"> </w:t>
      </w:r>
      <w:r>
        <w:rPr>
          <w:rFonts w:asciiTheme="minorHAnsi" w:eastAsiaTheme="minorEastAsia" w:hAnsiTheme="minorHAnsi" w:cstheme="minorHAnsi"/>
          <w:color w:val="424242"/>
          <w:sz w:val="22"/>
        </w:rPr>
        <w:t xml:space="preserve">environmental consequences </w:t>
      </w:r>
      <w:r w:rsidRPr="00F47BF8">
        <w:rPr>
          <w:rFonts w:asciiTheme="minorHAnsi" w:eastAsiaTheme="minorEastAsia" w:hAnsiTheme="minorHAnsi" w:cstheme="minorHAnsi"/>
          <w:color w:val="424242"/>
          <w:sz w:val="22"/>
        </w:rPr>
        <w:t>due to high electricity consumption, carbon emissions, water usage for cooling, and the manufacturing and transporting of computing hardwar</w:t>
      </w:r>
      <w:r>
        <w:rPr>
          <w:rFonts w:asciiTheme="minorHAnsi" w:eastAsiaTheme="minorEastAsia" w:hAnsiTheme="minorHAnsi" w:cstheme="minorHAnsi"/>
          <w:color w:val="424242"/>
          <w:sz w:val="22"/>
        </w:rPr>
        <w:t>e</w:t>
      </w:r>
      <w:r w:rsidRPr="00F47BF8">
        <w:rPr>
          <w:rFonts w:asciiTheme="minorHAnsi" w:eastAsiaTheme="minorEastAsia" w:hAnsiTheme="minorHAnsi" w:cstheme="minorHAnsi"/>
          <w:color w:val="424242"/>
          <w:sz w:val="22"/>
        </w:rPr>
        <w:t>.</w:t>
      </w:r>
      <w:r>
        <w:rPr>
          <w:rStyle w:val="FootnoteReference"/>
          <w:rFonts w:asciiTheme="minorHAnsi" w:eastAsiaTheme="minorEastAsia" w:hAnsiTheme="minorHAnsi" w:cstheme="minorHAnsi"/>
          <w:color w:val="424242"/>
          <w:sz w:val="22"/>
        </w:rPr>
        <w:footnoteReference w:id="30"/>
      </w:r>
      <w:r w:rsidRPr="00AD30D0">
        <w:rPr>
          <w:rFonts w:asciiTheme="minorHAnsi" w:eastAsiaTheme="minorEastAsia" w:hAnsiTheme="minorHAnsi" w:cstheme="minorHAnsi"/>
          <w:color w:val="424242"/>
          <w:sz w:val="22"/>
        </w:rPr>
        <w:t xml:space="preserve"> </w:t>
      </w:r>
      <w:r>
        <w:rPr>
          <w:rFonts w:asciiTheme="minorHAnsi" w:eastAsiaTheme="minorEastAsia" w:hAnsiTheme="minorHAnsi" w:cstheme="minorHAnsi"/>
          <w:color w:val="424242"/>
          <w:sz w:val="22"/>
        </w:rPr>
        <w:t xml:space="preserve">The </w:t>
      </w:r>
      <w:r w:rsidRPr="00F47BF8">
        <w:rPr>
          <w:rFonts w:asciiTheme="minorHAnsi" w:eastAsiaTheme="minorEastAsia" w:hAnsiTheme="minorHAnsi" w:cstheme="minorHAnsi"/>
          <w:color w:val="424242"/>
          <w:sz w:val="22"/>
        </w:rPr>
        <w:t>Council of Europe  makes clear</w:t>
      </w:r>
      <w:r>
        <w:rPr>
          <w:rFonts w:asciiTheme="minorHAnsi" w:eastAsiaTheme="minorEastAsia" w:hAnsiTheme="minorHAnsi" w:cstheme="minorHAnsi"/>
          <w:color w:val="424242"/>
          <w:sz w:val="22"/>
        </w:rPr>
        <w:t xml:space="preserve"> that</w:t>
      </w:r>
      <w:r w:rsidRPr="00F47BF8">
        <w:rPr>
          <w:rFonts w:asciiTheme="minorHAnsi" w:eastAsiaTheme="minorEastAsia" w:hAnsiTheme="minorHAnsi" w:cstheme="minorHAnsi"/>
          <w:color w:val="424242"/>
          <w:sz w:val="22"/>
        </w:rPr>
        <w:t xml:space="preserve"> “environmental harm is also a human rights issue”.</w:t>
      </w:r>
      <w:r>
        <w:rPr>
          <w:rStyle w:val="FootnoteReference"/>
          <w:rFonts w:asciiTheme="minorHAnsi" w:eastAsiaTheme="minorEastAsia" w:hAnsiTheme="minorHAnsi" w:cstheme="minorHAnsi"/>
          <w:color w:val="424242"/>
          <w:sz w:val="22"/>
        </w:rPr>
        <w:footnoteReference w:id="31"/>
      </w:r>
    </w:p>
    <w:p w:rsidR="001526AD" w:rsidRPr="00F47BF8" w:rsidP="00706579">
      <w:pPr>
        <w:pStyle w:val="BWBLevel1"/>
        <w:rPr>
          <w:rFonts w:asciiTheme="minorHAnsi" w:hAnsiTheme="minorHAnsi" w:cstheme="minorHAnsi"/>
          <w:b/>
          <w:bCs/>
          <w:sz w:val="22"/>
        </w:rPr>
      </w:pPr>
      <w:r w:rsidRPr="00F47BF8">
        <w:rPr>
          <w:rFonts w:asciiTheme="minorHAnsi" w:hAnsiTheme="minorHAnsi" w:cstheme="minorHAnsi"/>
          <w:b/>
          <w:bCs/>
          <w:sz w:val="22"/>
        </w:rPr>
        <w:t>What would be needed in any future UK legislation to protect human rights?</w:t>
      </w:r>
    </w:p>
    <w:p w:rsidR="001526AD" w:rsidRPr="00967F8E" w:rsidP="00706579">
      <w:pPr>
        <w:pStyle w:val="BWBLevel2"/>
        <w:rPr>
          <w:rFonts w:asciiTheme="minorHAnsi" w:hAnsiTheme="minorHAnsi" w:cstheme="minorHAnsi"/>
          <w:b/>
          <w:bCs/>
          <w:sz w:val="22"/>
        </w:rPr>
      </w:pPr>
      <w:r w:rsidRPr="00967F8E">
        <w:rPr>
          <w:rFonts w:asciiTheme="minorHAnsi" w:hAnsiTheme="minorHAnsi" w:cstheme="minorHAnsi"/>
          <w:sz w:val="22"/>
        </w:rPr>
        <w:t xml:space="preserve">Human rights law is inherently flexible and outcomes-based and provides a valuable foundation for regulating AI.  Kate Jones’ excellent paper on AI and human rights states:  </w:t>
      </w:r>
    </w:p>
    <w:p w:rsidR="001526AD" w:rsidRPr="00967F8E" w:rsidP="00220420">
      <w:pPr>
        <w:pStyle w:val="BWBLevel1"/>
        <w:numPr>
          <w:ilvl w:val="0"/>
          <w:numId w:val="0"/>
        </w:numPr>
        <w:ind w:left="879"/>
        <w:rPr>
          <w:i/>
          <w:iCs/>
        </w:rPr>
      </w:pPr>
      <w:r w:rsidRPr="00967F8E">
        <w:t>“</w:t>
      </w:r>
      <w:r w:rsidRPr="00967F8E">
        <w:rPr>
          <w:i/>
          <w:iCs/>
        </w:rPr>
        <w:t>With some exceptions, the human rights framework has been overlooked as an existing and flexible baseline for AI governance…Many sets of AI governance principles produced by companies, governments, civil society and international organizations fail to mention human rights at all.”</w:t>
      </w:r>
    </w:p>
    <w:p w:rsidR="001526AD" w:rsidRPr="005257F7" w:rsidP="005257F7">
      <w:pPr>
        <w:pStyle w:val="BWBLevel1"/>
        <w:numPr>
          <w:ilvl w:val="0"/>
          <w:numId w:val="0"/>
        </w:numPr>
        <w:ind w:left="879"/>
        <w:rPr>
          <w:i/>
          <w:iCs/>
        </w:rPr>
      </w:pPr>
      <w:r w:rsidRPr="00967F8E">
        <w:rPr>
          <w:i/>
          <w:iCs/>
        </w:rPr>
        <w:t>“Human rights law provides a means to define the harm that AI should avoid. It places its focus on the interests of each individual and addresses the most pressing societal concerns of AI, including non-discrimination, fairness and privacy. It provides an excellent starting point by which to assess whether and to what extent AI is ‘for good’.”</w:t>
      </w:r>
      <w:r>
        <w:rPr>
          <w:rStyle w:val="FootnoteReference"/>
          <w:i/>
          <w:iCs/>
        </w:rPr>
        <w:footnoteReference w:id="32"/>
      </w:r>
    </w:p>
    <w:p w:rsidR="001526AD" w:rsidRPr="004B6DDD" w:rsidP="00706579">
      <w:pPr>
        <w:pStyle w:val="BWBLevel2"/>
        <w:rPr>
          <w:rFonts w:asciiTheme="minorHAnsi" w:hAnsiTheme="minorHAnsi" w:cstheme="minorHAnsi"/>
          <w:b/>
          <w:bCs/>
          <w:sz w:val="22"/>
        </w:rPr>
      </w:pPr>
      <w:r w:rsidRPr="004B6DDD">
        <w:rPr>
          <w:rFonts w:asciiTheme="minorHAnsi" w:hAnsiTheme="minorHAnsi" w:cstheme="minorHAnsi"/>
          <w:sz w:val="22"/>
        </w:rPr>
        <w:t>As set out above, the foundation for data protection law is in human rights law.  However,</w:t>
      </w:r>
      <w:r>
        <w:rPr>
          <w:rFonts w:asciiTheme="minorHAnsi" w:hAnsiTheme="minorHAnsi" w:cstheme="minorHAnsi"/>
          <w:sz w:val="22"/>
        </w:rPr>
        <w:t xml:space="preserve"> data protection law’s </w:t>
      </w:r>
      <w:r w:rsidRPr="004B6DDD">
        <w:rPr>
          <w:rFonts w:asciiTheme="minorHAnsi" w:hAnsiTheme="minorHAnsi" w:cstheme="minorHAnsi"/>
          <w:sz w:val="22"/>
        </w:rPr>
        <w:t xml:space="preserve">complexity compromises its effectiveness in protecting individuals including in the context of </w:t>
      </w:r>
      <w:r>
        <w:rPr>
          <w:rFonts w:asciiTheme="minorHAnsi" w:hAnsiTheme="minorHAnsi" w:cstheme="minorHAnsi"/>
          <w:sz w:val="22"/>
        </w:rPr>
        <w:t xml:space="preserve">risks arising from the use of AI.  </w:t>
      </w:r>
      <w:r w:rsidRPr="004B6DDD">
        <w:rPr>
          <w:rFonts w:asciiTheme="minorHAnsi" w:hAnsiTheme="minorHAnsi" w:cstheme="minorHAnsi"/>
          <w:sz w:val="22"/>
        </w:rPr>
        <w:t>Lord Thomas</w:t>
      </w:r>
      <w:r w:rsidRPr="004B6DDD">
        <w:rPr>
          <w:rFonts w:asciiTheme="minorHAnsi" w:hAnsiTheme="minorHAnsi" w:cstheme="minorHAnsi"/>
          <w:b/>
          <w:bCs/>
          <w:sz w:val="22"/>
        </w:rPr>
        <w:t xml:space="preserve"> </w:t>
      </w:r>
      <w:r w:rsidRPr="005257F7">
        <w:rPr>
          <w:rFonts w:asciiTheme="minorHAnsi" w:hAnsiTheme="minorHAnsi" w:cstheme="minorHAnsi"/>
          <w:sz w:val="22"/>
        </w:rPr>
        <w:t xml:space="preserve">of </w:t>
      </w:r>
      <w:r w:rsidRPr="004B6DDD">
        <w:rPr>
          <w:rFonts w:asciiTheme="minorHAnsi" w:hAnsiTheme="minorHAnsi" w:cstheme="minorHAnsi"/>
          <w:sz w:val="22"/>
        </w:rPr>
        <w:t>Cwmgiedd addressed th</w:t>
      </w:r>
      <w:r>
        <w:rPr>
          <w:rFonts w:asciiTheme="minorHAnsi" w:hAnsiTheme="minorHAnsi" w:cstheme="minorHAnsi"/>
          <w:sz w:val="22"/>
        </w:rPr>
        <w:t>e problems of overly complex legal frameworks</w:t>
      </w:r>
      <w:r w:rsidRPr="004B6DDD">
        <w:rPr>
          <w:rFonts w:asciiTheme="minorHAnsi" w:hAnsiTheme="minorHAnsi" w:cstheme="minorHAnsi"/>
          <w:sz w:val="22"/>
        </w:rPr>
        <w:t xml:space="preserve"> in the debate on the Data (Use and Access) Bill.  </w:t>
      </w:r>
    </w:p>
    <w:p w:rsidR="001526AD" w:rsidRPr="004B6DDD" w:rsidP="00706579">
      <w:pPr>
        <w:pStyle w:val="BWBLevel2"/>
        <w:numPr>
          <w:ilvl w:val="0"/>
          <w:numId w:val="0"/>
        </w:numPr>
        <w:ind w:left="879"/>
        <w:rPr>
          <w:rFonts w:asciiTheme="minorHAnsi" w:hAnsiTheme="minorHAnsi" w:cstheme="minorHAnsi"/>
          <w:sz w:val="22"/>
        </w:rPr>
      </w:pPr>
      <w:r w:rsidRPr="004B6DDD">
        <w:rPr>
          <w:rFonts w:asciiTheme="minorHAnsi" w:hAnsiTheme="minorHAnsi" w:cstheme="minorHAnsi"/>
          <w:sz w:val="22"/>
        </w:rPr>
        <w:t>“</w:t>
      </w:r>
      <w:r w:rsidRPr="004B6DDD">
        <w:rPr>
          <w:rFonts w:asciiTheme="minorHAnsi" w:hAnsiTheme="minorHAnsi" w:cstheme="minorHAnsi"/>
          <w:i/>
          <w:iCs/>
          <w:sz w:val="22"/>
        </w:rPr>
        <w:t xml:space="preserve">My Lords, I, too, welcome the Bill, but there is one matter we should have at the forefront of our minds as we work through it: that it must be implemented and carried through by SMEs and individuals. Regrettably—and I say this as a lawyer—lawyers have become far too expensive. </w:t>
      </w:r>
      <w:r w:rsidRPr="004B6DDD">
        <w:rPr>
          <w:rFonts w:asciiTheme="minorHAnsi" w:hAnsiTheme="minorHAnsi" w:cstheme="minorHAnsi"/>
          <w:b/>
          <w:bCs/>
          <w:i/>
          <w:iCs/>
          <w:sz w:val="22"/>
        </w:rPr>
        <w:t>We must appreciate the need to draft legislation and regulatory regimes that are as easy as possible to operate without the benefit of legal advice. If we cannot achieve that, it must be incumbent on the Government and the regulators to set out clearly what the position is, in a way that people can understand.</w:t>
      </w:r>
      <w:r w:rsidRPr="004B6DDD">
        <w:rPr>
          <w:rFonts w:asciiTheme="minorHAnsi" w:hAnsiTheme="minorHAnsi" w:cstheme="minorHAnsi"/>
          <w:i/>
          <w:iCs/>
          <w:sz w:val="22"/>
        </w:rPr>
        <w:t xml:space="preserve"> We do not want our SMEs and individual traders to enter into operating under this new regime without being able to understand the law. I fear that this Bill, by its very length, is a good example of how we can overcomplicate things.</w:t>
      </w:r>
      <w:r w:rsidRPr="004B6DDD">
        <w:rPr>
          <w:rFonts w:asciiTheme="minorHAnsi" w:hAnsiTheme="minorHAnsi" w:cstheme="minorHAnsi"/>
          <w:sz w:val="22"/>
        </w:rPr>
        <w:t>”</w:t>
      </w:r>
      <w:r>
        <w:rPr>
          <w:rStyle w:val="FootnoteReference"/>
          <w:rFonts w:asciiTheme="minorHAnsi" w:hAnsiTheme="minorHAnsi" w:cstheme="minorHAnsi"/>
          <w:sz w:val="22"/>
        </w:rPr>
        <w:footnoteReference w:id="33"/>
      </w:r>
    </w:p>
    <w:p w:rsidR="001526AD" w:rsidRPr="00892E7B" w:rsidP="00560119">
      <w:pPr>
        <w:pStyle w:val="BWBLevel2"/>
        <w:rPr>
          <w:rFonts w:cstheme="minorHAnsi"/>
          <w:b/>
          <w:bCs/>
        </w:rPr>
      </w:pPr>
      <w:r w:rsidRPr="00780B34">
        <w:rPr>
          <w:rFonts w:asciiTheme="minorHAnsi" w:hAnsiTheme="minorHAnsi" w:cstheme="minorHAnsi"/>
          <w:sz w:val="22"/>
        </w:rPr>
        <w:t>The view expressed by Lord Thomas is also echoed in academic circles</w:t>
      </w:r>
      <w:r>
        <w:rPr>
          <w:rFonts w:asciiTheme="minorHAnsi" w:hAnsiTheme="minorHAnsi" w:cstheme="minorHAnsi"/>
          <w:sz w:val="22"/>
        </w:rPr>
        <w:t>.  One example is Professor Bert-Jaap Koops’ paper “The trouble with data protection law”.</w:t>
      </w:r>
      <w:r>
        <w:rPr>
          <w:rStyle w:val="FootnoteReference"/>
          <w:rFonts w:asciiTheme="minorHAnsi" w:hAnsiTheme="minorHAnsi" w:cstheme="minorHAnsi"/>
          <w:sz w:val="22"/>
        </w:rPr>
        <w:footnoteReference w:id="34"/>
      </w:r>
      <w:r>
        <w:rPr>
          <w:rFonts w:asciiTheme="minorHAnsi" w:hAnsiTheme="minorHAnsi" w:cstheme="minorHAnsi"/>
          <w:sz w:val="22"/>
        </w:rPr>
        <w:t xml:space="preserve">   He cites complexity as one of the main flaws in the legislation. </w:t>
      </w:r>
    </w:p>
    <w:p w:rsidR="001526AD" w:rsidRPr="00780B34" w:rsidP="00560119">
      <w:pPr>
        <w:pStyle w:val="BWBLevel2"/>
        <w:rPr>
          <w:rFonts w:cstheme="minorHAnsi"/>
          <w:b/>
          <w:bCs/>
        </w:rPr>
      </w:pPr>
      <w:r>
        <w:rPr>
          <w:rFonts w:asciiTheme="minorHAnsi" w:hAnsiTheme="minorHAnsi" w:cstheme="minorHAnsi"/>
          <w:sz w:val="22"/>
        </w:rPr>
        <w:t xml:space="preserve">Despite these important reservations, we consider that human rights law is the correct starting point for data protection legislation and for regulating AI. Reforms should be aimed at reducing the compliance burden.  However, the human rights foundation of the legislation should remain.  </w:t>
      </w:r>
    </w:p>
    <w:p w:rsidR="001526AD" w:rsidRPr="00F47BF8" w:rsidP="00470E2D">
      <w:pPr>
        <w:pStyle w:val="ListParagraph"/>
        <w:spacing w:before="60" w:after="60" w:line="300" w:lineRule="auto"/>
        <w:jc w:val="both"/>
        <w:rPr>
          <w:rFonts w:cstheme="minorHAnsi"/>
          <w:b/>
          <w:bCs/>
        </w:rPr>
      </w:pPr>
    </w:p>
    <w:p w:rsidR="001526AD" w:rsidRPr="00F47BF8" w:rsidP="0011797D">
      <w:pPr>
        <w:pStyle w:val="BWBLevel1"/>
        <w:numPr>
          <w:ilvl w:val="0"/>
          <w:numId w:val="0"/>
        </w:numPr>
        <w:ind w:left="879"/>
        <w:rPr>
          <w:rFonts w:asciiTheme="minorHAnsi" w:hAnsiTheme="minorHAnsi" w:cstheme="minorHAnsi"/>
          <w:b/>
          <w:bCs/>
          <w:sz w:val="22"/>
        </w:rPr>
      </w:pPr>
      <w:r w:rsidRPr="00F47BF8">
        <w:rPr>
          <w:rFonts w:asciiTheme="minorHAnsi" w:hAnsiTheme="minorHAnsi" w:cstheme="minorHAnsi"/>
          <w:b/>
          <w:bCs/>
          <w:sz w:val="22"/>
        </w:rPr>
        <w:t>To what extent should the same human rights standards apply to private actors as public bodies when they use AI?</w:t>
      </w:r>
    </w:p>
    <w:p w:rsidR="001526AD" w:rsidRPr="00F47BF8" w:rsidP="00470E2D">
      <w:pPr>
        <w:pStyle w:val="BWBLevel2"/>
        <w:rPr>
          <w:rFonts w:asciiTheme="minorHAnsi" w:hAnsiTheme="minorHAnsi" w:cstheme="minorHAnsi"/>
          <w:sz w:val="22"/>
        </w:rPr>
      </w:pPr>
      <w:r w:rsidRPr="00F47BF8">
        <w:rPr>
          <w:rFonts w:asciiTheme="minorHAnsi" w:hAnsiTheme="minorHAnsi" w:cstheme="minorHAnsi"/>
          <w:sz w:val="22"/>
        </w:rPr>
        <w:t>Private actors should be subject to the same human rights standards as public bodies</w:t>
      </w:r>
      <w:r>
        <w:rPr>
          <w:rFonts w:asciiTheme="minorHAnsi" w:hAnsiTheme="minorHAnsi" w:cstheme="minorHAnsi"/>
          <w:sz w:val="22"/>
        </w:rPr>
        <w:t xml:space="preserve"> when they develop and use AI.  The private sector has a</w:t>
      </w:r>
      <w:r w:rsidRPr="00F47BF8">
        <w:rPr>
          <w:rFonts w:asciiTheme="minorHAnsi" w:hAnsiTheme="minorHAnsi" w:cstheme="minorHAnsi"/>
          <w:sz w:val="22"/>
        </w:rPr>
        <w:t xml:space="preserve"> leading role in </w:t>
      </w:r>
      <w:r>
        <w:rPr>
          <w:rFonts w:asciiTheme="minorHAnsi" w:hAnsiTheme="minorHAnsi" w:cstheme="minorHAnsi"/>
          <w:sz w:val="22"/>
        </w:rPr>
        <w:t>creating</w:t>
      </w:r>
      <w:r w:rsidRPr="00F47BF8">
        <w:rPr>
          <w:rFonts w:asciiTheme="minorHAnsi" w:hAnsiTheme="minorHAnsi" w:cstheme="minorHAnsi"/>
          <w:sz w:val="22"/>
        </w:rPr>
        <w:t xml:space="preserve"> and deploying AI technologies</w:t>
      </w:r>
      <w:r>
        <w:rPr>
          <w:rFonts w:asciiTheme="minorHAnsi" w:hAnsiTheme="minorHAnsi" w:cstheme="minorHAnsi"/>
          <w:sz w:val="22"/>
        </w:rPr>
        <w:t xml:space="preserve">.  </w:t>
      </w:r>
      <w:r w:rsidRPr="00F47BF8">
        <w:rPr>
          <w:rFonts w:asciiTheme="minorHAnsi" w:hAnsiTheme="minorHAnsi" w:cstheme="minorHAnsi"/>
          <w:sz w:val="22"/>
        </w:rPr>
        <w:t>Research from the Department for Science, Innovation &amp; Technology states that private sector AI firms will “remain key actors in cutting-edge generative AI research and frontier models to 2025” and that the “researchers, funding, hardware, compute and data will continue to be concentrated in these commercial organisations, enabling them to undertake the most advanced developments”.</w:t>
      </w:r>
      <w:r>
        <w:rPr>
          <w:rStyle w:val="FootnoteReference"/>
          <w:rFonts w:asciiTheme="minorHAnsi" w:hAnsiTheme="minorHAnsi" w:cstheme="minorHAnsi"/>
          <w:sz w:val="22"/>
        </w:rPr>
        <w:footnoteReference w:id="35"/>
      </w:r>
      <w:r w:rsidRPr="00F47BF8">
        <w:rPr>
          <w:rFonts w:asciiTheme="minorHAnsi" w:hAnsiTheme="minorHAnsi" w:cstheme="minorHAnsi"/>
          <w:sz w:val="22"/>
        </w:rPr>
        <w:t xml:space="preserve"> </w:t>
      </w:r>
      <w:r>
        <w:rPr>
          <w:rFonts w:asciiTheme="minorHAnsi" w:hAnsiTheme="minorHAnsi" w:cstheme="minorHAnsi"/>
          <w:sz w:val="22"/>
        </w:rPr>
        <w:t>The p</w:t>
      </w:r>
      <w:r w:rsidRPr="00F47BF8">
        <w:rPr>
          <w:rFonts w:asciiTheme="minorHAnsi" w:hAnsiTheme="minorHAnsi" w:cstheme="minorHAnsi"/>
          <w:sz w:val="22"/>
        </w:rPr>
        <w:t>ublic sector</w:t>
      </w:r>
      <w:r>
        <w:rPr>
          <w:rFonts w:asciiTheme="minorHAnsi" w:hAnsiTheme="minorHAnsi" w:cstheme="minorHAnsi"/>
          <w:sz w:val="22"/>
        </w:rPr>
        <w:t xml:space="preserve">’s adoption of AI is slower than the private sector’s, given significant barriers </w:t>
      </w:r>
      <w:r w:rsidRPr="00F47BF8">
        <w:rPr>
          <w:rFonts w:asciiTheme="minorHAnsi" w:hAnsiTheme="minorHAnsi" w:cstheme="minorHAnsi"/>
          <w:sz w:val="22"/>
        </w:rPr>
        <w:t>including limited access to high-quality data and a shortage of digital skills.</w:t>
      </w:r>
      <w:r>
        <w:rPr>
          <w:rStyle w:val="FootnoteReference"/>
          <w:rFonts w:asciiTheme="minorHAnsi" w:hAnsiTheme="minorHAnsi" w:cstheme="minorHAnsi"/>
          <w:sz w:val="22"/>
        </w:rPr>
        <w:footnoteReference w:id="36"/>
      </w:r>
      <w:r w:rsidRPr="00F47BF8">
        <w:rPr>
          <w:rStyle w:val="FootnoteReference"/>
          <w:rFonts w:asciiTheme="minorHAnsi" w:hAnsiTheme="minorHAnsi" w:cstheme="minorHAnsi"/>
          <w:sz w:val="22"/>
        </w:rPr>
        <w:t xml:space="preserve"> </w:t>
      </w:r>
      <w:r w:rsidRPr="00F47BF8">
        <w:rPr>
          <w:rFonts w:asciiTheme="minorHAnsi" w:hAnsiTheme="minorHAnsi" w:cstheme="minorHAnsi"/>
          <w:sz w:val="22"/>
        </w:rPr>
        <w:t xml:space="preserve">Most importantly, </w:t>
      </w:r>
      <w:r>
        <w:rPr>
          <w:rFonts w:asciiTheme="minorHAnsi" w:hAnsiTheme="minorHAnsi" w:cstheme="minorHAnsi"/>
          <w:sz w:val="22"/>
        </w:rPr>
        <w:t xml:space="preserve">the </w:t>
      </w:r>
      <w:r w:rsidRPr="00F47BF8">
        <w:rPr>
          <w:rFonts w:asciiTheme="minorHAnsi" w:hAnsiTheme="minorHAnsi" w:cstheme="minorHAnsi"/>
          <w:sz w:val="22"/>
        </w:rPr>
        <w:t xml:space="preserve">risks posed by AI in the private sector are </w:t>
      </w:r>
      <w:r>
        <w:rPr>
          <w:rFonts w:asciiTheme="minorHAnsi" w:hAnsiTheme="minorHAnsi" w:cstheme="minorHAnsi"/>
          <w:sz w:val="22"/>
        </w:rPr>
        <w:t xml:space="preserve">serious and significant.  Examples </w:t>
      </w:r>
      <w:r>
        <w:rPr>
          <w:rFonts w:asciiTheme="minorHAnsi" w:hAnsiTheme="minorHAnsi" w:cstheme="minorHAnsi"/>
          <w:sz w:val="22"/>
        </w:rPr>
        <w:t xml:space="preserve">of the use of automated decision-making </w:t>
      </w:r>
      <w:r w:rsidRPr="00F47BF8">
        <w:rPr>
          <w:rFonts w:asciiTheme="minorHAnsi" w:hAnsiTheme="minorHAnsi" w:cstheme="minorHAnsi"/>
          <w:sz w:val="22"/>
        </w:rPr>
        <w:t xml:space="preserve">from the Communication Workers’ Union in South Wales included in Appendix </w:t>
      </w:r>
      <w:r>
        <w:rPr>
          <w:rFonts w:asciiTheme="minorHAnsi" w:hAnsiTheme="minorHAnsi" w:cstheme="minorHAnsi"/>
          <w:sz w:val="22"/>
        </w:rPr>
        <w:t xml:space="preserve">1 </w:t>
      </w:r>
      <w:r w:rsidRPr="00F47BF8">
        <w:rPr>
          <w:rFonts w:asciiTheme="minorHAnsi" w:hAnsiTheme="minorHAnsi" w:cstheme="minorHAnsi"/>
          <w:sz w:val="22"/>
        </w:rPr>
        <w:t>illustrates how AI has led to</w:t>
      </w:r>
      <w:r>
        <w:rPr>
          <w:rFonts w:asciiTheme="minorHAnsi" w:hAnsiTheme="minorHAnsi" w:cstheme="minorHAnsi"/>
          <w:sz w:val="22"/>
        </w:rPr>
        <w:t xml:space="preserve"> the</w:t>
      </w:r>
      <w:r w:rsidRPr="00F47BF8">
        <w:rPr>
          <w:rFonts w:asciiTheme="minorHAnsi" w:hAnsiTheme="minorHAnsi" w:cstheme="minorHAnsi"/>
          <w:sz w:val="22"/>
        </w:rPr>
        <w:t xml:space="preserve"> unfair treatment of workers. </w:t>
      </w:r>
      <w:r>
        <w:rPr>
          <w:rFonts w:asciiTheme="minorHAnsi" w:hAnsiTheme="minorHAnsi" w:cstheme="minorHAnsi"/>
          <w:sz w:val="22"/>
        </w:rPr>
        <w:t xml:space="preserve"> Evidence provided includes </w:t>
      </w:r>
      <w:r w:rsidRPr="00F47BF8">
        <w:rPr>
          <w:rFonts w:asciiTheme="minorHAnsi" w:hAnsiTheme="minorHAnsi" w:cstheme="minorHAnsi"/>
          <w:sz w:val="22"/>
        </w:rPr>
        <w:t>employees being asked to justify stopping at traffic lights and call centre staff losing up to £500 per month due to real-time AI monitoring that penalised them for not using specific keywords or not upselling products even when customers showed no interest.</w:t>
      </w:r>
    </w:p>
    <w:p w:rsidR="001526AD" w:rsidRPr="002A3571" w:rsidP="002A3571">
      <w:pPr>
        <w:pStyle w:val="BWBLevel2"/>
        <w:rPr>
          <w:rFonts w:asciiTheme="minorHAnsi" w:hAnsiTheme="minorHAnsi" w:cstheme="minorHAnsi"/>
          <w:sz w:val="22"/>
        </w:rPr>
      </w:pPr>
      <w:r>
        <w:rPr>
          <w:rFonts w:asciiTheme="minorHAnsi" w:hAnsiTheme="minorHAnsi" w:cstheme="minorHAnsi"/>
          <w:sz w:val="22"/>
        </w:rPr>
        <w:t>The deletion of EU fundamental rights from the statute book has led to a weakening of human rights protections in the UK.  Whereas case law confirms that the EU Charter of Fundamental rights has horizontal application in the field of data protection,</w:t>
      </w:r>
      <w:r>
        <w:rPr>
          <w:rStyle w:val="FootnoteReference"/>
          <w:rFonts w:asciiTheme="minorHAnsi" w:hAnsiTheme="minorHAnsi" w:cstheme="minorHAnsi"/>
          <w:sz w:val="22"/>
        </w:rPr>
        <w:footnoteReference w:id="37"/>
      </w:r>
      <w:r>
        <w:rPr>
          <w:rFonts w:asciiTheme="minorHAnsi" w:hAnsiTheme="minorHAnsi" w:cstheme="minorHAnsi"/>
          <w:sz w:val="22"/>
        </w:rPr>
        <w:t xml:space="preserve">the application of the ECHR to private entities is less extensive.  Further, the case of </w:t>
      </w:r>
      <w:r w:rsidRPr="002A3571">
        <w:rPr>
          <w:rFonts w:asciiTheme="minorHAnsi" w:hAnsiTheme="minorHAnsi" w:cstheme="minorHAnsi"/>
          <w:i/>
          <w:iCs/>
          <w:sz w:val="22"/>
        </w:rPr>
        <w:t>R (Davis &amp; Watson)</w:t>
      </w:r>
      <w:r w:rsidRPr="002A3571">
        <w:rPr>
          <w:rFonts w:asciiTheme="minorHAnsi" w:hAnsiTheme="minorHAnsi" w:cstheme="minorHAnsi"/>
          <w:sz w:val="22"/>
        </w:rPr>
        <w:t xml:space="preserve"> v </w:t>
      </w:r>
      <w:r w:rsidRPr="002A3571">
        <w:rPr>
          <w:rFonts w:asciiTheme="minorHAnsi" w:hAnsiTheme="minorHAnsi" w:cstheme="minorHAnsi"/>
          <w:i/>
          <w:iCs/>
          <w:sz w:val="22"/>
        </w:rPr>
        <w:t>Secretary of State for the Home Department</w:t>
      </w:r>
      <w:r w:rsidRPr="002A3571">
        <w:rPr>
          <w:rFonts w:asciiTheme="minorHAnsi" w:hAnsiTheme="minorHAnsi" w:cstheme="minorHAnsi"/>
          <w:sz w:val="22"/>
        </w:rPr>
        <w:t xml:space="preserve"> [2015] EWHC 2092 (Admin)</w:t>
      </w:r>
      <w:r w:rsidRPr="000975A3">
        <w:rPr>
          <w:rFonts w:asciiTheme="minorHAnsi" w:hAnsiTheme="minorHAnsi" w:cstheme="minorHAnsi"/>
          <w:sz w:val="22"/>
        </w:rPr>
        <w:t xml:space="preserve"> confirmed that the fundamental right to the protection of personal data under Article 8 of the Charter is </w:t>
      </w:r>
      <w:r w:rsidRPr="002A3571">
        <w:rPr>
          <w:rFonts w:asciiTheme="minorHAnsi" w:hAnsiTheme="minorHAnsi" w:cstheme="minorHAnsi"/>
          <w:sz w:val="22"/>
        </w:rPr>
        <w:t>“more specific” and go</w:t>
      </w:r>
      <w:r w:rsidRPr="000975A3">
        <w:rPr>
          <w:rFonts w:asciiTheme="minorHAnsi" w:hAnsiTheme="minorHAnsi" w:cstheme="minorHAnsi"/>
          <w:sz w:val="22"/>
        </w:rPr>
        <w:t>es</w:t>
      </w:r>
      <w:r w:rsidRPr="002A3571">
        <w:rPr>
          <w:rFonts w:asciiTheme="minorHAnsi" w:hAnsiTheme="minorHAnsi" w:cstheme="minorHAnsi"/>
          <w:sz w:val="22"/>
        </w:rPr>
        <w:t xml:space="preserve"> further</w:t>
      </w:r>
      <w:r>
        <w:rPr>
          <w:rStyle w:val="FootnoteReference"/>
          <w:rFonts w:asciiTheme="minorHAnsi" w:hAnsiTheme="minorHAnsi" w:cstheme="minorHAnsi"/>
          <w:sz w:val="22"/>
        </w:rPr>
        <w:footnoteReference w:id="38"/>
      </w:r>
      <w:r w:rsidRPr="002A3571">
        <w:rPr>
          <w:rFonts w:asciiTheme="minorHAnsi" w:hAnsiTheme="minorHAnsi" w:cstheme="minorHAnsi"/>
          <w:sz w:val="22"/>
        </w:rPr>
        <w:t xml:space="preserve"> than rights under </w:t>
      </w:r>
      <w:r>
        <w:rPr>
          <w:rFonts w:asciiTheme="minorHAnsi" w:hAnsiTheme="minorHAnsi" w:cstheme="minorHAnsi"/>
          <w:sz w:val="22"/>
        </w:rPr>
        <w:t xml:space="preserve">the ECHR.  </w:t>
      </w:r>
      <w:r w:rsidRPr="000975A3">
        <w:rPr>
          <w:rFonts w:asciiTheme="minorHAnsi" w:hAnsiTheme="minorHAnsi" w:cstheme="minorHAnsi"/>
          <w:sz w:val="22"/>
        </w:rPr>
        <w:t>This potentially leaves UK data subjects in a more precarious position than their European counterparts in invoking protections under the law where AI systems are being used.</w:t>
      </w:r>
    </w:p>
    <w:p w:rsidR="001526AD" w:rsidRPr="00F47BF8" w:rsidP="0011797D">
      <w:pPr>
        <w:pStyle w:val="BWBLevel1"/>
        <w:numPr>
          <w:ilvl w:val="0"/>
          <w:numId w:val="0"/>
        </w:numPr>
        <w:ind w:left="879"/>
        <w:rPr>
          <w:rFonts w:asciiTheme="minorHAnsi" w:hAnsiTheme="minorHAnsi" w:cstheme="minorHAnsi"/>
          <w:b/>
          <w:bCs/>
          <w:sz w:val="22"/>
        </w:rPr>
      </w:pPr>
      <w:r w:rsidRPr="00F47BF8">
        <w:rPr>
          <w:rFonts w:asciiTheme="minorHAnsi" w:hAnsiTheme="minorHAnsi" w:cstheme="minorHAnsi"/>
          <w:b/>
          <w:bCs/>
          <w:sz w:val="22"/>
        </w:rPr>
        <w:t>To what extent might different kinds of AI technology require different regulatory approaches?</w:t>
      </w:r>
    </w:p>
    <w:p w:rsidR="001526AD" w:rsidRPr="00F47BF8" w:rsidP="00706579">
      <w:pPr>
        <w:pStyle w:val="BWBLevel2"/>
        <w:rPr>
          <w:rFonts w:asciiTheme="minorHAnsi" w:hAnsiTheme="minorHAnsi" w:cstheme="minorHAnsi"/>
          <w:sz w:val="22"/>
        </w:rPr>
      </w:pPr>
      <w:r>
        <w:rPr>
          <w:rFonts w:asciiTheme="minorHAnsi" w:hAnsiTheme="minorHAnsi" w:cstheme="minorHAnsi"/>
          <w:sz w:val="22"/>
        </w:rPr>
        <w:t xml:space="preserve">A </w:t>
      </w:r>
      <w:r w:rsidRPr="00F47BF8">
        <w:rPr>
          <w:rFonts w:asciiTheme="minorHAnsi" w:hAnsiTheme="minorHAnsi" w:cstheme="minorHAnsi"/>
          <w:sz w:val="22"/>
        </w:rPr>
        <w:t>human rights</w:t>
      </w:r>
      <w:r>
        <w:rPr>
          <w:rFonts w:asciiTheme="minorHAnsi" w:hAnsiTheme="minorHAnsi" w:cstheme="minorHAnsi"/>
          <w:sz w:val="22"/>
        </w:rPr>
        <w:t>-based</w:t>
      </w:r>
      <w:r w:rsidRPr="00F47BF8">
        <w:rPr>
          <w:rFonts w:asciiTheme="minorHAnsi" w:hAnsiTheme="minorHAnsi" w:cstheme="minorHAnsi"/>
          <w:sz w:val="22"/>
        </w:rPr>
        <w:t xml:space="preserve"> framework is </w:t>
      </w:r>
      <w:r>
        <w:rPr>
          <w:rFonts w:asciiTheme="minorHAnsi" w:hAnsiTheme="minorHAnsi" w:cstheme="minorHAnsi"/>
          <w:sz w:val="22"/>
        </w:rPr>
        <w:t xml:space="preserve">sufficiently flexible to </w:t>
      </w:r>
      <w:r w:rsidRPr="00F47BF8">
        <w:rPr>
          <w:rFonts w:asciiTheme="minorHAnsi" w:hAnsiTheme="minorHAnsi" w:cstheme="minorHAnsi"/>
          <w:sz w:val="22"/>
        </w:rPr>
        <w:t>regulat</w:t>
      </w:r>
      <w:r>
        <w:rPr>
          <w:rFonts w:asciiTheme="minorHAnsi" w:hAnsiTheme="minorHAnsi" w:cstheme="minorHAnsi"/>
          <w:sz w:val="22"/>
        </w:rPr>
        <w:t>e</w:t>
      </w:r>
      <w:r w:rsidRPr="00F47BF8">
        <w:rPr>
          <w:rFonts w:asciiTheme="minorHAnsi" w:hAnsiTheme="minorHAnsi" w:cstheme="minorHAnsi"/>
          <w:sz w:val="22"/>
        </w:rPr>
        <w:t xml:space="preserve"> different types of AI</w:t>
      </w:r>
      <w:r>
        <w:rPr>
          <w:rFonts w:asciiTheme="minorHAnsi" w:hAnsiTheme="minorHAnsi" w:cstheme="minorHAnsi"/>
          <w:sz w:val="22"/>
        </w:rPr>
        <w:t xml:space="preserve"> (including new technologies as they emerge)</w:t>
      </w:r>
      <w:r w:rsidRPr="00F47BF8">
        <w:rPr>
          <w:rFonts w:asciiTheme="minorHAnsi" w:hAnsiTheme="minorHAnsi" w:cstheme="minorHAnsi"/>
          <w:sz w:val="22"/>
        </w:rPr>
        <w:t xml:space="preserve">. </w:t>
      </w:r>
      <w:r>
        <w:rPr>
          <w:rFonts w:asciiTheme="minorHAnsi" w:hAnsiTheme="minorHAnsi" w:cstheme="minorHAnsi"/>
          <w:sz w:val="22"/>
        </w:rPr>
        <w:t xml:space="preserve">The </w:t>
      </w:r>
      <w:r w:rsidRPr="00F47BF8">
        <w:rPr>
          <w:rFonts w:asciiTheme="minorHAnsi" w:hAnsiTheme="minorHAnsi" w:cstheme="minorHAnsi"/>
          <w:sz w:val="22"/>
        </w:rPr>
        <w:t>outcome</w:t>
      </w:r>
      <w:r>
        <w:rPr>
          <w:rFonts w:asciiTheme="minorHAnsi" w:hAnsiTheme="minorHAnsi" w:cstheme="minorHAnsi"/>
          <w:sz w:val="22"/>
        </w:rPr>
        <w:t>s</w:t>
      </w:r>
      <w:r w:rsidRPr="00F47BF8">
        <w:rPr>
          <w:rFonts w:asciiTheme="minorHAnsi" w:hAnsiTheme="minorHAnsi" w:cstheme="minorHAnsi"/>
          <w:sz w:val="22"/>
        </w:rPr>
        <w:t xml:space="preserve">-focused nature </w:t>
      </w:r>
      <w:r>
        <w:rPr>
          <w:rFonts w:asciiTheme="minorHAnsi" w:hAnsiTheme="minorHAnsi" w:cstheme="minorHAnsi"/>
          <w:sz w:val="22"/>
        </w:rPr>
        <w:t xml:space="preserve">of human rights law, and the requirement to balance competing interests is useful.  </w:t>
      </w:r>
      <w:r w:rsidRPr="00F47BF8">
        <w:rPr>
          <w:rFonts w:asciiTheme="minorHAnsi" w:hAnsiTheme="minorHAnsi" w:cstheme="minorHAnsi"/>
          <w:sz w:val="22"/>
        </w:rPr>
        <w:t xml:space="preserve">Creating </w:t>
      </w:r>
      <w:r>
        <w:rPr>
          <w:rFonts w:asciiTheme="minorHAnsi" w:hAnsiTheme="minorHAnsi" w:cstheme="minorHAnsi"/>
          <w:sz w:val="22"/>
        </w:rPr>
        <w:t xml:space="preserve">a complex web of </w:t>
      </w:r>
      <w:r w:rsidRPr="00F47BF8">
        <w:rPr>
          <w:rFonts w:asciiTheme="minorHAnsi" w:hAnsiTheme="minorHAnsi" w:cstheme="minorHAnsi"/>
          <w:sz w:val="22"/>
        </w:rPr>
        <w:t>new regulations for each type of AI technology would increase compliance burdens</w:t>
      </w:r>
      <w:r>
        <w:rPr>
          <w:rFonts w:asciiTheme="minorHAnsi" w:hAnsiTheme="minorHAnsi" w:cstheme="minorHAnsi"/>
          <w:sz w:val="22"/>
        </w:rPr>
        <w:t xml:space="preserve"> but may do little to enhance human rights protections for individuals</w:t>
      </w:r>
      <w:r w:rsidRPr="00F47BF8">
        <w:rPr>
          <w:rFonts w:asciiTheme="minorHAnsi" w:hAnsiTheme="minorHAnsi" w:cstheme="minorHAnsi"/>
          <w:sz w:val="22"/>
        </w:rPr>
        <w:t>.</w:t>
      </w:r>
    </w:p>
    <w:p w:rsidR="001526AD" w:rsidP="00706579">
      <w:pPr>
        <w:pStyle w:val="BWBLevel1"/>
        <w:spacing w:before="60" w:after="60" w:line="300" w:lineRule="auto"/>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Who should be held accountable for breaches of human rights resulting from uses of AI, and on what basis?</w:t>
      </w:r>
    </w:p>
    <w:p w:rsidR="001526AD" w:rsidRPr="00F47BF8" w:rsidP="005257F7">
      <w:pPr>
        <w:pStyle w:val="BWBLevel1"/>
        <w:numPr>
          <w:ilvl w:val="0"/>
          <w:numId w:val="0"/>
        </w:numPr>
        <w:spacing w:before="60" w:after="60" w:line="300" w:lineRule="auto"/>
        <w:ind w:left="879"/>
        <w:rPr>
          <w:rFonts w:asciiTheme="minorHAnsi" w:eastAsiaTheme="minorEastAsia" w:hAnsiTheme="minorHAnsi" w:cstheme="minorHAnsi"/>
          <w:b/>
          <w:bCs/>
          <w:sz w:val="22"/>
        </w:rPr>
      </w:pPr>
    </w:p>
    <w:p w:rsidR="001526AD" w:rsidRPr="00F47BF8" w:rsidP="00706579">
      <w:pPr>
        <w:pStyle w:val="BWBLevel2"/>
        <w:rPr>
          <w:rFonts w:asciiTheme="minorHAnsi" w:eastAsiaTheme="minorEastAsia" w:hAnsiTheme="minorHAnsi" w:cstheme="minorHAnsi"/>
          <w:b/>
          <w:bCs/>
          <w:sz w:val="22"/>
        </w:rPr>
      </w:pPr>
      <w:r w:rsidRPr="00F47BF8">
        <w:rPr>
          <w:rFonts w:asciiTheme="minorHAnsi" w:hAnsiTheme="minorHAnsi" w:cstheme="minorHAnsi"/>
          <w:sz w:val="22"/>
        </w:rPr>
        <w:t xml:space="preserve">As discussed in </w:t>
      </w:r>
      <w:r>
        <w:rPr>
          <w:rFonts w:asciiTheme="minorHAnsi" w:hAnsiTheme="minorHAnsi" w:cstheme="minorHAnsi"/>
          <w:sz w:val="22"/>
        </w:rPr>
        <w:t xml:space="preserve">this submission, </w:t>
      </w:r>
      <w:r w:rsidRPr="00F47BF8">
        <w:rPr>
          <w:rFonts w:asciiTheme="minorHAnsi" w:hAnsiTheme="minorHAnsi" w:cstheme="minorHAnsi"/>
          <w:sz w:val="22"/>
        </w:rPr>
        <w:t>dividing responsibilities between controllers and processors creates gaps in compliance with data protection laws and weakens human rights safeguards. To protect human rights throughout the AI lifecycle, all parties involved should</w:t>
      </w:r>
      <w:r>
        <w:rPr>
          <w:rFonts w:asciiTheme="minorHAnsi" w:hAnsiTheme="minorHAnsi" w:cstheme="minorHAnsi"/>
          <w:sz w:val="22"/>
        </w:rPr>
        <w:t xml:space="preserve"> consider the human rights implications of their processing of personal data.  </w:t>
      </w:r>
    </w:p>
    <w:p w:rsidR="001526AD" w:rsidRPr="00F47BF8" w:rsidP="007F36B0">
      <w:pPr>
        <w:spacing w:before="60" w:after="60" w:line="300" w:lineRule="auto"/>
        <w:ind w:firstLine="720"/>
        <w:jc w:val="both"/>
        <w:rPr>
          <w:rFonts w:cstheme="minorHAnsi"/>
          <w:b/>
          <w:bCs/>
        </w:rPr>
      </w:pPr>
      <w:r w:rsidRPr="00F47BF8">
        <w:rPr>
          <w:rFonts w:cstheme="minorHAnsi"/>
          <w:b/>
          <w:bCs/>
        </w:rPr>
        <w:t>Where in the process of developing, deploying and using AI technologies should liability arise?</w:t>
      </w:r>
    </w:p>
    <w:p w:rsidR="001526AD" w:rsidRPr="00F47BF8" w:rsidP="00470E2D">
      <w:pPr>
        <w:spacing w:before="60" w:after="60" w:line="300" w:lineRule="auto"/>
        <w:jc w:val="both"/>
        <w:rPr>
          <w:rFonts w:cstheme="minorHAnsi"/>
          <w:b/>
          <w:bCs/>
        </w:rPr>
      </w:pPr>
    </w:p>
    <w:p w:rsidR="001526AD" w:rsidRPr="00F47BF8" w:rsidP="00706579">
      <w:pPr>
        <w:pStyle w:val="BWBLevel2"/>
        <w:rPr>
          <w:rFonts w:asciiTheme="minorHAnsi" w:hAnsiTheme="minorHAnsi" w:cstheme="minorHAnsi"/>
          <w:sz w:val="22"/>
        </w:rPr>
      </w:pPr>
      <w:r w:rsidRPr="00F47BF8">
        <w:rPr>
          <w:rFonts w:asciiTheme="minorHAnsi" w:hAnsiTheme="minorHAnsi" w:cstheme="minorHAnsi"/>
          <w:sz w:val="22"/>
        </w:rPr>
        <w:t>Liability for AI technologies should arise across the entire AI lifecycle</w:t>
      </w:r>
      <w:r>
        <w:rPr>
          <w:rFonts w:asciiTheme="minorHAnsi" w:hAnsiTheme="minorHAnsi" w:cstheme="minorHAnsi"/>
          <w:sz w:val="22"/>
        </w:rPr>
        <w:t>,</w:t>
      </w:r>
      <w:r w:rsidRPr="00F47BF8">
        <w:rPr>
          <w:rFonts w:asciiTheme="minorHAnsi" w:hAnsiTheme="minorHAnsi" w:cstheme="minorHAnsi"/>
          <w:sz w:val="22"/>
        </w:rPr>
        <w:t xml:space="preserve"> because</w:t>
      </w:r>
      <w:r>
        <w:rPr>
          <w:rFonts w:asciiTheme="minorHAnsi" w:hAnsiTheme="minorHAnsi" w:cstheme="minorHAnsi"/>
          <w:sz w:val="22"/>
        </w:rPr>
        <w:t xml:space="preserve"> the potential for</w:t>
      </w:r>
      <w:r w:rsidRPr="00F47BF8">
        <w:rPr>
          <w:rFonts w:asciiTheme="minorHAnsi" w:hAnsiTheme="minorHAnsi" w:cstheme="minorHAnsi"/>
          <w:sz w:val="22"/>
        </w:rPr>
        <w:t xml:space="preserve"> human rights </w:t>
      </w:r>
      <w:r>
        <w:rPr>
          <w:rFonts w:asciiTheme="minorHAnsi" w:hAnsiTheme="minorHAnsi" w:cstheme="minorHAnsi"/>
          <w:sz w:val="22"/>
        </w:rPr>
        <w:t xml:space="preserve">breaches can materialise at </w:t>
      </w:r>
      <w:r w:rsidRPr="00F47BF8">
        <w:rPr>
          <w:rFonts w:asciiTheme="minorHAnsi" w:hAnsiTheme="minorHAnsi" w:cstheme="minorHAnsi"/>
          <w:sz w:val="22"/>
        </w:rPr>
        <w:t xml:space="preserve">any </w:t>
      </w:r>
      <w:r>
        <w:rPr>
          <w:rFonts w:asciiTheme="minorHAnsi" w:hAnsiTheme="minorHAnsi" w:cstheme="minorHAnsi"/>
          <w:sz w:val="22"/>
        </w:rPr>
        <w:t>stage</w:t>
      </w:r>
      <w:r w:rsidRPr="00F47BF8">
        <w:rPr>
          <w:rFonts w:asciiTheme="minorHAnsi" w:hAnsiTheme="minorHAnsi" w:cstheme="minorHAnsi"/>
          <w:sz w:val="22"/>
        </w:rPr>
        <w:t xml:space="preserve">. Early-stage design decisions </w:t>
      </w:r>
      <w:r>
        <w:rPr>
          <w:rFonts w:asciiTheme="minorHAnsi" w:hAnsiTheme="minorHAnsi" w:cstheme="minorHAnsi"/>
          <w:sz w:val="22"/>
        </w:rPr>
        <w:t>may</w:t>
      </w:r>
      <w:r w:rsidRPr="00F47BF8">
        <w:rPr>
          <w:rFonts w:asciiTheme="minorHAnsi" w:hAnsiTheme="minorHAnsi" w:cstheme="minorHAnsi"/>
          <w:sz w:val="22"/>
        </w:rPr>
        <w:t xml:space="preserve"> embed risks such as bias, lack of transparency, and cybersecurity vulnerabilities. Post-deployment and during use, a lack of appropriate governance (e.g. not providing the right to contest AI’s decisions and </w:t>
      </w:r>
      <w:r w:rsidRPr="00F47BF8">
        <w:rPr>
          <w:rFonts w:asciiTheme="minorHAnsi" w:hAnsiTheme="minorHAnsi" w:cstheme="minorHAnsi"/>
          <w:sz w:val="22"/>
        </w:rPr>
        <w:t xml:space="preserve">obtain human intervention) can undermine </w:t>
      </w:r>
      <w:r>
        <w:rPr>
          <w:rFonts w:asciiTheme="minorHAnsi" w:hAnsiTheme="minorHAnsi" w:cstheme="minorHAnsi"/>
          <w:sz w:val="22"/>
        </w:rPr>
        <w:t xml:space="preserve">the </w:t>
      </w:r>
      <w:r w:rsidRPr="00F47BF8">
        <w:rPr>
          <w:rFonts w:asciiTheme="minorHAnsi" w:hAnsiTheme="minorHAnsi" w:cstheme="minorHAnsi"/>
          <w:sz w:val="22"/>
        </w:rPr>
        <w:t>fundamental rights of individuals.</w:t>
      </w:r>
      <w:r>
        <w:rPr>
          <w:rStyle w:val="FootnoteReference"/>
          <w:rFonts w:asciiTheme="minorHAnsi" w:hAnsiTheme="minorHAnsi" w:cstheme="minorHAnsi"/>
          <w:color w:val="424242"/>
          <w:sz w:val="22"/>
        </w:rPr>
        <w:footnoteReference w:id="39"/>
      </w:r>
      <w:r w:rsidRPr="00F47BF8">
        <w:rPr>
          <w:rFonts w:asciiTheme="minorHAnsi" w:hAnsiTheme="minorHAnsi" w:cstheme="minorHAnsi"/>
          <w:sz w:val="22"/>
        </w:rPr>
        <w:t xml:space="preserve"> Therefore, liability must be clearly assigned to all actors involved</w:t>
      </w:r>
      <w:r>
        <w:rPr>
          <w:rFonts w:asciiTheme="minorHAnsi" w:hAnsiTheme="minorHAnsi" w:cstheme="minorHAnsi"/>
          <w:sz w:val="22"/>
        </w:rPr>
        <w:t xml:space="preserve"> </w:t>
      </w:r>
      <w:r w:rsidRPr="00F47BF8">
        <w:rPr>
          <w:rFonts w:asciiTheme="minorHAnsi" w:hAnsiTheme="minorHAnsi" w:cstheme="minorHAnsi"/>
          <w:sz w:val="22"/>
        </w:rPr>
        <w:t xml:space="preserve">at every stage of the AI lifecycle. </w:t>
      </w:r>
    </w:p>
    <w:p w:rsidR="001526AD" w:rsidRPr="00F47BF8" w:rsidP="00470E2D">
      <w:pPr>
        <w:spacing w:before="60" w:after="60" w:line="300" w:lineRule="auto"/>
        <w:jc w:val="both"/>
        <w:rPr>
          <w:rFonts w:cstheme="minorHAnsi"/>
          <w:b/>
          <w:bCs/>
        </w:rPr>
      </w:pPr>
    </w:p>
    <w:p w:rsidR="001526AD" w:rsidRPr="00F47BF8" w:rsidP="007F36B0">
      <w:pPr>
        <w:spacing w:before="60" w:after="60" w:line="300" w:lineRule="auto"/>
        <w:ind w:left="720"/>
        <w:jc w:val="both"/>
        <w:rPr>
          <w:rFonts w:cstheme="minorHAnsi"/>
          <w:b/>
          <w:bCs/>
        </w:rPr>
      </w:pPr>
      <w:r w:rsidRPr="00F47BF8">
        <w:rPr>
          <w:rFonts w:cstheme="minorHAnsi"/>
          <w:b/>
          <w:bCs/>
        </w:rPr>
        <w:t>What additional measures, if any, are needed to ensure that individuals have sufficient redress where they have suffered harm because of the use of AI?</w:t>
      </w:r>
    </w:p>
    <w:p w:rsidR="001526AD" w:rsidRPr="00F47BF8" w:rsidP="00706579">
      <w:pPr>
        <w:pStyle w:val="BWBLevel2"/>
        <w:rPr>
          <w:rFonts w:asciiTheme="minorHAnsi" w:hAnsiTheme="minorHAnsi" w:cstheme="minorHAnsi"/>
          <w:sz w:val="22"/>
        </w:rPr>
      </w:pPr>
      <w:r w:rsidRPr="00F47BF8">
        <w:rPr>
          <w:rFonts w:asciiTheme="minorHAnsi" w:hAnsiTheme="minorHAnsi" w:cstheme="minorHAnsi"/>
          <w:sz w:val="22"/>
        </w:rPr>
        <w:t xml:space="preserve">There should be stronger enforcement of data protection laws </w:t>
      </w:r>
      <w:r>
        <w:rPr>
          <w:rFonts w:asciiTheme="minorHAnsi" w:hAnsiTheme="minorHAnsi" w:cstheme="minorHAnsi"/>
          <w:sz w:val="22"/>
        </w:rPr>
        <w:t xml:space="preserve">by </w:t>
      </w:r>
      <w:r w:rsidRPr="00F47BF8">
        <w:rPr>
          <w:rFonts w:asciiTheme="minorHAnsi" w:hAnsiTheme="minorHAnsi" w:cstheme="minorHAnsi"/>
          <w:sz w:val="22"/>
        </w:rPr>
        <w:t xml:space="preserve">the ICO. The 2024/25 Annual Report published by the ICO shows that the ICO issued only two fines under the UK GDPR during the 2024/25 financial year. Also, among the 36,196 data protection complaints the ICO handled, 67% resulted in advice only without further action. On top of this, a delay in resolving complaints, with the ICO taking six months to respond to most of the data protection complaints, further undermines </w:t>
      </w:r>
      <w:r>
        <w:rPr>
          <w:rFonts w:asciiTheme="minorHAnsi" w:hAnsiTheme="minorHAnsi" w:cstheme="minorHAnsi"/>
          <w:sz w:val="22"/>
        </w:rPr>
        <w:t xml:space="preserve">incentives for compliance.  </w:t>
      </w:r>
      <w:r w:rsidRPr="00F47BF8">
        <w:rPr>
          <w:rFonts w:asciiTheme="minorHAnsi" w:hAnsiTheme="minorHAnsi" w:cstheme="minorHAnsi"/>
          <w:sz w:val="22"/>
        </w:rPr>
        <w:t xml:space="preserve"> </w:t>
      </w:r>
    </w:p>
    <w:p w:rsidR="001526AD" w:rsidRPr="002E5B02" w:rsidP="002E5B02">
      <w:pPr>
        <w:pStyle w:val="BWBLevel2"/>
        <w:rPr>
          <w:rFonts w:asciiTheme="minorHAnsi" w:hAnsiTheme="minorHAnsi" w:cstheme="minorHAnsi"/>
          <w:sz w:val="22"/>
        </w:rPr>
      </w:pPr>
      <w:r w:rsidRPr="00F47BF8">
        <w:rPr>
          <w:rFonts w:asciiTheme="minorHAnsi" w:hAnsiTheme="minorHAnsi" w:cstheme="minorHAnsi"/>
          <w:sz w:val="22"/>
        </w:rPr>
        <w:t xml:space="preserve">In the public sphere, </w:t>
      </w:r>
      <w:r>
        <w:rPr>
          <w:rFonts w:asciiTheme="minorHAnsi" w:hAnsiTheme="minorHAnsi" w:cstheme="minorHAnsi"/>
          <w:sz w:val="22"/>
        </w:rPr>
        <w:t>the I</w:t>
      </w:r>
      <w:r w:rsidRPr="00F47BF8">
        <w:rPr>
          <w:rFonts w:asciiTheme="minorHAnsi" w:hAnsiTheme="minorHAnsi" w:cstheme="minorHAnsi"/>
          <w:sz w:val="22"/>
        </w:rPr>
        <w:t>CO has explicitly adopted a more lenient “public sector approach” that reserves fines for only the most serious data breaches.</w:t>
      </w:r>
      <w:r>
        <w:rPr>
          <w:rStyle w:val="FootnoteReference"/>
          <w:rFonts w:asciiTheme="minorHAnsi" w:hAnsiTheme="minorHAnsi" w:cstheme="minorHAnsi"/>
          <w:sz w:val="22"/>
        </w:rPr>
        <w:footnoteReference w:id="40"/>
      </w:r>
      <w:r w:rsidRPr="00F47BF8">
        <w:rPr>
          <w:rFonts w:asciiTheme="minorHAnsi" w:hAnsiTheme="minorHAnsi" w:cstheme="minorHAnsi"/>
          <w:sz w:val="22"/>
        </w:rPr>
        <w:t xml:space="preserve"> </w:t>
      </w:r>
      <w:r w:rsidRPr="00F47BF8">
        <w:rPr>
          <w:rFonts w:asciiTheme="minorHAnsi" w:eastAsiaTheme="minorEastAsia" w:hAnsiTheme="minorHAnsi" w:cstheme="minorHAnsi"/>
          <w:color w:val="424242"/>
          <w:sz w:val="22"/>
        </w:rPr>
        <w:t xml:space="preserve">Although </w:t>
      </w:r>
      <w:r>
        <w:rPr>
          <w:rFonts w:asciiTheme="minorHAnsi" w:eastAsiaTheme="minorEastAsia" w:hAnsiTheme="minorHAnsi" w:cstheme="minorHAnsi"/>
          <w:color w:val="424242"/>
          <w:sz w:val="22"/>
        </w:rPr>
        <w:t xml:space="preserve">the ICO has not articulated </w:t>
      </w:r>
      <w:r w:rsidRPr="00F47BF8">
        <w:rPr>
          <w:rFonts w:asciiTheme="minorHAnsi" w:eastAsiaTheme="minorEastAsia" w:hAnsiTheme="minorHAnsi" w:cstheme="minorHAnsi"/>
          <w:color w:val="424242"/>
          <w:sz w:val="22"/>
        </w:rPr>
        <w:t>a similar approach for the private sector, enforcement data suggests that</w:t>
      </w:r>
      <w:r>
        <w:rPr>
          <w:rFonts w:asciiTheme="minorHAnsi" w:eastAsiaTheme="minorEastAsia" w:hAnsiTheme="minorHAnsi" w:cstheme="minorHAnsi"/>
          <w:color w:val="424242"/>
          <w:sz w:val="22"/>
        </w:rPr>
        <w:t xml:space="preserve"> its approach to private sector compliance is also lenient,</w:t>
      </w:r>
      <w:r w:rsidRPr="00F47BF8">
        <w:rPr>
          <w:rFonts w:asciiTheme="minorHAnsi" w:hAnsiTheme="minorHAnsi" w:cstheme="minorHAnsi"/>
          <w:color w:val="424242"/>
          <w:sz w:val="22"/>
        </w:rPr>
        <w:t xml:space="preserve"> </w:t>
      </w:r>
      <w:r w:rsidRPr="00F47BF8">
        <w:rPr>
          <w:rFonts w:asciiTheme="minorHAnsi" w:eastAsiaTheme="minorEastAsia" w:hAnsiTheme="minorHAnsi" w:cstheme="minorHAnsi"/>
          <w:color w:val="424242"/>
          <w:sz w:val="22"/>
        </w:rPr>
        <w:t>especially when compared to regulators overseas</w:t>
      </w:r>
      <w:r w:rsidRPr="00F47BF8">
        <w:rPr>
          <w:rFonts w:asciiTheme="minorHAnsi" w:hAnsiTheme="minorHAnsi" w:cstheme="minorHAnsi"/>
          <w:sz w:val="22"/>
        </w:rPr>
        <w:t>.</w:t>
      </w:r>
      <w:r>
        <w:rPr>
          <w:rStyle w:val="FootnoteReference"/>
          <w:rFonts w:asciiTheme="minorHAnsi" w:hAnsiTheme="minorHAnsi" w:cstheme="minorHAnsi"/>
          <w:sz w:val="22"/>
        </w:rPr>
        <w:footnoteReference w:id="41"/>
      </w:r>
      <w:r w:rsidRPr="00F47BF8">
        <w:rPr>
          <w:rFonts w:asciiTheme="minorHAnsi" w:hAnsiTheme="minorHAnsi" w:cstheme="minorHAnsi"/>
          <w:sz w:val="22"/>
        </w:rPr>
        <w:t xml:space="preserve"> As the Open Rights Group points out in its analysis on the ICO‘s enforcement trends,</w:t>
      </w:r>
      <w:r>
        <w:rPr>
          <w:rStyle w:val="FootnoteReference"/>
          <w:rFonts w:asciiTheme="minorHAnsi" w:hAnsiTheme="minorHAnsi" w:cstheme="minorHAnsi"/>
          <w:sz w:val="22"/>
        </w:rPr>
        <w:footnoteReference w:id="42"/>
      </w:r>
      <w:r w:rsidRPr="00F47BF8">
        <w:rPr>
          <w:rFonts w:asciiTheme="minorHAnsi" w:hAnsiTheme="minorHAnsi" w:cstheme="minorHAnsi"/>
          <w:sz w:val="22"/>
        </w:rPr>
        <w:t xml:space="preserve"> </w:t>
      </w:r>
      <w:r>
        <w:rPr>
          <w:rFonts w:asciiTheme="minorHAnsi" w:hAnsiTheme="minorHAnsi" w:cstheme="minorHAnsi"/>
          <w:sz w:val="22"/>
        </w:rPr>
        <w:t xml:space="preserve">there are signs that the </w:t>
      </w:r>
      <w:r w:rsidRPr="00F47BF8">
        <w:rPr>
          <w:rFonts w:asciiTheme="minorHAnsi" w:hAnsiTheme="minorHAnsi" w:cstheme="minorHAnsi"/>
          <w:sz w:val="22"/>
        </w:rPr>
        <w:t xml:space="preserve">ICO‘s public sector approach </w:t>
      </w:r>
      <w:r>
        <w:rPr>
          <w:rFonts w:asciiTheme="minorHAnsi" w:hAnsiTheme="minorHAnsi" w:cstheme="minorHAnsi"/>
          <w:sz w:val="22"/>
        </w:rPr>
        <w:t xml:space="preserve">may not be </w:t>
      </w:r>
      <w:r w:rsidRPr="00F47BF8">
        <w:rPr>
          <w:rFonts w:asciiTheme="minorHAnsi" w:hAnsiTheme="minorHAnsi" w:cstheme="minorHAnsi"/>
          <w:sz w:val="22"/>
        </w:rPr>
        <w:t xml:space="preserve">sufficiently </w:t>
      </w:r>
      <w:r>
        <w:rPr>
          <w:rFonts w:asciiTheme="minorHAnsi" w:hAnsiTheme="minorHAnsi" w:cstheme="minorHAnsi"/>
          <w:sz w:val="22"/>
        </w:rPr>
        <w:t>robust</w:t>
      </w:r>
      <w:r w:rsidRPr="00F47BF8">
        <w:rPr>
          <w:rFonts w:asciiTheme="minorHAnsi" w:hAnsiTheme="minorHAnsi" w:cstheme="minorHAnsi"/>
          <w:sz w:val="22"/>
        </w:rPr>
        <w:t xml:space="preserve"> given</w:t>
      </w:r>
      <w:r>
        <w:rPr>
          <w:rFonts w:asciiTheme="minorHAnsi" w:hAnsiTheme="minorHAnsi" w:cstheme="minorHAnsi"/>
          <w:sz w:val="22"/>
        </w:rPr>
        <w:t xml:space="preserve"> the number of “</w:t>
      </w:r>
      <w:r w:rsidRPr="00F47BF8">
        <w:rPr>
          <w:rFonts w:asciiTheme="minorHAnsi" w:hAnsiTheme="minorHAnsi" w:cstheme="minorHAnsi"/>
          <w:sz w:val="22"/>
        </w:rPr>
        <w:t>repeat offenders</w:t>
      </w:r>
      <w:r>
        <w:rPr>
          <w:rFonts w:asciiTheme="minorHAnsi" w:hAnsiTheme="minorHAnsi" w:cstheme="minorHAnsi"/>
          <w:sz w:val="22"/>
        </w:rPr>
        <w:t>”</w:t>
      </w:r>
      <w:r w:rsidRPr="00F47BF8">
        <w:rPr>
          <w:rFonts w:asciiTheme="minorHAnsi" w:hAnsiTheme="minorHAnsi" w:cstheme="minorHAnsi"/>
          <w:sz w:val="22"/>
        </w:rPr>
        <w:t xml:space="preserve"> (</w:t>
      </w:r>
      <w:r>
        <w:rPr>
          <w:rFonts w:asciiTheme="minorHAnsi" w:hAnsiTheme="minorHAnsi" w:cstheme="minorHAnsi"/>
          <w:sz w:val="22"/>
        </w:rPr>
        <w:t>e.g.</w:t>
      </w:r>
      <w:r w:rsidRPr="00F47BF8">
        <w:rPr>
          <w:rFonts w:asciiTheme="minorHAnsi" w:hAnsiTheme="minorHAnsi" w:cstheme="minorHAnsi"/>
          <w:sz w:val="22"/>
        </w:rPr>
        <w:t xml:space="preserve"> the Ministry of Defence which recently admitted that it committed 49 data breaches in the </w:t>
      </w:r>
      <w:r w:rsidRPr="00E1704C">
        <w:rPr>
          <w:rFonts w:asciiTheme="minorHAnsi" w:hAnsiTheme="minorHAnsi" w:cstheme="minorHAnsi"/>
          <w:sz w:val="22"/>
        </w:rPr>
        <w:t>past four years, in addition to the widely known 2022 data breach that affected 19,000 Afghans</w:t>
      </w:r>
      <w:r>
        <w:rPr>
          <w:rStyle w:val="FootnoteReference"/>
          <w:rFonts w:asciiTheme="minorHAnsi" w:hAnsiTheme="minorHAnsi" w:cstheme="minorHAnsi"/>
          <w:sz w:val="22"/>
        </w:rPr>
        <w:footnoteReference w:id="43"/>
      </w:r>
      <w:r w:rsidRPr="00E1704C">
        <w:rPr>
          <w:rFonts w:asciiTheme="minorHAnsi" w:hAnsiTheme="minorHAnsi" w:cstheme="minorHAnsi"/>
          <w:sz w:val="22"/>
        </w:rPr>
        <w:t xml:space="preserve">). It is also questionable whether the ICO’s </w:t>
      </w:r>
      <w:r>
        <w:rPr>
          <w:rFonts w:asciiTheme="minorHAnsi" w:hAnsiTheme="minorHAnsi" w:cstheme="minorHAnsi"/>
          <w:sz w:val="22"/>
        </w:rPr>
        <w:t>lenient</w:t>
      </w:r>
      <w:r w:rsidRPr="00E1704C">
        <w:rPr>
          <w:rFonts w:asciiTheme="minorHAnsi" w:hAnsiTheme="minorHAnsi" w:cstheme="minorHAnsi"/>
          <w:sz w:val="22"/>
        </w:rPr>
        <w:t xml:space="preserve"> approach can adequately safeguard human rights in the context of AI. This is because the ICO’s activities around AI focus on publishing guidance, conducting research, and engaging in public debate, rather than taking enforcement action.</w:t>
      </w:r>
      <w:r>
        <w:rPr>
          <w:rStyle w:val="FootnoteReference"/>
          <w:rFonts w:asciiTheme="minorHAnsi" w:hAnsiTheme="minorHAnsi" w:cstheme="minorHAnsi"/>
          <w:sz w:val="22"/>
        </w:rPr>
        <w:footnoteReference w:id="44"/>
      </w:r>
      <w:r w:rsidRPr="00E1704C">
        <w:rPr>
          <w:rStyle w:val="FootnoteReference"/>
          <w:rFonts w:asciiTheme="minorHAnsi" w:hAnsiTheme="minorHAnsi" w:cstheme="minorHAnsi"/>
          <w:sz w:val="22"/>
        </w:rPr>
        <w:t xml:space="preserve"> </w:t>
      </w:r>
      <w:r w:rsidRPr="00E1704C">
        <w:rPr>
          <w:rFonts w:asciiTheme="minorHAnsi" w:hAnsiTheme="minorHAnsi" w:cstheme="minorHAnsi"/>
          <w:sz w:val="22"/>
        </w:rPr>
        <w:t xml:space="preserve">Given </w:t>
      </w:r>
      <w:r>
        <w:rPr>
          <w:rFonts w:asciiTheme="minorHAnsi" w:hAnsiTheme="minorHAnsi" w:cstheme="minorHAnsi"/>
          <w:sz w:val="22"/>
        </w:rPr>
        <w:t xml:space="preserve">the difficulties in bringing claims before the courts, </w:t>
      </w:r>
      <w:r w:rsidRPr="00E1704C">
        <w:rPr>
          <w:rFonts w:asciiTheme="minorHAnsi" w:hAnsiTheme="minorHAnsi" w:cstheme="minorHAnsi"/>
          <w:sz w:val="22"/>
        </w:rPr>
        <w:t xml:space="preserve">the ICO should strengthen its enforcement efforts to ensure </w:t>
      </w:r>
      <w:r>
        <w:rPr>
          <w:rFonts w:asciiTheme="minorHAnsi" w:hAnsiTheme="minorHAnsi" w:cstheme="minorHAnsi"/>
          <w:sz w:val="22"/>
        </w:rPr>
        <w:t xml:space="preserve">that </w:t>
      </w:r>
      <w:r w:rsidRPr="00E1704C">
        <w:rPr>
          <w:rFonts w:asciiTheme="minorHAnsi" w:hAnsiTheme="minorHAnsi" w:cstheme="minorHAnsi"/>
          <w:sz w:val="22"/>
        </w:rPr>
        <w:t xml:space="preserve">individuals are effectively protected from </w:t>
      </w:r>
      <w:r>
        <w:rPr>
          <w:rFonts w:asciiTheme="minorHAnsi" w:hAnsiTheme="minorHAnsi" w:cstheme="minorHAnsi"/>
          <w:sz w:val="22"/>
        </w:rPr>
        <w:t>breaches of their rights through the use of AI</w:t>
      </w:r>
      <w:r w:rsidRPr="00E1704C">
        <w:rPr>
          <w:rFonts w:asciiTheme="minorHAnsi" w:hAnsiTheme="minorHAnsi" w:cstheme="minorHAnsi"/>
          <w:sz w:val="22"/>
        </w:rPr>
        <w:t>.</w:t>
      </w:r>
      <w:r>
        <w:rPr>
          <w:rFonts w:asciiTheme="minorHAnsi" w:hAnsiTheme="minorHAnsi" w:cstheme="minorHAnsi"/>
          <w:sz w:val="22"/>
        </w:rPr>
        <w:t xml:space="preserve">  A more robust regulatory approach should apply to both the private and public sector.</w:t>
      </w:r>
    </w:p>
    <w:p w:rsidR="001526AD" w:rsidP="00470E2D">
      <w:pPr>
        <w:pStyle w:val="BWBLevel1"/>
        <w:spacing w:before="60" w:after="60" w:line="300" w:lineRule="auto"/>
        <w:rPr>
          <w:rFonts w:asciiTheme="minorHAnsi" w:eastAsiaTheme="minorEastAsia" w:hAnsiTheme="minorHAnsi" w:cstheme="minorHAnsi"/>
          <w:b/>
          <w:bCs/>
          <w:sz w:val="22"/>
        </w:rPr>
      </w:pPr>
      <w:r w:rsidRPr="00F47BF8">
        <w:rPr>
          <w:rFonts w:asciiTheme="minorHAnsi" w:eastAsiaTheme="minorEastAsia" w:hAnsiTheme="minorHAnsi" w:cstheme="minorHAnsi"/>
          <w:b/>
          <w:bCs/>
          <w:sz w:val="22"/>
        </w:rPr>
        <w:t>How might regulation match the pace of AI technology development, such as the emergence of agentic AI, to ensure that human rights are preserved as technology continues to develop?</w:t>
      </w:r>
    </w:p>
    <w:p w:rsidR="001526AD" w:rsidRPr="00F47BF8" w:rsidP="00341F8C">
      <w:pPr>
        <w:pStyle w:val="BWBLevel1"/>
        <w:numPr>
          <w:ilvl w:val="0"/>
          <w:numId w:val="0"/>
        </w:numPr>
        <w:spacing w:before="60" w:after="60" w:line="300" w:lineRule="auto"/>
        <w:ind w:left="879"/>
        <w:rPr>
          <w:rFonts w:asciiTheme="minorHAnsi" w:eastAsiaTheme="minorEastAsia" w:hAnsiTheme="minorHAnsi" w:cstheme="minorHAnsi"/>
          <w:b/>
          <w:bCs/>
          <w:sz w:val="22"/>
        </w:rPr>
      </w:pPr>
    </w:p>
    <w:p w:rsidR="001526AD" w:rsidRPr="00F47BF8" w:rsidP="00706579">
      <w:pPr>
        <w:pStyle w:val="BWBLevel2"/>
        <w:rPr>
          <w:rFonts w:asciiTheme="minorHAnsi" w:eastAsiaTheme="minorEastAsia" w:hAnsiTheme="minorHAnsi" w:cstheme="minorHAnsi"/>
          <w:b/>
          <w:bCs/>
          <w:sz w:val="22"/>
        </w:rPr>
      </w:pPr>
      <w:r w:rsidRPr="00F47BF8">
        <w:rPr>
          <w:rFonts w:asciiTheme="minorHAnsi" w:hAnsiTheme="minorHAnsi" w:cstheme="minorHAnsi"/>
          <w:color w:val="424242"/>
          <w:sz w:val="22"/>
        </w:rPr>
        <w:t>T</w:t>
      </w:r>
      <w:r w:rsidRPr="00F47BF8">
        <w:rPr>
          <w:rFonts w:asciiTheme="minorHAnsi" w:hAnsiTheme="minorHAnsi" w:cstheme="minorHAnsi"/>
          <w:sz w:val="22"/>
        </w:rPr>
        <w:t>here is no need for a different regulatory approach for each technology if a flexible, outcome</w:t>
      </w:r>
      <w:r>
        <w:rPr>
          <w:rFonts w:asciiTheme="minorHAnsi" w:hAnsiTheme="minorHAnsi" w:cstheme="minorHAnsi"/>
          <w:sz w:val="22"/>
        </w:rPr>
        <w:t>s</w:t>
      </w:r>
      <w:r w:rsidRPr="00F47BF8">
        <w:rPr>
          <w:rFonts w:asciiTheme="minorHAnsi" w:hAnsiTheme="minorHAnsi" w:cstheme="minorHAnsi"/>
          <w:sz w:val="22"/>
        </w:rPr>
        <w:t xml:space="preserve">-based human rights framework is used. </w:t>
      </w:r>
      <w:r>
        <w:rPr>
          <w:rFonts w:asciiTheme="minorHAnsi" w:hAnsiTheme="minorHAnsi" w:cstheme="minorHAnsi"/>
          <w:sz w:val="22"/>
        </w:rPr>
        <w:t xml:space="preserve">It is essential that frameworks regulating AI are technology </w:t>
      </w:r>
      <w:r>
        <w:rPr>
          <w:rFonts w:asciiTheme="minorHAnsi" w:hAnsiTheme="minorHAnsi" w:cstheme="minorHAnsi"/>
          <w:sz w:val="22"/>
        </w:rPr>
        <w:t>neutral in order to ensure that protections are adequate, given the exponential speed of development.</w:t>
      </w:r>
    </w:p>
    <w:p w:rsidR="001526AD" w:rsidRPr="00F47BF8" w:rsidP="00470E2D">
      <w:pPr>
        <w:spacing w:before="60" w:after="60" w:line="300" w:lineRule="auto"/>
        <w:jc w:val="both"/>
        <w:rPr>
          <w:rFonts w:cstheme="minorHAnsi"/>
          <w:b/>
          <w:bCs/>
        </w:rPr>
      </w:pPr>
    </w:p>
    <w:p w:rsidR="001526AD" w:rsidRPr="00F47BF8" w:rsidP="00706579">
      <w:pPr>
        <w:pStyle w:val="BWBLevel1"/>
        <w:rPr>
          <w:rFonts w:asciiTheme="minorHAnsi" w:hAnsiTheme="minorHAnsi" w:cstheme="minorHAnsi"/>
          <w:b/>
          <w:bCs/>
          <w:sz w:val="22"/>
        </w:rPr>
      </w:pPr>
      <w:r w:rsidRPr="00F47BF8">
        <w:rPr>
          <w:rFonts w:asciiTheme="minorHAnsi" w:hAnsiTheme="minorHAnsi" w:cstheme="minorHAnsi"/>
          <w:b/>
          <w:bCs/>
          <w:sz w:val="22"/>
        </w:rPr>
        <w:t>How could regulation take account of the international nature of AI? How could it address the potential consequences for human rights in the UK of the malign use of AI by regimes in other countries?</w:t>
      </w:r>
    </w:p>
    <w:p w:rsidR="001526AD" w:rsidRPr="00F47BF8" w:rsidP="00706579">
      <w:pPr>
        <w:pStyle w:val="BWBLevel2"/>
        <w:rPr>
          <w:rFonts w:asciiTheme="minorHAnsi" w:hAnsiTheme="minorHAnsi" w:cstheme="minorHAnsi"/>
          <w:b/>
          <w:bCs/>
          <w:sz w:val="22"/>
        </w:rPr>
      </w:pPr>
      <w:r>
        <w:rPr>
          <w:rFonts w:asciiTheme="minorHAnsi" w:hAnsiTheme="minorHAnsi" w:cstheme="minorHAnsi"/>
          <w:sz w:val="22"/>
        </w:rPr>
        <w:t xml:space="preserve">We are not providing evidence in relation to this question.  </w:t>
      </w:r>
      <w:r w:rsidRPr="00F47BF8">
        <w:rPr>
          <w:rFonts w:asciiTheme="minorHAnsi" w:hAnsiTheme="minorHAnsi" w:cstheme="minorHAnsi"/>
          <w:sz w:val="22"/>
        </w:rPr>
        <w:t xml:space="preserve"> </w:t>
      </w:r>
    </w:p>
    <w:p w:rsidR="001526AD" w:rsidRPr="00F47BF8" w:rsidP="00470E2D">
      <w:pPr>
        <w:spacing w:before="60" w:after="60" w:line="300" w:lineRule="auto"/>
        <w:jc w:val="both"/>
        <w:rPr>
          <w:rFonts w:cstheme="minorHAnsi"/>
          <w:b/>
          <w:bCs/>
        </w:rPr>
      </w:pPr>
    </w:p>
    <w:p w:rsidR="001526AD" w:rsidRPr="00F47BF8" w:rsidP="00706579">
      <w:pPr>
        <w:pStyle w:val="BWBLevel1"/>
        <w:rPr>
          <w:rFonts w:asciiTheme="minorHAnsi" w:hAnsiTheme="minorHAnsi" w:cstheme="minorHAnsi"/>
          <w:b/>
          <w:bCs/>
          <w:sz w:val="22"/>
        </w:rPr>
      </w:pPr>
      <w:r w:rsidRPr="00F47BF8">
        <w:rPr>
          <w:rFonts w:asciiTheme="minorHAnsi" w:hAnsiTheme="minorHAnsi" w:cstheme="minorHAnsi"/>
          <w:b/>
          <w:bCs/>
          <w:sz w:val="22"/>
        </w:rPr>
        <w:t>How much difference will the Council of Europe Framework Convention on Artificial Intelligence and Human Rights, Democracy and the Rule of Law make to the protection of human rights in the UK?</w:t>
      </w:r>
    </w:p>
    <w:p w:rsidR="001526AD" w:rsidRPr="00EB06CF" w:rsidP="00EB06CF">
      <w:pPr>
        <w:spacing w:before="60" w:after="60" w:line="300" w:lineRule="auto"/>
        <w:ind w:left="879"/>
        <w:jc w:val="both"/>
        <w:rPr>
          <w:rFonts w:cstheme="minorHAnsi"/>
        </w:rPr>
      </w:pPr>
      <w:r w:rsidRPr="00EB06CF">
        <w:rPr>
          <w:rFonts w:cstheme="minorHAnsi"/>
        </w:rPr>
        <w:t xml:space="preserve">It is essential that the UK ratifies the Convention. </w:t>
      </w:r>
      <w:r>
        <w:rPr>
          <w:rFonts w:cstheme="minorHAnsi"/>
        </w:rPr>
        <w:t xml:space="preserve"> Our inter-connected, globalised economy means that legislative frameworks and safeguards must reflect international norms in order to provide sufficient protections and ensure that we do not create unnecessary barriers to trade.</w:t>
      </w:r>
    </w:p>
    <w:p w:rsidR="001526AD" w:rsidRPr="00F47BF8" w:rsidP="00470E2D">
      <w:pPr>
        <w:spacing w:before="60" w:after="60" w:line="300" w:lineRule="auto"/>
        <w:jc w:val="both"/>
        <w:rPr>
          <w:rFonts w:cstheme="minorHAnsi"/>
          <w:b/>
          <w:bCs/>
        </w:rPr>
      </w:pPr>
    </w:p>
    <w:p w:rsidR="001526AD" w:rsidRPr="00F47BF8" w:rsidP="00706579">
      <w:pPr>
        <w:pStyle w:val="BWBLevel1"/>
        <w:rPr>
          <w:rFonts w:asciiTheme="minorHAnsi" w:hAnsiTheme="minorHAnsi" w:cstheme="minorHAnsi"/>
          <w:b/>
          <w:bCs/>
          <w:sz w:val="22"/>
        </w:rPr>
      </w:pPr>
      <w:r w:rsidRPr="00F47BF8">
        <w:rPr>
          <w:rFonts w:asciiTheme="minorHAnsi" w:hAnsiTheme="minorHAnsi" w:cstheme="minorHAnsi"/>
          <w:b/>
          <w:bCs/>
          <w:sz w:val="22"/>
        </w:rPr>
        <w:t>What lessons can be drawn from regulation of the impact of AI on human rights in other jurisdictions, such as the European Union?</w:t>
      </w:r>
    </w:p>
    <w:p w:rsidR="001526AD" w:rsidRPr="00BD3AAE" w:rsidP="00706579">
      <w:pPr>
        <w:pStyle w:val="BWBLevel2"/>
        <w:rPr>
          <w:rFonts w:asciiTheme="minorHAnsi" w:hAnsiTheme="minorHAnsi" w:cstheme="minorHAnsi"/>
          <w:b/>
          <w:bCs/>
          <w:sz w:val="22"/>
        </w:rPr>
      </w:pPr>
      <w:r>
        <w:rPr>
          <w:rFonts w:asciiTheme="minorHAnsi" w:hAnsiTheme="minorHAnsi" w:cstheme="minorHAnsi"/>
          <w:sz w:val="22"/>
        </w:rPr>
        <w:t xml:space="preserve">Over-regulation by the European Union in the digital space is problematic.  </w:t>
      </w:r>
      <w:r w:rsidRPr="00F47BF8">
        <w:rPr>
          <w:rFonts w:asciiTheme="minorHAnsi" w:hAnsiTheme="minorHAnsi" w:cstheme="minorHAnsi"/>
          <w:sz w:val="22"/>
        </w:rPr>
        <w:t>As of 2024, the EU</w:t>
      </w:r>
      <w:r>
        <w:rPr>
          <w:rFonts w:asciiTheme="minorHAnsi" w:hAnsiTheme="minorHAnsi" w:cstheme="minorHAnsi"/>
          <w:sz w:val="22"/>
        </w:rPr>
        <w:t xml:space="preserve"> has </w:t>
      </w:r>
      <w:r w:rsidRPr="00F47BF8">
        <w:rPr>
          <w:rFonts w:asciiTheme="minorHAnsi" w:hAnsiTheme="minorHAnsi" w:cstheme="minorHAnsi"/>
          <w:sz w:val="22"/>
        </w:rPr>
        <w:t xml:space="preserve">116 </w:t>
      </w:r>
      <w:r>
        <w:rPr>
          <w:rFonts w:asciiTheme="minorHAnsi" w:hAnsiTheme="minorHAnsi" w:cstheme="minorHAnsi"/>
          <w:sz w:val="22"/>
        </w:rPr>
        <w:t xml:space="preserve">legislative instruments in the </w:t>
      </w:r>
      <w:r w:rsidRPr="00F47BF8">
        <w:rPr>
          <w:rFonts w:asciiTheme="minorHAnsi" w:hAnsiTheme="minorHAnsi" w:cstheme="minorHAnsi"/>
          <w:sz w:val="22"/>
        </w:rPr>
        <w:t>digital sphere</w:t>
      </w:r>
      <w:r>
        <w:rPr>
          <w:rFonts w:asciiTheme="minorHAnsi" w:hAnsiTheme="minorHAnsi" w:cstheme="minorHAnsi"/>
          <w:sz w:val="22"/>
        </w:rPr>
        <w:t>, with many complaining of a lack of coherence and overlaps between different measures</w:t>
      </w:r>
      <w:r w:rsidRPr="00F47BF8">
        <w:rPr>
          <w:rFonts w:asciiTheme="minorHAnsi" w:hAnsiTheme="minorHAnsi" w:cstheme="minorHAnsi"/>
          <w:sz w:val="22"/>
        </w:rPr>
        <w:t>.</w:t>
      </w:r>
      <w:r>
        <w:rPr>
          <w:rStyle w:val="FootnoteReference"/>
          <w:rFonts w:asciiTheme="minorHAnsi" w:hAnsiTheme="minorHAnsi" w:cstheme="minorHAnsi"/>
          <w:color w:val="424242"/>
          <w:sz w:val="22"/>
        </w:rPr>
        <w:footnoteReference w:id="45"/>
      </w:r>
      <w:r w:rsidRPr="00F47BF8">
        <w:rPr>
          <w:rFonts w:asciiTheme="minorHAnsi" w:hAnsiTheme="minorHAnsi" w:cstheme="minorHAnsi"/>
          <w:sz w:val="22"/>
        </w:rPr>
        <w:t xml:space="preserve"> </w:t>
      </w:r>
      <w:r>
        <w:rPr>
          <w:rFonts w:asciiTheme="minorHAnsi" w:hAnsiTheme="minorHAnsi" w:cstheme="minorHAnsi"/>
          <w:sz w:val="22"/>
        </w:rPr>
        <w:t>The Swedish Prime Minister recently called for a pause in the rolling out of the EU AI Act, calling the rules “confusing”.</w:t>
      </w:r>
      <w:r>
        <w:rPr>
          <w:rStyle w:val="FootnoteReference"/>
          <w:rFonts w:asciiTheme="minorHAnsi" w:hAnsiTheme="minorHAnsi" w:cstheme="minorHAnsi"/>
          <w:sz w:val="22"/>
        </w:rPr>
        <w:footnoteReference w:id="46"/>
      </w:r>
      <w:r>
        <w:rPr>
          <w:rFonts w:asciiTheme="minorHAnsi" w:hAnsiTheme="minorHAnsi" w:cstheme="minorHAnsi"/>
          <w:sz w:val="22"/>
        </w:rPr>
        <w:t xml:space="preserve"> </w:t>
      </w:r>
    </w:p>
    <w:p w:rsidR="001526AD" w:rsidRPr="00647CE0" w:rsidP="00706579">
      <w:pPr>
        <w:pStyle w:val="BWBLevel2"/>
        <w:rPr>
          <w:rFonts w:asciiTheme="minorHAnsi" w:hAnsiTheme="minorHAnsi" w:cstheme="minorHAnsi"/>
          <w:b/>
          <w:bCs/>
          <w:sz w:val="22"/>
        </w:rPr>
      </w:pPr>
      <w:r>
        <w:rPr>
          <w:rFonts w:asciiTheme="minorHAnsi" w:hAnsiTheme="minorHAnsi" w:cstheme="minorHAnsi"/>
          <w:sz w:val="22"/>
        </w:rPr>
        <w:t xml:space="preserve">The problem of overly complex frameworks is also illustrated in the UK by the </w:t>
      </w:r>
      <w:r w:rsidRPr="00F47BF8">
        <w:rPr>
          <w:rFonts w:asciiTheme="minorHAnsi" w:hAnsiTheme="minorHAnsi" w:cstheme="minorHAnsi"/>
          <w:sz w:val="22"/>
        </w:rPr>
        <w:t xml:space="preserve">Online Safety Act </w:t>
      </w:r>
      <w:r>
        <w:rPr>
          <w:rFonts w:asciiTheme="minorHAnsi" w:hAnsiTheme="minorHAnsi" w:cstheme="minorHAnsi"/>
          <w:sz w:val="22"/>
        </w:rPr>
        <w:t>2023 (OSA).  The legislation itself is substantial and is supplemented by</w:t>
      </w:r>
      <w:r w:rsidRPr="00F47BF8">
        <w:rPr>
          <w:rFonts w:asciiTheme="minorHAnsi" w:hAnsiTheme="minorHAnsi" w:cstheme="minorHAnsi"/>
          <w:sz w:val="22"/>
        </w:rPr>
        <w:t xml:space="preserve"> lengthy guidance</w:t>
      </w:r>
      <w:r>
        <w:rPr>
          <w:rFonts w:asciiTheme="minorHAnsi" w:hAnsiTheme="minorHAnsi" w:cstheme="minorHAnsi"/>
          <w:sz w:val="22"/>
        </w:rPr>
        <w:t xml:space="preserve">.  For example, guidance relating to children’s safety is </w:t>
      </w:r>
      <w:r w:rsidRPr="00F47BF8">
        <w:rPr>
          <w:rFonts w:asciiTheme="minorHAnsi" w:hAnsiTheme="minorHAnsi" w:cstheme="minorHAnsi"/>
          <w:sz w:val="22"/>
        </w:rPr>
        <w:t>1,700 pages</w:t>
      </w:r>
      <w:r>
        <w:rPr>
          <w:rFonts w:asciiTheme="minorHAnsi" w:hAnsiTheme="minorHAnsi" w:cstheme="minorHAnsi"/>
          <w:sz w:val="22"/>
        </w:rPr>
        <w:t xml:space="preserve"> long</w:t>
      </w:r>
      <w:r w:rsidRPr="00F47BF8">
        <w:rPr>
          <w:rFonts w:asciiTheme="minorHAnsi" w:hAnsiTheme="minorHAnsi" w:cstheme="minorHAnsi"/>
          <w:sz w:val="22"/>
        </w:rPr>
        <w:t xml:space="preserve">. Concerns have been raised that </w:t>
      </w:r>
      <w:r>
        <w:rPr>
          <w:rFonts w:asciiTheme="minorHAnsi" w:hAnsiTheme="minorHAnsi" w:cstheme="minorHAnsi"/>
          <w:sz w:val="22"/>
        </w:rPr>
        <w:t>it</w:t>
      </w:r>
      <w:r w:rsidRPr="00F47BF8">
        <w:rPr>
          <w:rFonts w:asciiTheme="minorHAnsi" w:hAnsiTheme="minorHAnsi" w:cstheme="minorHAnsi"/>
          <w:sz w:val="22"/>
        </w:rPr>
        <w:t xml:space="preserve"> is too burdensome</w:t>
      </w:r>
      <w:r>
        <w:rPr>
          <w:rFonts w:asciiTheme="minorHAnsi" w:hAnsiTheme="minorHAnsi" w:cstheme="minorHAnsi"/>
          <w:sz w:val="22"/>
        </w:rPr>
        <w:t>,</w:t>
      </w:r>
      <w:r w:rsidRPr="00F47BF8">
        <w:rPr>
          <w:rFonts w:asciiTheme="minorHAnsi" w:hAnsiTheme="minorHAnsi" w:cstheme="minorHAnsi"/>
          <w:sz w:val="22"/>
        </w:rPr>
        <w:t xml:space="preserve"> especially for smaller companies</w:t>
      </w:r>
      <w:r>
        <w:rPr>
          <w:rFonts w:asciiTheme="minorHAnsi" w:hAnsiTheme="minorHAnsi" w:cstheme="minorHAnsi"/>
          <w:sz w:val="22"/>
        </w:rPr>
        <w:t>,</w:t>
      </w:r>
      <w:r w:rsidRPr="00F47BF8">
        <w:rPr>
          <w:rFonts w:asciiTheme="minorHAnsi" w:hAnsiTheme="minorHAnsi" w:cstheme="minorHAnsi"/>
          <w:sz w:val="22"/>
        </w:rPr>
        <w:t xml:space="preserve"> to</w:t>
      </w:r>
      <w:r>
        <w:rPr>
          <w:rFonts w:asciiTheme="minorHAnsi" w:hAnsiTheme="minorHAnsi" w:cstheme="minorHAnsi"/>
          <w:sz w:val="22"/>
        </w:rPr>
        <w:t xml:space="preserve"> have to read both </w:t>
      </w:r>
      <w:r w:rsidRPr="00F47BF8">
        <w:rPr>
          <w:rFonts w:asciiTheme="minorHAnsi" w:hAnsiTheme="minorHAnsi" w:cstheme="minorHAnsi"/>
          <w:sz w:val="22"/>
        </w:rPr>
        <w:t xml:space="preserve">the </w:t>
      </w:r>
      <w:r>
        <w:rPr>
          <w:rFonts w:asciiTheme="minorHAnsi" w:hAnsiTheme="minorHAnsi" w:cstheme="minorHAnsi"/>
          <w:sz w:val="22"/>
        </w:rPr>
        <w:t>OSA and thousands of pages of supplementary documents</w:t>
      </w:r>
      <w:r w:rsidRPr="00F47BF8">
        <w:rPr>
          <w:rFonts w:asciiTheme="minorHAnsi" w:hAnsiTheme="minorHAnsi" w:cstheme="minorHAnsi"/>
          <w:sz w:val="22"/>
        </w:rPr>
        <w:t>.</w:t>
      </w:r>
      <w:r>
        <w:rPr>
          <w:rStyle w:val="FootnoteReference"/>
          <w:rFonts w:asciiTheme="minorHAnsi" w:hAnsiTheme="minorHAnsi" w:cstheme="minorHAnsi"/>
          <w:color w:val="424242"/>
          <w:sz w:val="22"/>
        </w:rPr>
        <w:footnoteReference w:id="47"/>
      </w:r>
      <w:r w:rsidRPr="00F47BF8">
        <w:rPr>
          <w:rFonts w:asciiTheme="minorHAnsi" w:hAnsiTheme="minorHAnsi" w:cstheme="minorHAnsi"/>
          <w:sz w:val="22"/>
        </w:rPr>
        <w:t xml:space="preserve"> </w:t>
      </w:r>
      <w:r>
        <w:rPr>
          <w:rFonts w:asciiTheme="minorHAnsi" w:hAnsiTheme="minorHAnsi" w:cstheme="minorHAnsi"/>
          <w:sz w:val="22"/>
        </w:rPr>
        <w:t>As with data protection law, companies are forced to invest in automated solutions to try to manage compliance.  This in turn leads to a box-ticking culture which undermines the very protections the legislation was meant to create.</w:t>
      </w:r>
    </w:p>
    <w:p w:rsidR="001526AD" w:rsidRPr="00F47BF8" w:rsidP="00706579">
      <w:pPr>
        <w:pStyle w:val="BWBLevel2"/>
        <w:rPr>
          <w:rFonts w:asciiTheme="minorHAnsi" w:hAnsiTheme="minorHAnsi" w:cstheme="minorHAnsi"/>
          <w:b/>
          <w:bCs/>
          <w:sz w:val="22"/>
        </w:rPr>
      </w:pPr>
      <w:r w:rsidRPr="00F47BF8">
        <w:rPr>
          <w:rFonts w:asciiTheme="minorHAnsi" w:hAnsiTheme="minorHAnsi" w:cstheme="minorHAnsi"/>
          <w:sz w:val="22"/>
        </w:rPr>
        <w:t xml:space="preserve">The UK should therefore resist the urge to </w:t>
      </w:r>
      <w:r>
        <w:rPr>
          <w:rFonts w:asciiTheme="minorHAnsi" w:hAnsiTheme="minorHAnsi" w:cstheme="minorHAnsi"/>
          <w:sz w:val="22"/>
        </w:rPr>
        <w:t>take an overly complex</w:t>
      </w:r>
      <w:r w:rsidRPr="00F47BF8">
        <w:rPr>
          <w:rFonts w:asciiTheme="minorHAnsi" w:hAnsiTheme="minorHAnsi" w:cstheme="minorHAnsi"/>
          <w:sz w:val="22"/>
        </w:rPr>
        <w:t xml:space="preserve"> approach </w:t>
      </w:r>
      <w:r>
        <w:rPr>
          <w:rFonts w:asciiTheme="minorHAnsi" w:hAnsiTheme="minorHAnsi" w:cstheme="minorHAnsi"/>
          <w:sz w:val="22"/>
        </w:rPr>
        <w:t xml:space="preserve">to the regulation of AI </w:t>
      </w:r>
      <w:r w:rsidRPr="00F47BF8">
        <w:rPr>
          <w:rFonts w:asciiTheme="minorHAnsi" w:hAnsiTheme="minorHAnsi" w:cstheme="minorHAnsi"/>
          <w:sz w:val="22"/>
        </w:rPr>
        <w:t xml:space="preserve">and instead prioritise </w:t>
      </w:r>
      <w:r>
        <w:rPr>
          <w:rFonts w:asciiTheme="minorHAnsi" w:hAnsiTheme="minorHAnsi" w:cstheme="minorHAnsi"/>
          <w:sz w:val="22"/>
        </w:rPr>
        <w:t>flexible,</w:t>
      </w:r>
      <w:r w:rsidRPr="00F47BF8">
        <w:rPr>
          <w:rFonts w:asciiTheme="minorHAnsi" w:hAnsiTheme="minorHAnsi" w:cstheme="minorHAnsi"/>
          <w:sz w:val="22"/>
        </w:rPr>
        <w:t xml:space="preserve"> principle</w:t>
      </w:r>
      <w:r>
        <w:rPr>
          <w:rFonts w:asciiTheme="minorHAnsi" w:hAnsiTheme="minorHAnsi" w:cstheme="minorHAnsi"/>
          <w:sz w:val="22"/>
        </w:rPr>
        <w:t>s-based r</w:t>
      </w:r>
      <w:r w:rsidRPr="00F47BF8">
        <w:rPr>
          <w:rFonts w:asciiTheme="minorHAnsi" w:hAnsiTheme="minorHAnsi" w:cstheme="minorHAnsi"/>
          <w:sz w:val="22"/>
        </w:rPr>
        <w:t>egulation</w:t>
      </w:r>
      <w:r>
        <w:rPr>
          <w:rFonts w:asciiTheme="minorHAnsi" w:hAnsiTheme="minorHAnsi" w:cstheme="minorHAnsi"/>
          <w:sz w:val="22"/>
        </w:rPr>
        <w:t xml:space="preserve"> which reflects international standards</w:t>
      </w:r>
      <w:r w:rsidRPr="00F47BF8">
        <w:rPr>
          <w:rFonts w:asciiTheme="minorHAnsi" w:hAnsiTheme="minorHAnsi" w:cstheme="minorHAnsi"/>
          <w:sz w:val="22"/>
        </w:rPr>
        <w:t xml:space="preserve">. As outlined throughout this submission, existing human rights frameworks offer flexible concepts that balance individual rights with the public interest. By grounding AI governance in these </w:t>
      </w:r>
      <w:r>
        <w:rPr>
          <w:rFonts w:asciiTheme="minorHAnsi" w:hAnsiTheme="minorHAnsi" w:cstheme="minorHAnsi"/>
          <w:sz w:val="22"/>
        </w:rPr>
        <w:t xml:space="preserve">simple </w:t>
      </w:r>
      <w:r>
        <w:rPr>
          <w:rFonts w:asciiTheme="minorHAnsi" w:hAnsiTheme="minorHAnsi" w:cstheme="minorHAnsi"/>
          <w:sz w:val="22"/>
        </w:rPr>
        <w:t xml:space="preserve">and flexible </w:t>
      </w:r>
      <w:r w:rsidRPr="00F47BF8">
        <w:rPr>
          <w:rFonts w:asciiTheme="minorHAnsi" w:hAnsiTheme="minorHAnsi" w:cstheme="minorHAnsi"/>
          <w:sz w:val="22"/>
        </w:rPr>
        <w:t xml:space="preserve">principles, the UK can respond effectively to the challenges of </w:t>
      </w:r>
      <w:r>
        <w:rPr>
          <w:rFonts w:asciiTheme="minorHAnsi" w:hAnsiTheme="minorHAnsi" w:cstheme="minorHAnsi"/>
          <w:sz w:val="22"/>
        </w:rPr>
        <w:t>AI without reinventing the wheel</w:t>
      </w:r>
      <w:r w:rsidRPr="00F47BF8">
        <w:rPr>
          <w:rFonts w:asciiTheme="minorHAnsi" w:hAnsiTheme="minorHAnsi" w:cstheme="minorHAnsi"/>
          <w:sz w:val="22"/>
        </w:rPr>
        <w:t>.</w:t>
      </w:r>
    </w:p>
    <w:p w:rsidR="001526AD" w:rsidRPr="00F47BF8" w:rsidP="00470E2D">
      <w:pPr>
        <w:spacing w:before="60" w:after="60" w:line="300" w:lineRule="auto"/>
        <w:jc w:val="both"/>
        <w:rPr>
          <w:rFonts w:cstheme="minorHAnsi"/>
          <w:b/>
          <w:bCs/>
        </w:rPr>
      </w:pPr>
    </w:p>
    <w:p w:rsidR="001526AD" w:rsidRPr="00F47BF8">
      <w:pPr>
        <w:spacing w:after="200" w:line="276" w:lineRule="auto"/>
        <w:rPr>
          <w:rFonts w:cstheme="minorHAnsi"/>
          <w:b/>
          <w:bCs/>
        </w:rPr>
      </w:pPr>
      <w:r w:rsidRPr="00F47BF8">
        <w:rPr>
          <w:rFonts w:cstheme="minorHAnsi"/>
          <w:b/>
          <w:bCs/>
        </w:rPr>
        <w:br w:type="page"/>
      </w:r>
    </w:p>
    <w:p w:rsidR="001526AD" w:rsidRPr="00F47BF8" w:rsidP="00706579">
      <w:pPr>
        <w:pStyle w:val="BWBAppendix"/>
        <w:rPr>
          <w:rFonts w:asciiTheme="minorHAnsi" w:hAnsiTheme="minorHAnsi" w:cstheme="minorHAnsi"/>
          <w:sz w:val="22"/>
        </w:rPr>
      </w:pPr>
    </w:p>
    <w:p w:rsidR="001526AD" w:rsidRPr="00F47BF8" w:rsidP="00470E2D">
      <w:pPr>
        <w:spacing w:before="60" w:after="60" w:line="300" w:lineRule="atLeast"/>
        <w:jc w:val="both"/>
        <w:rPr>
          <w:rFonts w:cstheme="minorHAnsi"/>
          <w:b/>
          <w:bCs/>
        </w:rPr>
      </w:pPr>
      <w:r w:rsidRPr="00F47BF8">
        <w:rPr>
          <w:rFonts w:cstheme="minorHAnsi"/>
          <w:b/>
          <w:bCs/>
        </w:rPr>
        <w:t>These examples have been provided by the Communication Workers’ Union in South Wales</w:t>
      </w:r>
      <w:r>
        <w:rPr>
          <w:rStyle w:val="FootnoteReference"/>
          <w:rFonts w:cstheme="minorHAnsi"/>
          <w:b/>
          <w:bCs/>
        </w:rPr>
        <w:footnoteReference w:id="48"/>
      </w:r>
    </w:p>
    <w:p w:rsidR="001526AD" w:rsidRPr="00F47BF8" w:rsidP="00470E2D">
      <w:pPr>
        <w:spacing w:before="60" w:after="60" w:line="300" w:lineRule="atLeast"/>
        <w:jc w:val="both"/>
        <w:rPr>
          <w:rFonts w:cstheme="minorHAnsi"/>
          <w:b/>
          <w:bCs/>
          <w:lang w:eastAsia="en-US"/>
        </w:rPr>
      </w:pPr>
    </w:p>
    <w:p w:rsidR="001526AD" w:rsidRPr="00F47BF8" w:rsidP="00470E2D">
      <w:pPr>
        <w:spacing w:before="60" w:after="60" w:line="300" w:lineRule="auto"/>
        <w:jc w:val="both"/>
        <w:rPr>
          <w:rFonts w:cstheme="minorHAnsi"/>
          <w:i/>
          <w:iCs/>
        </w:rPr>
      </w:pPr>
      <w:r w:rsidRPr="00F47BF8">
        <w:rPr>
          <w:rFonts w:cstheme="minorHAnsi"/>
          <w:i/>
          <w:iCs/>
        </w:rPr>
        <w:t xml:space="preserve">“In a hi-tech logistics company a newly appointed manager, straight from university, without human training made an expense claim incorrectly, rather than have human oversight, a computer authorised the expenses, the first the employee knew there was an error was when he was called in for a dismissal hearing. The company thought there was nothing wrong with relying solely on computer based training and computer oversight, their attitude was that this error showed the problem was with their human employees. </w:t>
      </w:r>
    </w:p>
    <w:p w:rsidR="001526AD" w:rsidRPr="00F47BF8" w:rsidP="00470E2D">
      <w:pPr>
        <w:spacing w:before="60" w:after="60" w:line="300" w:lineRule="auto"/>
        <w:jc w:val="both"/>
        <w:rPr>
          <w:rFonts w:cstheme="minorHAnsi"/>
        </w:rPr>
      </w:pPr>
    </w:p>
    <w:p w:rsidR="001526AD" w:rsidRPr="00F47BF8" w:rsidP="00470E2D">
      <w:pPr>
        <w:spacing w:before="60" w:after="60" w:line="300" w:lineRule="auto"/>
        <w:jc w:val="both"/>
        <w:rPr>
          <w:rFonts w:cstheme="minorHAnsi"/>
          <w:i/>
          <w:iCs/>
        </w:rPr>
      </w:pPr>
      <w:r w:rsidRPr="00F47BF8">
        <w:rPr>
          <w:rFonts w:cstheme="minorHAnsi"/>
          <w:i/>
          <w:iCs/>
        </w:rPr>
        <w:t> The introduction of tracking technology in a communication company caused a great deal of trouble for us, it was brought in alongside a new productivity system and aggregated data from many sources. Although the agreement on introduction stated it would not be used for disciplinary purposes, the implementation was very different.</w:t>
      </w:r>
    </w:p>
    <w:p w:rsidR="001526AD" w:rsidRPr="00F47BF8" w:rsidP="00470E2D">
      <w:pPr>
        <w:spacing w:before="60" w:after="60" w:line="300" w:lineRule="auto"/>
        <w:jc w:val="both"/>
        <w:rPr>
          <w:rFonts w:cstheme="minorHAnsi"/>
        </w:rPr>
      </w:pPr>
    </w:p>
    <w:p w:rsidR="001526AD" w:rsidRPr="00F47BF8" w:rsidP="00470E2D">
      <w:pPr>
        <w:spacing w:before="60" w:after="60" w:line="300" w:lineRule="auto"/>
        <w:jc w:val="both"/>
        <w:rPr>
          <w:rFonts w:cstheme="minorHAnsi"/>
        </w:rPr>
      </w:pPr>
      <w:r w:rsidRPr="00F47BF8">
        <w:rPr>
          <w:rFonts w:cstheme="minorHAnsi"/>
          <w:i/>
          <w:iCs/>
        </w:rPr>
        <w:t>Some early examples were almost humorous, such as workers being brought in to explain why they stopped at traffic lights. But soon as the computer generated reports highlighted time spent in the depo and simple matters of dignity were under attack such as workers being pressured not to use toilets in work time, not to make use of welfare facilities in order to game the report so that a managers red box turned to a green box on his report.  Later systems would direct technicians to specific work points by the machine, often it was incorrect and no match for years of experience and local knowledge, the company knew this and allowed deviation whilst it worked -  but if for any reason your productivity was low your failure to follow the machines commands was noted and then monitored as you started a plan to improve or be exited from the business.</w:t>
      </w:r>
    </w:p>
    <w:p w:rsidR="001526AD" w:rsidRPr="00F47BF8" w:rsidP="00470E2D">
      <w:pPr>
        <w:spacing w:before="60" w:after="60" w:line="300" w:lineRule="auto"/>
        <w:jc w:val="both"/>
        <w:rPr>
          <w:rFonts w:cstheme="minorHAnsi"/>
        </w:rPr>
      </w:pPr>
      <w:r w:rsidRPr="00F47BF8">
        <w:rPr>
          <w:rFonts w:cstheme="minorHAnsi"/>
          <w:i/>
          <w:iCs/>
        </w:rPr>
        <w:t> </w:t>
      </w:r>
    </w:p>
    <w:p w:rsidR="001526AD" w:rsidRPr="00F47BF8" w:rsidP="00470E2D">
      <w:pPr>
        <w:spacing w:before="60" w:after="60" w:line="300" w:lineRule="auto"/>
        <w:jc w:val="both"/>
        <w:rPr>
          <w:rFonts w:cstheme="minorHAnsi"/>
        </w:rPr>
      </w:pPr>
      <w:r w:rsidRPr="00F47BF8">
        <w:rPr>
          <w:rFonts w:cstheme="minorHAnsi"/>
          <w:i/>
          <w:iCs/>
        </w:rPr>
        <w:t>One system recently under consideration by a broadband provider was an inwards facing vehicle camera, with the ability to allow managers to view a video stream, listen to conversations and use AI to text managers if it detected you holding a mobile phone, or report you for yawning. Offers by the union to accept forward facing and vehicle reversing cameras were declined without us accepting AI employee surveillance camera – despite assurances that the scheme was going to be introduced for employee and public safety. The company were not able to provide any examples or statistics to show the safety issue they were addressing or how the technology could help. This scheme was quickly abandoned when the union notified staff and announced a campaign against the intrusive technology.</w:t>
      </w:r>
    </w:p>
    <w:p w:rsidR="001526AD" w:rsidRPr="00F47BF8" w:rsidP="00470E2D">
      <w:pPr>
        <w:spacing w:before="60" w:after="60" w:line="300" w:lineRule="auto"/>
        <w:jc w:val="both"/>
        <w:rPr>
          <w:rFonts w:cstheme="minorHAnsi"/>
        </w:rPr>
      </w:pPr>
      <w:r w:rsidRPr="00F47BF8">
        <w:rPr>
          <w:rFonts w:cstheme="minorHAnsi"/>
          <w:i/>
          <w:iCs/>
        </w:rPr>
        <w:t> </w:t>
      </w:r>
    </w:p>
    <w:p w:rsidR="001526AD" w:rsidRPr="00F47BF8" w:rsidP="00470E2D">
      <w:pPr>
        <w:spacing w:before="60" w:after="60" w:line="300" w:lineRule="auto"/>
        <w:jc w:val="both"/>
        <w:rPr>
          <w:rFonts w:cstheme="minorHAnsi"/>
        </w:rPr>
      </w:pPr>
      <w:r w:rsidRPr="00F47BF8">
        <w:rPr>
          <w:rFonts w:cstheme="minorHAnsi"/>
          <w:i/>
          <w:iCs/>
        </w:rPr>
        <w:t xml:space="preserve">AI tools can also provide a real-time assessment of your conversations, call centre workers working under these conditions in Wales reported being measured on speaking too slowly, speaking too fast, told to pause more or don’t pause so long amongst a myriad of other metrics this AI measured and ranked them emotionally quantifying their empathy and positivity. Some members have reported losing around £500 per month for not </w:t>
      </w:r>
      <w:r w:rsidRPr="00F47BF8">
        <w:rPr>
          <w:rFonts w:cstheme="minorHAnsi"/>
          <w:i/>
          <w:iCs/>
        </w:rPr>
        <w:t>using key words or not trying to up sell products on calls where a human knows the customer is not interested in sales.”</w:t>
      </w:r>
    </w:p>
    <w:p w:rsidR="001526AD" w:rsidRPr="00F47BF8" w:rsidP="00470E2D">
      <w:pPr>
        <w:spacing w:before="60" w:after="60" w:line="300" w:lineRule="auto"/>
        <w:jc w:val="both"/>
        <w:rPr>
          <w:rFonts w:cstheme="minorHAnsi"/>
        </w:rPr>
      </w:pPr>
    </w:p>
    <w:p w:rsidR="001526AD" w:rsidP="0010583A">
      <w:pPr>
        <w:spacing w:after="200" w:line="276" w:lineRule="auto"/>
        <w:rPr>
          <w:rFonts w:cstheme="minorHAnsi"/>
        </w:rPr>
      </w:pPr>
      <w:r>
        <w:rPr>
          <w:rFonts w:cstheme="minorHAnsi"/>
        </w:rPr>
        <w:br w:type="page"/>
      </w:r>
    </w:p>
    <w:p w:rsidR="001526AD" w:rsidRPr="004828F3" w:rsidP="001D0918">
      <w:pPr>
        <w:spacing w:after="200" w:line="276" w:lineRule="auto"/>
        <w:rPr>
          <w:rFonts w:cstheme="minorHAnsi"/>
          <w:b/>
          <w:bCs/>
        </w:rPr>
      </w:pPr>
      <w:r w:rsidRPr="004828F3">
        <w:rPr>
          <w:rFonts w:cstheme="minorHAnsi"/>
          <w:b/>
          <w:bCs/>
        </w:rPr>
        <w:t>Appendix 2</w:t>
      </w:r>
    </w:p>
    <w:p w:rsidR="001526AD" w:rsidRPr="00972986" w:rsidP="001D0918">
      <w:pPr>
        <w:spacing w:after="200" w:line="276" w:lineRule="auto"/>
        <w:rPr>
          <w:rFonts w:cstheme="minorHAnsi"/>
          <w:lang w:eastAsia="en-US"/>
        </w:rPr>
      </w:pPr>
      <w:r w:rsidRPr="004F3FC0">
        <w:rPr>
          <w:rFonts w:cstheme="minorHAnsi"/>
          <w:b/>
          <w:bCs/>
        </w:rPr>
        <w:t>T</w:t>
      </w:r>
      <w:r w:rsidRPr="004F3FC0">
        <w:rPr>
          <w:rFonts w:cstheme="minorHAnsi"/>
          <w:b/>
          <w:bCs/>
          <w:color w:val="000000" w:themeColor="text1"/>
          <w:lang w:eastAsia="en-GB"/>
        </w:rPr>
        <w:t>h</w:t>
      </w:r>
      <w:r w:rsidRPr="00972986">
        <w:rPr>
          <w:rFonts w:cstheme="minorHAnsi"/>
          <w:b/>
          <w:bCs/>
          <w:color w:val="000000" w:themeColor="text1"/>
          <w:lang w:eastAsia="en-GB"/>
        </w:rPr>
        <w:t>e distribution of obligations under the UK GDPR</w:t>
      </w:r>
    </w:p>
    <w:p w:rsidR="001526AD" w:rsidRPr="004F3FC0" w:rsidP="004F3FC0">
      <w:pPr>
        <w:pStyle w:val="BWBLevel2"/>
        <w:rPr>
          <w:rFonts w:asciiTheme="minorHAnsi" w:hAnsiTheme="minorHAnsi" w:cstheme="minorHAnsi"/>
        </w:rPr>
      </w:pPr>
      <w:r w:rsidRPr="004F3FC0">
        <w:rPr>
          <w:rFonts w:asciiTheme="minorHAnsi" w:hAnsiTheme="minorHAnsi" w:cstheme="minorHAnsi"/>
          <w:sz w:val="22"/>
        </w:rPr>
        <w:t>It is important to note that the human rights analysis under data protection law (e.g. fairness, transparency, legal basis for processing and accountability etc as discussed below) falls on the controller of the personal data, that is to say, the organisation that decides the “means and the purposes” of the processing of personal data</w:t>
      </w:r>
      <w:r>
        <w:rPr>
          <w:rStyle w:val="FootnoteReference"/>
          <w:rFonts w:asciiTheme="minorHAnsi" w:hAnsiTheme="minorHAnsi" w:cstheme="minorHAnsi"/>
          <w:sz w:val="22"/>
        </w:rPr>
        <w:footnoteReference w:id="49"/>
      </w:r>
      <w:r w:rsidRPr="004F3FC0">
        <w:rPr>
          <w:rFonts w:asciiTheme="minorHAnsi" w:hAnsiTheme="minorHAnsi" w:cstheme="minorHAnsi"/>
          <w:sz w:val="22"/>
        </w:rPr>
        <w:t>. The processor of the data merely acts on the controller’s instructions</w:t>
      </w:r>
      <w:r>
        <w:rPr>
          <w:rStyle w:val="FootnoteReference"/>
          <w:rFonts w:asciiTheme="minorHAnsi" w:hAnsiTheme="minorHAnsi" w:cstheme="minorHAnsi"/>
          <w:sz w:val="22"/>
        </w:rPr>
        <w:footnoteReference w:id="50"/>
      </w:r>
      <w:r w:rsidRPr="004F3FC0">
        <w:rPr>
          <w:rFonts w:asciiTheme="minorHAnsi" w:hAnsiTheme="minorHAnsi" w:cstheme="minorHAnsi"/>
          <w:sz w:val="22"/>
        </w:rPr>
        <w:t xml:space="preserve"> and has fewer responsibilities under the legislation</w:t>
      </w:r>
      <w:r w:rsidRPr="004F3FC0">
        <w:rPr>
          <w:rFonts w:asciiTheme="minorHAnsi" w:hAnsiTheme="minorHAnsi" w:cstheme="minorHAnsi"/>
        </w:rPr>
        <w:t xml:space="preserve">. </w:t>
      </w:r>
    </w:p>
    <w:p w:rsidR="001526AD" w:rsidRPr="004F3FC0" w:rsidP="001D0918">
      <w:pPr>
        <w:pStyle w:val="BWBLevel2"/>
        <w:rPr>
          <w:rFonts w:asciiTheme="minorHAnsi" w:hAnsiTheme="minorHAnsi" w:cstheme="minorHAnsi"/>
          <w:sz w:val="22"/>
        </w:rPr>
      </w:pPr>
      <w:r w:rsidRPr="004F3FC0">
        <w:rPr>
          <w:rFonts w:asciiTheme="minorHAnsi" w:hAnsiTheme="minorHAnsi" w:cstheme="minorHAnsi"/>
          <w:sz w:val="22"/>
        </w:rPr>
        <w:t>The distinction between controllers and processors in the context of new technologies is problematic. In our experience some developers of the technology hold themselves out as processors.</w:t>
      </w:r>
      <w:r>
        <w:rPr>
          <w:rStyle w:val="FootnoteReference"/>
          <w:rFonts w:asciiTheme="minorHAnsi" w:hAnsiTheme="minorHAnsi" w:cstheme="minorHAnsi"/>
          <w:sz w:val="22"/>
        </w:rPr>
        <w:footnoteReference w:id="51"/>
      </w:r>
      <w:r w:rsidRPr="004F3FC0">
        <w:rPr>
          <w:rFonts w:asciiTheme="minorHAnsi" w:hAnsiTheme="minorHAnsi" w:cstheme="minorHAnsi"/>
          <w:sz w:val="22"/>
        </w:rPr>
        <w:t xml:space="preserve">  This means that they do not have direct responsibility for conducting the human rights analysis in relation to the technology they are developing. Instead, this analysis becomes the responsibility of the organisations who are buying their systems (ie the controllers).  For example, a developer may have created technology that evaluates employee performance, but if it holds itself out as a processor</w:t>
      </w:r>
      <w:r>
        <w:rPr>
          <w:rFonts w:asciiTheme="minorHAnsi" w:hAnsiTheme="minorHAnsi" w:cstheme="minorHAnsi"/>
          <w:sz w:val="22"/>
        </w:rPr>
        <w:t>,</w:t>
      </w:r>
      <w:r w:rsidRPr="004F3FC0">
        <w:rPr>
          <w:rFonts w:asciiTheme="minorHAnsi" w:hAnsiTheme="minorHAnsi" w:cstheme="minorHAnsi"/>
          <w:sz w:val="22"/>
        </w:rPr>
        <w:t xml:space="preserve"> the task for evaluating the human rights implications of using the system will fall to the business which is buying it.  SMEs (which often do not have a dedicated legal and technical team) will find it challenging to understand the technology sufficiently to conduct the human rights analysis. This creates potential gaps in protection for individuals, as discussed below.</w:t>
      </w:r>
      <w:r>
        <w:rPr>
          <w:rStyle w:val="FootnoteReference"/>
          <w:rFonts w:asciiTheme="minorHAnsi" w:hAnsiTheme="minorHAnsi" w:cstheme="minorHAnsi"/>
          <w:sz w:val="22"/>
        </w:rPr>
        <w:footnoteReference w:id="52"/>
      </w:r>
    </w:p>
    <w:p w:rsidR="001526AD" w:rsidRPr="00F47BF8" w:rsidP="004F3FC0">
      <w:pPr>
        <w:pStyle w:val="BWBBullet1"/>
        <w:numPr>
          <w:ilvl w:val="0"/>
          <w:numId w:val="0"/>
        </w:numPr>
        <w:ind w:left="879"/>
        <w:jc w:val="both"/>
        <w:rPr>
          <w:rFonts w:asciiTheme="minorHAnsi" w:eastAsiaTheme="minorEastAsia" w:hAnsiTheme="minorHAnsi" w:cstheme="minorHAnsi"/>
          <w:sz w:val="22"/>
        </w:rPr>
      </w:pPr>
      <w:r w:rsidRPr="00F47BF8">
        <w:rPr>
          <w:rFonts w:asciiTheme="minorHAnsi" w:eastAsiaTheme="minorEastAsia" w:hAnsiTheme="minorHAnsi" w:cstheme="minorHAnsi"/>
          <w:b/>
          <w:bCs/>
          <w:sz w:val="22"/>
          <w:lang w:eastAsia="zh-CN"/>
        </w:rPr>
        <w:t>The data protection principles</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The central principles under data protection law are that personal data should be processed fairly, lawfully and transparently in relation to the data subject</w:t>
      </w:r>
      <w:r>
        <w:rPr>
          <w:rFonts w:asciiTheme="minorHAnsi" w:hAnsiTheme="minorHAnsi" w:cstheme="minorHAnsi"/>
          <w:sz w:val="22"/>
        </w:rPr>
        <w:t xml:space="preserve"> (see Article 5(1)(a) of the UK GDPR)</w:t>
      </w:r>
      <w:r w:rsidRPr="00F47BF8">
        <w:rPr>
          <w:rFonts w:asciiTheme="minorHAnsi" w:hAnsiTheme="minorHAnsi" w:cstheme="minorHAnsi"/>
          <w:sz w:val="22"/>
        </w:rPr>
        <w:t>.</w:t>
      </w:r>
      <w:r w:rsidRPr="008932E5">
        <w:rPr>
          <w:rFonts w:asciiTheme="minorHAnsi" w:hAnsiTheme="minorHAnsi" w:cstheme="minorHAnsi"/>
          <w:sz w:val="22"/>
          <w:vertAlign w:val="superscript"/>
        </w:rPr>
        <w:t xml:space="preserve"> </w:t>
      </w:r>
      <w:r w:rsidRPr="00F47BF8">
        <w:rPr>
          <w:rFonts w:asciiTheme="minorHAnsi" w:hAnsiTheme="minorHAnsi" w:cstheme="minorHAnsi"/>
          <w:sz w:val="22"/>
        </w:rPr>
        <w:t xml:space="preserve"> Other key principles are accountability, security and purpose limitation. </w:t>
      </w:r>
      <w:r>
        <w:rPr>
          <w:rFonts w:asciiTheme="minorHAnsi" w:hAnsiTheme="minorHAnsi" w:cstheme="minorHAnsi"/>
          <w:sz w:val="22"/>
        </w:rPr>
        <w:t xml:space="preserve"> </w:t>
      </w:r>
      <w:r w:rsidRPr="00F47BF8">
        <w:rPr>
          <w:rFonts w:asciiTheme="minorHAnsi" w:hAnsiTheme="minorHAnsi" w:cstheme="minorHAnsi"/>
          <w:sz w:val="22"/>
        </w:rPr>
        <w:t>An examination of the data protection principles and how they apply in the context of AI is set out below.</w:t>
      </w:r>
    </w:p>
    <w:p w:rsidR="001526AD" w:rsidRPr="000C6D1D" w:rsidP="001D0918">
      <w:pPr>
        <w:pStyle w:val="BWBBullet1"/>
        <w:numPr>
          <w:ilvl w:val="1"/>
          <w:numId w:val="10"/>
        </w:numPr>
        <w:jc w:val="both"/>
        <w:rPr>
          <w:rFonts w:asciiTheme="minorHAnsi" w:eastAsiaTheme="minorEastAsia" w:hAnsiTheme="minorHAnsi" w:cstheme="minorHAnsi"/>
          <w:b/>
          <w:bCs/>
          <w:sz w:val="22"/>
          <w:lang w:eastAsia="zh-CN"/>
        </w:rPr>
      </w:pPr>
      <w:r w:rsidRPr="000C6D1D">
        <w:rPr>
          <w:rFonts w:asciiTheme="minorHAnsi" w:eastAsiaTheme="minorEastAsia" w:hAnsiTheme="minorHAnsi" w:cstheme="minorHAnsi"/>
          <w:b/>
          <w:bCs/>
          <w:sz w:val="22"/>
        </w:rPr>
        <w:t>Fairness</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There is no definition of fairness in either the UK or the EU GDPR. Recital 60 states that “</w:t>
      </w:r>
      <w:r w:rsidRPr="00077203">
        <w:rPr>
          <w:rFonts w:asciiTheme="minorHAnsi" w:hAnsiTheme="minorHAnsi" w:cstheme="minorHAnsi"/>
          <w:i/>
          <w:iCs/>
          <w:sz w:val="22"/>
        </w:rPr>
        <w:t>The principles of fair and transparent processing require that the data subject be informed of the existence of the processing operation and its purposes. The controller should provide the data subject with any further information necessary to ensure fair and transparent processing taking into account the specific circumstances and context in which the personal data are processed.</w:t>
      </w:r>
      <w:r w:rsidRPr="00F47BF8">
        <w:rPr>
          <w:rFonts w:asciiTheme="minorHAnsi" w:hAnsiTheme="minorHAnsi" w:cstheme="minorHAnsi"/>
          <w:sz w:val="22"/>
        </w:rPr>
        <w:t>”   Guidance from the I</w:t>
      </w:r>
      <w:r>
        <w:rPr>
          <w:rFonts w:asciiTheme="minorHAnsi" w:hAnsiTheme="minorHAnsi" w:cstheme="minorHAnsi"/>
          <w:sz w:val="22"/>
        </w:rPr>
        <w:t>CO</w:t>
      </w:r>
      <w:r w:rsidRPr="00F47BF8">
        <w:rPr>
          <w:rFonts w:asciiTheme="minorHAnsi" w:hAnsiTheme="minorHAnsi" w:cstheme="minorHAnsi"/>
          <w:sz w:val="22"/>
        </w:rPr>
        <w:t xml:space="preserve"> explains the concept as follows “</w:t>
      </w:r>
      <w:r w:rsidRPr="00077203">
        <w:rPr>
          <w:rFonts w:asciiTheme="minorHAnsi" w:hAnsiTheme="minorHAnsi" w:cstheme="minorHAnsi"/>
          <w:i/>
          <w:iCs/>
          <w:sz w:val="22"/>
        </w:rPr>
        <w:t>You must use personal data in a way that is fair. This means you must not process the data in a way that is unduly detrimental, unexpected or misleading to the individuals concerned. You must be clear, open and honest with people from the start about how you will use their personal data.</w:t>
      </w:r>
      <w:r w:rsidRPr="00F47BF8">
        <w:rPr>
          <w:rFonts w:asciiTheme="minorHAnsi" w:hAnsiTheme="minorHAnsi" w:cstheme="minorHAnsi"/>
          <w:sz w:val="22"/>
        </w:rPr>
        <w:t>”  A leading practitioner text on data protection law states that the use of automated decision-making systems in relation to data subjects raise</w:t>
      </w:r>
      <w:r>
        <w:rPr>
          <w:rFonts w:asciiTheme="minorHAnsi" w:hAnsiTheme="minorHAnsi" w:cstheme="minorHAnsi"/>
          <w:sz w:val="22"/>
        </w:rPr>
        <w:t>s</w:t>
      </w:r>
      <w:r w:rsidRPr="00F47BF8">
        <w:rPr>
          <w:rFonts w:asciiTheme="minorHAnsi" w:hAnsiTheme="minorHAnsi" w:cstheme="minorHAnsi"/>
          <w:sz w:val="22"/>
        </w:rPr>
        <w:t xml:space="preserve"> “</w:t>
      </w:r>
      <w:r w:rsidRPr="00077203">
        <w:rPr>
          <w:rFonts w:asciiTheme="minorHAnsi" w:hAnsiTheme="minorHAnsi" w:cstheme="minorHAnsi"/>
          <w:i/>
          <w:iCs/>
          <w:sz w:val="22"/>
        </w:rPr>
        <w:t>fundamental questions about balance and fairness</w:t>
      </w:r>
      <w:r w:rsidRPr="00F47BF8">
        <w:rPr>
          <w:rFonts w:asciiTheme="minorHAnsi" w:hAnsiTheme="minorHAnsi" w:cstheme="minorHAnsi"/>
          <w:sz w:val="22"/>
        </w:rPr>
        <w:t>.”</w:t>
      </w:r>
      <w:r>
        <w:rPr>
          <w:rStyle w:val="FootnoteReference"/>
          <w:rFonts w:asciiTheme="minorHAnsi" w:eastAsiaTheme="minorEastAsia" w:hAnsiTheme="minorHAnsi" w:cstheme="minorHAnsi"/>
          <w:sz w:val="22"/>
        </w:rPr>
        <w:footnoteReference w:id="53"/>
      </w:r>
      <w:r w:rsidRPr="00F47BF8">
        <w:rPr>
          <w:rFonts w:asciiTheme="minorHAnsi" w:hAnsiTheme="minorHAnsi" w:cstheme="minorHAnsi"/>
          <w:sz w:val="22"/>
        </w:rPr>
        <w:t xml:space="preserve">  Computer scientists have pointed out that understanding how complex models based on machine learning make decisions about individuals is challenging.</w:t>
      </w:r>
      <w:r w:rsidRPr="00F47BF8">
        <w:rPr>
          <w:rStyle w:val="FootnoteReference"/>
          <w:rFonts w:asciiTheme="minorHAnsi" w:eastAsiaTheme="minorEastAsia" w:hAnsiTheme="minorHAnsi" w:cstheme="minorHAnsi"/>
          <w:sz w:val="22"/>
        </w:rPr>
        <w:t xml:space="preserve"> </w:t>
      </w:r>
      <w:r>
        <w:rPr>
          <w:rStyle w:val="FootnoteReference"/>
          <w:rFonts w:asciiTheme="minorHAnsi" w:eastAsiaTheme="minorEastAsia" w:hAnsiTheme="minorHAnsi" w:cstheme="minorHAnsi"/>
          <w:sz w:val="22"/>
        </w:rPr>
        <w:footnoteReference w:id="54"/>
      </w:r>
      <w:r w:rsidRPr="00F47BF8">
        <w:rPr>
          <w:rFonts w:asciiTheme="minorHAnsi" w:hAnsiTheme="minorHAnsi" w:cstheme="minorHAnsi"/>
          <w:sz w:val="22"/>
        </w:rPr>
        <w:t xml:space="preserve"> This in turn creates significant problems in ascertaining whether automated decision-making is fair.</w:t>
      </w:r>
    </w:p>
    <w:p w:rsidR="001526AD" w:rsidRPr="00F47BF8" w:rsidP="001D0918">
      <w:pPr>
        <w:pStyle w:val="Normal0"/>
        <w:spacing w:line="300" w:lineRule="atLeast"/>
        <w:ind w:left="1440"/>
        <w:jc w:val="both"/>
        <w:rPr>
          <w:rFonts w:asciiTheme="minorHAnsi" w:eastAsiaTheme="minorEastAsia" w:hAnsiTheme="minorHAnsi" w:cstheme="minorHAnsi"/>
          <w:sz w:val="22"/>
          <w:szCs w:val="22"/>
          <w:lang w:val="en-GB"/>
        </w:rPr>
      </w:pPr>
    </w:p>
    <w:p w:rsidR="001526AD" w:rsidRPr="00077203" w:rsidP="001D0918">
      <w:pPr>
        <w:pStyle w:val="Normal0"/>
        <w:numPr>
          <w:ilvl w:val="1"/>
          <w:numId w:val="10"/>
        </w:numPr>
        <w:spacing w:line="300" w:lineRule="atLeast"/>
        <w:jc w:val="both"/>
        <w:rPr>
          <w:rFonts w:asciiTheme="minorHAnsi" w:eastAsiaTheme="minorEastAsia" w:hAnsiTheme="minorHAnsi" w:cstheme="minorHAnsi"/>
          <w:b/>
          <w:bCs/>
          <w:sz w:val="22"/>
          <w:szCs w:val="22"/>
          <w:lang w:val="en-GB"/>
        </w:rPr>
      </w:pPr>
      <w:r w:rsidRPr="00077203">
        <w:rPr>
          <w:rFonts w:asciiTheme="minorHAnsi" w:eastAsiaTheme="minorEastAsia" w:hAnsiTheme="minorHAnsi" w:cstheme="minorHAnsi"/>
          <w:b/>
          <w:bCs/>
          <w:sz w:val="22"/>
          <w:szCs w:val="22"/>
        </w:rPr>
        <w:t>Lawful processing</w:t>
      </w:r>
    </w:p>
    <w:p w:rsidR="001526AD" w:rsidRPr="00F47BF8" w:rsidP="001D0918">
      <w:pPr>
        <w:pStyle w:val="Normal0"/>
        <w:spacing w:line="300" w:lineRule="atLeast"/>
        <w:jc w:val="both"/>
        <w:rPr>
          <w:rFonts w:asciiTheme="minorHAnsi" w:eastAsiaTheme="minorEastAsia" w:hAnsiTheme="minorHAnsi" w:cstheme="minorHAnsi"/>
          <w:b/>
          <w:bCs/>
          <w:sz w:val="22"/>
          <w:szCs w:val="22"/>
        </w:rPr>
      </w:pP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In </w:t>
      </w:r>
      <w:r>
        <w:rPr>
          <w:rFonts w:asciiTheme="minorHAnsi" w:hAnsiTheme="minorHAnsi" w:cstheme="minorHAnsi"/>
          <w:sz w:val="22"/>
        </w:rPr>
        <w:t xml:space="preserve">order </w:t>
      </w:r>
      <w:r w:rsidRPr="00F47BF8">
        <w:rPr>
          <w:rFonts w:asciiTheme="minorHAnsi" w:hAnsiTheme="minorHAnsi" w:cstheme="minorHAnsi"/>
          <w:sz w:val="22"/>
        </w:rPr>
        <w:t xml:space="preserve">to </w:t>
      </w:r>
      <w:r>
        <w:rPr>
          <w:rFonts w:asciiTheme="minorHAnsi" w:hAnsiTheme="minorHAnsi" w:cstheme="minorHAnsi"/>
          <w:sz w:val="22"/>
        </w:rPr>
        <w:t>be lawful, the processing of personal data</w:t>
      </w:r>
      <w:r w:rsidRPr="00F47BF8">
        <w:rPr>
          <w:rFonts w:asciiTheme="minorHAnsi" w:hAnsiTheme="minorHAnsi" w:cstheme="minorHAnsi"/>
          <w:sz w:val="22"/>
        </w:rPr>
        <w:t xml:space="preserve"> must be generally lawful (e.g. not in breach of requirements of confidentiality) and meet a legal basis in Article 6 </w:t>
      </w:r>
      <w:r>
        <w:rPr>
          <w:rFonts w:asciiTheme="minorHAnsi" w:hAnsiTheme="minorHAnsi" w:cstheme="minorHAnsi"/>
          <w:sz w:val="22"/>
        </w:rPr>
        <w:t>of</w:t>
      </w:r>
      <w:r w:rsidRPr="00F47BF8">
        <w:rPr>
          <w:rFonts w:asciiTheme="minorHAnsi" w:hAnsiTheme="minorHAnsi" w:cstheme="minorHAnsi"/>
          <w:sz w:val="22"/>
        </w:rPr>
        <w:t xml:space="preserve"> the UK GDPR.  With the exception of the consent legal basis, all the legal bas</w:t>
      </w:r>
      <w:r>
        <w:rPr>
          <w:rFonts w:asciiTheme="minorHAnsi" w:hAnsiTheme="minorHAnsi" w:cstheme="minorHAnsi"/>
          <w:sz w:val="22"/>
        </w:rPr>
        <w:t>e</w:t>
      </w:r>
      <w:r w:rsidRPr="00F47BF8">
        <w:rPr>
          <w:rFonts w:asciiTheme="minorHAnsi" w:hAnsiTheme="minorHAnsi" w:cstheme="minorHAnsi"/>
          <w:sz w:val="22"/>
        </w:rPr>
        <w:t xml:space="preserve">s in </w:t>
      </w:r>
      <w:r>
        <w:rPr>
          <w:rFonts w:asciiTheme="minorHAnsi" w:hAnsiTheme="minorHAnsi" w:cstheme="minorHAnsi"/>
          <w:sz w:val="22"/>
        </w:rPr>
        <w:t>A</w:t>
      </w:r>
      <w:r w:rsidRPr="00F47BF8">
        <w:rPr>
          <w:rFonts w:asciiTheme="minorHAnsi" w:hAnsiTheme="minorHAnsi" w:cstheme="minorHAnsi"/>
          <w:sz w:val="22"/>
        </w:rPr>
        <w:t>rticle 6 require that the processing is “necessary”.  As set out above, the necessity test imports a human rights balancing test.  Assessing whether the use of an AI system is proportionate can be particularly difficult for controllers, given the problem of inaccuracy and the potential consequences for individuals.</w:t>
      </w:r>
      <w:r>
        <w:rPr>
          <w:rStyle w:val="FootnoteReference"/>
          <w:rFonts w:asciiTheme="minorHAnsi" w:eastAsiaTheme="minorEastAsia" w:hAnsiTheme="minorHAnsi" w:cstheme="minorHAnsi"/>
          <w:sz w:val="22"/>
        </w:rPr>
        <w:footnoteReference w:id="55"/>
      </w:r>
      <w:r>
        <w:rPr>
          <w:rFonts w:asciiTheme="minorHAnsi" w:hAnsiTheme="minorHAnsi" w:cstheme="minorHAnsi"/>
          <w:sz w:val="22"/>
        </w:rPr>
        <w:t xml:space="preserve">  Further, where the developer of the AI system states they are the processor then the responsibility for ensuring that the processing is lawful rests with the controller rather than with them.</w:t>
      </w:r>
      <w:r w:rsidRPr="00F47BF8">
        <w:rPr>
          <w:rFonts w:asciiTheme="minorHAnsi" w:hAnsiTheme="minorHAnsi" w:cstheme="minorHAnsi"/>
          <w:sz w:val="22"/>
        </w:rPr>
        <w:t xml:space="preserve"> </w:t>
      </w:r>
    </w:p>
    <w:p w:rsidR="001526AD" w:rsidRPr="00F47BF8" w:rsidP="001D0918">
      <w:pPr>
        <w:pStyle w:val="Normal0"/>
        <w:spacing w:line="300" w:lineRule="atLeast"/>
        <w:ind w:left="1440"/>
        <w:jc w:val="both"/>
        <w:rPr>
          <w:rFonts w:asciiTheme="minorHAnsi" w:eastAsiaTheme="minorEastAsia" w:hAnsiTheme="minorHAnsi" w:cstheme="minorHAnsi"/>
          <w:sz w:val="22"/>
          <w:szCs w:val="22"/>
        </w:rPr>
      </w:pPr>
    </w:p>
    <w:p w:rsidR="001526AD" w:rsidRPr="00077F26" w:rsidP="001D0918">
      <w:pPr>
        <w:pStyle w:val="Normal0"/>
        <w:numPr>
          <w:ilvl w:val="1"/>
          <w:numId w:val="10"/>
        </w:numPr>
        <w:spacing w:line="300" w:lineRule="atLeast"/>
        <w:jc w:val="both"/>
        <w:rPr>
          <w:rFonts w:asciiTheme="minorHAnsi" w:eastAsiaTheme="minorEastAsia" w:hAnsiTheme="minorHAnsi" w:cstheme="minorHAnsi"/>
          <w:b/>
          <w:bCs/>
          <w:sz w:val="22"/>
          <w:szCs w:val="22"/>
        </w:rPr>
      </w:pPr>
      <w:r w:rsidRPr="00077F26">
        <w:rPr>
          <w:rFonts w:asciiTheme="minorHAnsi" w:eastAsiaTheme="minorEastAsia" w:hAnsiTheme="minorHAnsi" w:cstheme="minorHAnsi"/>
          <w:b/>
          <w:bCs/>
          <w:sz w:val="22"/>
          <w:szCs w:val="22"/>
        </w:rPr>
        <w:t>Transparency</w:t>
      </w:r>
    </w:p>
    <w:p w:rsidR="001526AD" w:rsidRPr="00F47BF8" w:rsidP="001D0918">
      <w:pPr>
        <w:pStyle w:val="Normal0"/>
        <w:spacing w:line="300" w:lineRule="atLeast"/>
        <w:jc w:val="both"/>
        <w:rPr>
          <w:rFonts w:asciiTheme="minorHAnsi" w:eastAsiaTheme="minorEastAsia" w:hAnsiTheme="minorHAnsi" w:cstheme="minorHAnsi"/>
          <w:b/>
          <w:bCs/>
          <w:sz w:val="22"/>
          <w:szCs w:val="22"/>
        </w:rPr>
      </w:pPr>
    </w:p>
    <w:p w:rsidR="001526AD" w:rsidRPr="00754164" w:rsidP="001D0918">
      <w:pPr>
        <w:pStyle w:val="BWBLevel2"/>
        <w:rPr>
          <w:rFonts w:asciiTheme="minorHAnsi" w:hAnsiTheme="minorHAnsi" w:cstheme="minorHAnsi"/>
          <w:sz w:val="22"/>
          <w:lang w:val="en-US"/>
        </w:rPr>
      </w:pPr>
      <w:r w:rsidRPr="00F47BF8">
        <w:rPr>
          <w:rStyle w:val="cf01"/>
          <w:rFonts w:asciiTheme="minorHAnsi" w:eastAsiaTheme="minorEastAsia" w:hAnsiTheme="minorHAnsi" w:cstheme="minorHAnsi"/>
          <w:sz w:val="22"/>
          <w:szCs w:val="22"/>
        </w:rPr>
        <w:t xml:space="preserve">The transparency principle overlaps with the principle of fairness. </w:t>
      </w:r>
      <w:r>
        <w:rPr>
          <w:rStyle w:val="cf01"/>
          <w:rFonts w:asciiTheme="minorHAnsi" w:eastAsiaTheme="minorEastAsia" w:hAnsiTheme="minorHAnsi" w:cstheme="minorHAnsi"/>
          <w:sz w:val="22"/>
          <w:szCs w:val="22"/>
        </w:rPr>
        <w:t xml:space="preserve"> The controller must explain how personal data </w:t>
      </w:r>
      <w:r>
        <w:rPr>
          <w:rStyle w:val="cf01"/>
          <w:rFonts w:asciiTheme="minorHAnsi" w:hAnsiTheme="minorHAnsi" w:cstheme="minorHAnsi"/>
          <w:sz w:val="22"/>
          <w:szCs w:val="22"/>
          <w:lang w:val="en-US"/>
        </w:rPr>
        <w:t xml:space="preserve">is being processed in a way which is </w:t>
      </w:r>
      <w:r w:rsidRPr="00754164">
        <w:rPr>
          <w:rStyle w:val="cf01"/>
          <w:rFonts w:asciiTheme="minorHAnsi" w:eastAsiaTheme="minorEastAsia" w:hAnsiTheme="minorHAnsi" w:cstheme="minorHAnsi"/>
          <w:sz w:val="22"/>
          <w:szCs w:val="22"/>
        </w:rPr>
        <w:t>“</w:t>
      </w:r>
      <w:r>
        <w:rPr>
          <w:rStyle w:val="cf01"/>
          <w:rFonts w:asciiTheme="minorHAnsi" w:eastAsiaTheme="minorEastAsia" w:hAnsiTheme="minorHAnsi" w:cstheme="minorHAnsi"/>
          <w:i/>
          <w:iCs/>
          <w:sz w:val="22"/>
          <w:szCs w:val="22"/>
        </w:rPr>
        <w:t>C</w:t>
      </w:r>
      <w:r w:rsidRPr="00754164">
        <w:rPr>
          <w:rStyle w:val="cf01"/>
          <w:rFonts w:asciiTheme="minorHAnsi" w:eastAsiaTheme="minorEastAsia" w:hAnsiTheme="minorHAnsi" w:cstheme="minorHAnsi"/>
          <w:i/>
          <w:iCs/>
          <w:sz w:val="22"/>
          <w:szCs w:val="22"/>
        </w:rPr>
        <w:t>onci</w:t>
      </w:r>
      <w:r w:rsidRPr="00754164">
        <w:rPr>
          <w:rFonts w:asciiTheme="minorHAnsi" w:hAnsiTheme="minorHAnsi" w:cstheme="minorHAnsi"/>
          <w:i/>
          <w:iCs/>
          <w:sz w:val="22"/>
          <w:lang w:val="en-US"/>
        </w:rPr>
        <w:t>se, easily accessible and easy to understand”.</w:t>
      </w:r>
      <w:r>
        <w:rPr>
          <w:rStyle w:val="FootnoteReference"/>
          <w:rFonts w:asciiTheme="minorHAnsi" w:hAnsiTheme="minorHAnsi" w:cstheme="minorHAnsi"/>
          <w:i/>
          <w:iCs/>
          <w:sz w:val="22"/>
          <w:lang w:val="en-US"/>
        </w:rPr>
        <w:footnoteReference w:id="56"/>
      </w:r>
      <w:r w:rsidRPr="00754164">
        <w:rPr>
          <w:rFonts w:asciiTheme="minorHAnsi" w:hAnsiTheme="minorHAnsi" w:cstheme="minorHAnsi"/>
          <w:i/>
          <w:iCs/>
          <w:sz w:val="22"/>
          <w:lang w:val="en-US"/>
        </w:rPr>
        <w:t xml:space="preserve"> </w:t>
      </w:r>
      <w:r w:rsidRPr="00754164">
        <w:rPr>
          <w:rFonts w:asciiTheme="minorHAnsi" w:hAnsiTheme="minorHAnsi" w:cstheme="minorHAnsi"/>
          <w:sz w:val="22"/>
          <w:lang w:val="en-US"/>
        </w:rPr>
        <w:t>Recital 58 confirms that this is</w:t>
      </w:r>
      <w:r w:rsidRPr="00754164">
        <w:rPr>
          <w:rFonts w:asciiTheme="minorHAnsi" w:hAnsiTheme="minorHAnsi" w:cstheme="minorHAnsi"/>
          <w:i/>
          <w:iCs/>
          <w:sz w:val="22"/>
          <w:lang w:val="en-US"/>
        </w:rPr>
        <w:t xml:space="preserve"> “of particular relevance in situations where the proliferation of actors and the technological complexity of practice make it difficult for the data subject to know and understand whether, by whom and for what purpose personal data relating to him or her are being collected</w:t>
      </w:r>
      <w:r w:rsidRPr="00754164">
        <w:rPr>
          <w:rFonts w:asciiTheme="minorHAnsi" w:hAnsiTheme="minorHAnsi" w:cstheme="minorHAnsi"/>
          <w:sz w:val="22"/>
          <w:lang w:val="en-US"/>
        </w:rPr>
        <w:t>”. The main way in which the transparency obligation is met is through the provision of a privacy notice. The requirements relating to privacy notices contain particular obligations in the context of automated decision-making which are discussed below</w:t>
      </w:r>
      <w:r>
        <w:rPr>
          <w:rFonts w:asciiTheme="minorHAnsi" w:hAnsiTheme="minorHAnsi" w:cstheme="minorHAnsi"/>
          <w:sz w:val="22"/>
          <w:lang w:val="en-US"/>
        </w:rPr>
        <w:t xml:space="preserve">.  In our experience privacy notices do not explain how complex systems such as AI work.  This is partly because the obligation to draft a privacy notice rests with controllers, many of whom have little </w:t>
      </w:r>
      <w:r>
        <w:rPr>
          <w:rFonts w:asciiTheme="minorHAnsi" w:hAnsiTheme="minorHAnsi" w:cstheme="minorHAnsi"/>
          <w:sz w:val="22"/>
          <w:lang w:val="en-US"/>
        </w:rPr>
        <w:t xml:space="preserve">understanding themselves of how the systems operate.  This creates gaps in protection for data subjects.    </w:t>
      </w:r>
    </w:p>
    <w:p w:rsidR="001526AD" w:rsidRPr="006E16D5" w:rsidP="001D0918">
      <w:pPr>
        <w:pStyle w:val="BWBBullet1"/>
        <w:numPr>
          <w:ilvl w:val="1"/>
          <w:numId w:val="10"/>
        </w:numPr>
        <w:jc w:val="both"/>
        <w:rPr>
          <w:rFonts w:asciiTheme="minorHAnsi" w:eastAsiaTheme="minorEastAsia" w:hAnsiTheme="minorHAnsi" w:cstheme="minorHAnsi"/>
          <w:b/>
          <w:bCs/>
          <w:sz w:val="22"/>
          <w:lang w:val="en-US"/>
        </w:rPr>
      </w:pPr>
      <w:r w:rsidRPr="006E16D5">
        <w:rPr>
          <w:rFonts w:asciiTheme="minorHAnsi" w:eastAsiaTheme="minorEastAsia" w:hAnsiTheme="minorHAnsi" w:cstheme="minorHAnsi"/>
          <w:b/>
          <w:bCs/>
          <w:sz w:val="22"/>
        </w:rPr>
        <w:t>Accuracy</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Article 5(1)(d) of the UK GDPR set</w:t>
      </w:r>
      <w:r>
        <w:rPr>
          <w:rFonts w:asciiTheme="minorHAnsi" w:hAnsiTheme="minorHAnsi" w:cstheme="minorHAnsi"/>
          <w:sz w:val="22"/>
        </w:rPr>
        <w:t>s</w:t>
      </w:r>
      <w:r w:rsidRPr="00F47BF8">
        <w:rPr>
          <w:rFonts w:asciiTheme="minorHAnsi" w:hAnsiTheme="minorHAnsi" w:cstheme="minorHAnsi"/>
          <w:sz w:val="22"/>
        </w:rPr>
        <w:t xml:space="preserve"> out that personal data should be accurate. Inaccurate personal data must be rectified. This principle can be challenging to comply with in the context of AI models. Computer scientists have written that algorithms have the potential to result in errors which “</w:t>
      </w:r>
      <w:r w:rsidRPr="006E16D5">
        <w:rPr>
          <w:rFonts w:asciiTheme="minorHAnsi" w:hAnsiTheme="minorHAnsi" w:cstheme="minorHAnsi"/>
          <w:i/>
          <w:iCs/>
          <w:sz w:val="22"/>
        </w:rPr>
        <w:t>entrench structural inequalities</w:t>
      </w:r>
      <w:r w:rsidRPr="00F47BF8">
        <w:rPr>
          <w:rFonts w:asciiTheme="minorHAnsi" w:hAnsiTheme="minorHAnsi" w:cstheme="minorHAnsi"/>
          <w:sz w:val="22"/>
        </w:rPr>
        <w:t>” and bias, due to the “</w:t>
      </w:r>
      <w:r w:rsidRPr="006E16D5">
        <w:rPr>
          <w:rFonts w:asciiTheme="minorHAnsi" w:hAnsiTheme="minorHAnsi" w:cstheme="minorHAnsi"/>
          <w:i/>
          <w:iCs/>
          <w:sz w:val="22"/>
        </w:rPr>
        <w:t>distribution of false positive and negative errors</w:t>
      </w:r>
      <w:r w:rsidRPr="00F47BF8">
        <w:rPr>
          <w:rFonts w:asciiTheme="minorHAnsi" w:hAnsiTheme="minorHAnsi" w:cstheme="minorHAnsi"/>
          <w:sz w:val="22"/>
        </w:rPr>
        <w:t>”.</w:t>
      </w:r>
      <w:r>
        <w:rPr>
          <w:rStyle w:val="FootnoteReference"/>
          <w:rFonts w:asciiTheme="minorHAnsi" w:eastAsiaTheme="minorEastAsia" w:hAnsiTheme="minorHAnsi" w:cstheme="minorHAnsi"/>
          <w:sz w:val="22"/>
        </w:rPr>
        <w:footnoteReference w:id="57"/>
      </w:r>
      <w:r w:rsidRPr="00F47BF8">
        <w:rPr>
          <w:rFonts w:asciiTheme="minorHAnsi" w:hAnsiTheme="minorHAnsi" w:cstheme="minorHAnsi"/>
          <w:sz w:val="22"/>
        </w:rPr>
        <w:t xml:space="preserve">  So for example, an algorithm may make an inaccurate prediction about an individual because their characteristics differ from the “general population” on whose data the relevant algorithms are trained.</w:t>
      </w:r>
      <w:r>
        <w:rPr>
          <w:rStyle w:val="FootnoteReference"/>
          <w:rFonts w:asciiTheme="minorHAnsi" w:eastAsiaTheme="minorEastAsia" w:hAnsiTheme="minorHAnsi" w:cstheme="minorHAnsi"/>
          <w:sz w:val="22"/>
        </w:rPr>
        <w:footnoteReference w:id="58"/>
      </w:r>
    </w:p>
    <w:p w:rsidR="001526AD" w:rsidRPr="006E16D5" w:rsidP="001D0918">
      <w:pPr>
        <w:pStyle w:val="BWBBullet1"/>
        <w:numPr>
          <w:ilvl w:val="1"/>
          <w:numId w:val="10"/>
        </w:numPr>
        <w:jc w:val="both"/>
        <w:rPr>
          <w:rFonts w:asciiTheme="minorHAnsi" w:eastAsiaTheme="minorEastAsia" w:hAnsiTheme="minorHAnsi" w:cstheme="minorHAnsi"/>
          <w:b/>
          <w:bCs/>
          <w:sz w:val="22"/>
        </w:rPr>
      </w:pPr>
      <w:r w:rsidRPr="006E16D5">
        <w:rPr>
          <w:rFonts w:asciiTheme="minorHAnsi" w:eastAsiaTheme="minorEastAsia" w:hAnsiTheme="minorHAnsi" w:cstheme="minorHAnsi"/>
          <w:b/>
          <w:bCs/>
          <w:sz w:val="22"/>
        </w:rPr>
        <w:t>Purpose limitation/data minimisation</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Article 5(1)(b) </w:t>
      </w:r>
      <w:r>
        <w:rPr>
          <w:rFonts w:asciiTheme="minorHAnsi" w:hAnsiTheme="minorHAnsi" w:cstheme="minorHAnsi"/>
          <w:sz w:val="22"/>
        </w:rPr>
        <w:t xml:space="preserve">of the UK GDPR </w:t>
      </w:r>
      <w:r w:rsidRPr="00F47BF8">
        <w:rPr>
          <w:rFonts w:asciiTheme="minorHAnsi" w:hAnsiTheme="minorHAnsi" w:cstheme="minorHAnsi"/>
          <w:sz w:val="22"/>
        </w:rPr>
        <w:t>set</w:t>
      </w:r>
      <w:r>
        <w:rPr>
          <w:rFonts w:asciiTheme="minorHAnsi" w:hAnsiTheme="minorHAnsi" w:cstheme="minorHAnsi"/>
          <w:sz w:val="22"/>
        </w:rPr>
        <w:t>s</w:t>
      </w:r>
      <w:r w:rsidRPr="00F47BF8">
        <w:rPr>
          <w:rFonts w:asciiTheme="minorHAnsi" w:hAnsiTheme="minorHAnsi" w:cstheme="minorHAnsi"/>
          <w:sz w:val="22"/>
        </w:rPr>
        <w:t xml:space="preserve"> out that personal data must be used only for the purposes for which it was originally collected, and not for any other purposes that are incompatible with those original purposes (purpose limitation principle)</w:t>
      </w:r>
      <w:r>
        <w:rPr>
          <w:rFonts w:asciiTheme="minorHAnsi" w:hAnsiTheme="minorHAnsi" w:cstheme="minorHAnsi"/>
          <w:sz w:val="22"/>
        </w:rPr>
        <w:t>.  Article 5(1)(c) of the UK GDPR states that p</w:t>
      </w:r>
      <w:r w:rsidRPr="00F47BF8">
        <w:rPr>
          <w:rFonts w:asciiTheme="minorHAnsi" w:hAnsiTheme="minorHAnsi" w:cstheme="minorHAnsi"/>
          <w:sz w:val="22"/>
        </w:rPr>
        <w:t xml:space="preserve">ersonal data </w:t>
      </w:r>
      <w:r>
        <w:rPr>
          <w:rFonts w:asciiTheme="minorHAnsi" w:hAnsiTheme="minorHAnsi" w:cstheme="minorHAnsi"/>
          <w:sz w:val="22"/>
        </w:rPr>
        <w:t xml:space="preserve">should be </w:t>
      </w:r>
      <w:r w:rsidRPr="00F47BF8">
        <w:rPr>
          <w:rFonts w:asciiTheme="minorHAnsi" w:hAnsiTheme="minorHAnsi" w:cstheme="minorHAnsi"/>
          <w:sz w:val="22"/>
        </w:rPr>
        <w:t>“</w:t>
      </w:r>
      <w:r w:rsidRPr="00D337FB">
        <w:rPr>
          <w:rFonts w:asciiTheme="minorHAnsi" w:hAnsiTheme="minorHAnsi" w:cstheme="minorHAnsi"/>
          <w:i/>
          <w:iCs/>
          <w:sz w:val="22"/>
        </w:rPr>
        <w:t>adequate, relevant and limited to what is necessary</w:t>
      </w:r>
      <w:r w:rsidRPr="00F47BF8">
        <w:rPr>
          <w:rFonts w:asciiTheme="minorHAnsi" w:hAnsiTheme="minorHAnsi" w:cstheme="minorHAnsi"/>
          <w:sz w:val="22"/>
        </w:rPr>
        <w:t>” for th</w:t>
      </w:r>
      <w:r>
        <w:rPr>
          <w:rFonts w:asciiTheme="minorHAnsi" w:hAnsiTheme="minorHAnsi" w:cstheme="minorHAnsi"/>
          <w:sz w:val="22"/>
        </w:rPr>
        <w:t xml:space="preserve">e </w:t>
      </w:r>
      <w:r w:rsidRPr="00F47BF8">
        <w:rPr>
          <w:rFonts w:asciiTheme="minorHAnsi" w:hAnsiTheme="minorHAnsi" w:cstheme="minorHAnsi"/>
          <w:sz w:val="22"/>
        </w:rPr>
        <w:t>purposes</w:t>
      </w:r>
      <w:r>
        <w:rPr>
          <w:rFonts w:asciiTheme="minorHAnsi" w:hAnsiTheme="minorHAnsi" w:cstheme="minorHAnsi"/>
          <w:sz w:val="22"/>
        </w:rPr>
        <w:t xml:space="preserve"> for which it was collected </w:t>
      </w:r>
      <w:r w:rsidRPr="00F47BF8">
        <w:rPr>
          <w:rFonts w:asciiTheme="minorHAnsi" w:hAnsiTheme="minorHAnsi" w:cstheme="minorHAnsi"/>
          <w:sz w:val="22"/>
        </w:rPr>
        <w:t xml:space="preserve">(data minimisation principle).  These principles present challenges </w:t>
      </w:r>
      <w:r>
        <w:rPr>
          <w:rFonts w:asciiTheme="minorHAnsi" w:hAnsiTheme="minorHAnsi" w:cstheme="minorHAnsi"/>
          <w:sz w:val="22"/>
        </w:rPr>
        <w:t>when</w:t>
      </w:r>
      <w:r w:rsidRPr="00F47BF8">
        <w:rPr>
          <w:rFonts w:asciiTheme="minorHAnsi" w:hAnsiTheme="minorHAnsi" w:cstheme="minorHAnsi"/>
          <w:sz w:val="22"/>
        </w:rPr>
        <w:t xml:space="preserve"> using mass data to develop AI models. </w:t>
      </w:r>
    </w:p>
    <w:p w:rsidR="001526AD" w:rsidRPr="00F47BF8" w:rsidP="001D0918">
      <w:pPr>
        <w:pStyle w:val="BWBLevel2"/>
        <w:rPr>
          <w:rFonts w:asciiTheme="minorHAnsi" w:hAnsiTheme="minorHAnsi" w:cstheme="minorHAnsi"/>
          <w:sz w:val="22"/>
        </w:rPr>
      </w:pPr>
      <w:r>
        <w:rPr>
          <w:rFonts w:asciiTheme="minorHAnsi" w:hAnsiTheme="minorHAnsi" w:cstheme="minorHAnsi"/>
          <w:sz w:val="22"/>
        </w:rPr>
        <w:t>In our experience AI providers often do not have a clear idea of how they are going to use personal data for training and developing AI models at the point at which they collect the data.</w:t>
      </w:r>
      <w:r>
        <w:rPr>
          <w:rStyle w:val="FootnoteReference"/>
          <w:rFonts w:asciiTheme="minorHAnsi" w:eastAsiaTheme="minorEastAsia" w:hAnsiTheme="minorHAnsi" w:cstheme="minorHAnsi"/>
          <w:sz w:val="22"/>
        </w:rPr>
        <w:footnoteReference w:id="59"/>
      </w:r>
      <w:r w:rsidRPr="00F47BF8">
        <w:rPr>
          <w:rFonts w:asciiTheme="minorHAnsi" w:hAnsiTheme="minorHAnsi" w:cstheme="minorHAnsi"/>
          <w:sz w:val="22"/>
        </w:rPr>
        <w:t xml:space="preserve"> </w:t>
      </w:r>
      <w:r>
        <w:rPr>
          <w:rFonts w:asciiTheme="minorHAnsi" w:hAnsiTheme="minorHAnsi" w:cstheme="minorHAnsi"/>
          <w:sz w:val="22"/>
        </w:rPr>
        <w:t xml:space="preserve">A </w:t>
      </w:r>
      <w:r w:rsidRPr="00F47BF8">
        <w:rPr>
          <w:rFonts w:asciiTheme="minorHAnsi" w:hAnsiTheme="minorHAnsi" w:cstheme="minorHAnsi"/>
          <w:sz w:val="22"/>
        </w:rPr>
        <w:t>study by the European Parliamentary Research Services</w:t>
      </w:r>
      <w:r>
        <w:rPr>
          <w:rFonts w:asciiTheme="minorHAnsi" w:hAnsiTheme="minorHAnsi" w:cstheme="minorHAnsi"/>
          <w:sz w:val="22"/>
        </w:rPr>
        <w:t xml:space="preserve"> underscores that</w:t>
      </w:r>
      <w:r w:rsidRPr="00F47BF8">
        <w:rPr>
          <w:rFonts w:asciiTheme="minorHAnsi" w:hAnsiTheme="minorHAnsi" w:cstheme="minorHAnsi"/>
          <w:sz w:val="22"/>
        </w:rPr>
        <w:t xml:space="preserve"> AI developers often reuse personal data previously collected for a different purpose to develop AI (e.g. using data collected for contract management to </w:t>
      </w:r>
      <w:r>
        <w:rPr>
          <w:rFonts w:asciiTheme="minorHAnsi" w:hAnsiTheme="minorHAnsi" w:cstheme="minorHAnsi"/>
          <w:sz w:val="22"/>
        </w:rPr>
        <w:t>map</w:t>
      </w:r>
      <w:r w:rsidRPr="00F47BF8">
        <w:rPr>
          <w:rFonts w:asciiTheme="minorHAnsi" w:hAnsiTheme="minorHAnsi" w:cstheme="minorHAnsi"/>
          <w:sz w:val="22"/>
        </w:rPr>
        <w:t xml:space="preserve"> consumer preferences for targeted advertising). This repurposing of data raises complex questions </w:t>
      </w:r>
      <w:r>
        <w:rPr>
          <w:rFonts w:asciiTheme="minorHAnsi" w:hAnsiTheme="minorHAnsi" w:cstheme="minorHAnsi"/>
          <w:sz w:val="22"/>
        </w:rPr>
        <w:t xml:space="preserve">about the </w:t>
      </w:r>
      <w:r w:rsidRPr="00F47BF8">
        <w:rPr>
          <w:rFonts w:asciiTheme="minorHAnsi" w:hAnsiTheme="minorHAnsi" w:cstheme="minorHAnsi"/>
          <w:sz w:val="22"/>
        </w:rPr>
        <w:t xml:space="preserve">extent </w:t>
      </w:r>
      <w:r>
        <w:rPr>
          <w:rFonts w:asciiTheme="minorHAnsi" w:hAnsiTheme="minorHAnsi" w:cstheme="minorHAnsi"/>
          <w:sz w:val="22"/>
        </w:rPr>
        <w:t xml:space="preserve">to which </w:t>
      </w:r>
      <w:r w:rsidRPr="00F47BF8">
        <w:rPr>
          <w:rFonts w:asciiTheme="minorHAnsi" w:hAnsiTheme="minorHAnsi" w:cstheme="minorHAnsi"/>
          <w:sz w:val="22"/>
        </w:rPr>
        <w:t>using personal data in developing AI is ”compatible” with the purposes for which it was previously collected.</w:t>
      </w:r>
      <w:r>
        <w:rPr>
          <w:rStyle w:val="FootnoteReference"/>
          <w:rFonts w:asciiTheme="minorHAnsi" w:eastAsiaTheme="minorEastAsia" w:hAnsiTheme="minorHAnsi" w:cstheme="minorHAnsi"/>
          <w:sz w:val="22"/>
        </w:rPr>
        <w:footnoteReference w:id="60"/>
      </w:r>
      <w:r w:rsidRPr="00F47BF8">
        <w:rPr>
          <w:rFonts w:asciiTheme="minorHAnsi" w:hAnsiTheme="minorHAnsi" w:cstheme="minorHAnsi"/>
          <w:sz w:val="22"/>
        </w:rPr>
        <w:t xml:space="preserve"> </w:t>
      </w:r>
    </w:p>
    <w:p w:rsidR="001526AD" w:rsidRPr="00F47BF8" w:rsidP="001D0918">
      <w:pPr>
        <w:pStyle w:val="BWBLevel2"/>
        <w:rPr>
          <w:rFonts w:asciiTheme="minorHAnsi" w:hAnsiTheme="minorHAnsi" w:cstheme="minorHAnsi"/>
          <w:color w:val="333333"/>
          <w:sz w:val="22"/>
        </w:rPr>
      </w:pPr>
      <w:r w:rsidRPr="00F47BF8">
        <w:rPr>
          <w:rFonts w:asciiTheme="minorHAnsi" w:hAnsiTheme="minorHAnsi" w:cstheme="minorHAnsi"/>
          <w:sz w:val="22"/>
        </w:rPr>
        <w:t xml:space="preserve">The principle of data minimisation presents a challenge when applied to big data and AI training. </w:t>
      </w:r>
      <w:r>
        <w:rPr>
          <w:rFonts w:asciiTheme="minorHAnsi" w:hAnsiTheme="minorHAnsi" w:cstheme="minorHAnsi"/>
          <w:sz w:val="22"/>
        </w:rPr>
        <w:t xml:space="preserve">Commentators have pointed out that </w:t>
      </w:r>
      <w:r w:rsidRPr="00F47BF8">
        <w:rPr>
          <w:rFonts w:asciiTheme="minorHAnsi" w:hAnsiTheme="minorHAnsi" w:cstheme="minorHAnsi"/>
          <w:sz w:val="22"/>
        </w:rPr>
        <w:t xml:space="preserve">the data minimisation principle and the requirement that data must be “adequate, relevant and limited to what is necessary” is based on </w:t>
      </w:r>
      <w:r>
        <w:rPr>
          <w:rFonts w:asciiTheme="minorHAnsi" w:hAnsiTheme="minorHAnsi" w:cstheme="minorHAnsi"/>
          <w:sz w:val="22"/>
        </w:rPr>
        <w:t xml:space="preserve">the presumption that </w:t>
      </w:r>
      <w:r w:rsidRPr="00F47BF8">
        <w:rPr>
          <w:rFonts w:asciiTheme="minorHAnsi" w:hAnsiTheme="minorHAnsi" w:cstheme="minorHAnsi"/>
          <w:sz w:val="22"/>
        </w:rPr>
        <w:t>“</w:t>
      </w:r>
      <w:r w:rsidRPr="00F47BF8">
        <w:rPr>
          <w:rFonts w:asciiTheme="minorHAnsi" w:hAnsiTheme="minorHAnsi" w:cstheme="minorHAnsi"/>
          <w:color w:val="333333"/>
          <w:sz w:val="22"/>
        </w:rPr>
        <w:t xml:space="preserve">the individual steps of data processing and the data processed can be identified” in order to determine compliance. This becomes problematic where AI models are trained on big data, </w:t>
      </w:r>
      <w:r w:rsidRPr="00F47BF8">
        <w:rPr>
          <w:rFonts w:asciiTheme="minorHAnsi" w:hAnsiTheme="minorHAnsi" w:cstheme="minorHAnsi"/>
          <w:color w:val="333333"/>
          <w:sz w:val="22"/>
        </w:rPr>
        <w:t>because it is “impossible to manually identify or even review whether data processing complies with legal requirements”.</w:t>
      </w:r>
      <w:r>
        <w:rPr>
          <w:rStyle w:val="FootnoteReference"/>
          <w:rFonts w:asciiTheme="minorHAnsi" w:eastAsiaTheme="minorEastAsia" w:hAnsiTheme="minorHAnsi" w:cstheme="minorHAnsi"/>
          <w:color w:val="333333"/>
          <w:sz w:val="22"/>
        </w:rPr>
        <w:footnoteReference w:id="61"/>
      </w:r>
    </w:p>
    <w:p w:rsidR="001526AD" w:rsidRPr="00B8016D" w:rsidP="00B8016D">
      <w:pPr>
        <w:pStyle w:val="BWBBullet1"/>
        <w:numPr>
          <w:ilvl w:val="1"/>
          <w:numId w:val="10"/>
        </w:numPr>
        <w:jc w:val="both"/>
        <w:rPr>
          <w:rFonts w:asciiTheme="minorHAnsi" w:eastAsiaTheme="minorEastAsia" w:hAnsiTheme="minorHAnsi" w:cstheme="minorHAnsi"/>
          <w:b/>
          <w:bCs/>
          <w:sz w:val="22"/>
        </w:rPr>
      </w:pPr>
      <w:r>
        <w:fldChar w:fldCharType="begin"/>
      </w:r>
      <w:r>
        <w:instrText xml:space="preserve"> HYPERLINK "https://www.cambridge.org/core/journals/cambridge-forum-on-ai-law-and-governance/article/generative-ai-and-data-protection/201F37EBCB407697A4249D74CF9F1204" \l "fn11" </w:instrText>
      </w:r>
      <w:r>
        <w:fldChar w:fldCharType="separate"/>
      </w:r>
      <w:r>
        <w:fldChar w:fldCharType="end"/>
      </w:r>
      <w:r>
        <w:fldChar w:fldCharType="begin"/>
      </w:r>
      <w:r>
        <w:instrText xml:space="preserve"> HYPERLINK "https://www.cambridge.org/core/journals/cambridge-forum-on-ai-law-and-governance/article/generative-ai-and-data-protection/201F37EBCB407697A4249D74CF9F1204" \l "ref4" </w:instrText>
      </w:r>
      <w:r>
        <w:fldChar w:fldCharType="separate"/>
      </w:r>
      <w:r>
        <w:fldChar w:fldCharType="end"/>
      </w:r>
      <w:r>
        <w:fldChar w:fldCharType="begin"/>
      </w:r>
      <w:r>
        <w:instrText xml:space="preserve"> HYPERLINK "https://www.cambridge.org/core/journals/cambridge-forum-on-ai-law-and-governance/article/generative-ai-and-data-protection/201F37EBCB407697A4249D74CF9F1204" \l "ref61" </w:instrText>
      </w:r>
      <w:r>
        <w:fldChar w:fldCharType="separate"/>
      </w:r>
      <w:r>
        <w:fldChar w:fldCharType="end"/>
      </w:r>
      <w:r>
        <w:fldChar w:fldCharType="begin"/>
      </w:r>
      <w:r>
        <w:instrText xml:space="preserve"> HYPERLINK "https://www.cambridge.org/core/journals/cambridge-forum-on-ai-law-and-governance/article/generative-ai-and-data-protection/201F37EBCB407697A4249D74CF9F1204" \l "fn12" </w:instrText>
      </w:r>
      <w:r>
        <w:fldChar w:fldCharType="separate"/>
      </w:r>
      <w:r>
        <w:fldChar w:fldCharType="end"/>
      </w:r>
      <w:r w:rsidRPr="00B8016D">
        <w:rPr>
          <w:rFonts w:asciiTheme="minorHAnsi" w:eastAsiaTheme="minorEastAsia" w:hAnsiTheme="minorHAnsi" w:cstheme="minorHAnsi"/>
          <w:b/>
          <w:bCs/>
          <w:sz w:val="22"/>
        </w:rPr>
        <w:t>Accountability</w:t>
      </w:r>
    </w:p>
    <w:p w:rsidR="001526AD" w:rsidRPr="00D47250" w:rsidP="001D0918">
      <w:pPr>
        <w:pStyle w:val="BWBLevel2"/>
        <w:rPr>
          <w:rFonts w:asciiTheme="minorHAnsi" w:hAnsiTheme="minorHAnsi" w:cstheme="minorHAnsi"/>
          <w:sz w:val="22"/>
        </w:rPr>
      </w:pPr>
      <w:r w:rsidRPr="00F47BF8">
        <w:rPr>
          <w:rFonts w:asciiTheme="minorHAnsi" w:hAnsiTheme="minorHAnsi" w:cstheme="minorHAnsi"/>
          <w:sz w:val="22"/>
          <w:lang w:val="en-US"/>
        </w:rPr>
        <w:t>The accountability principle</w:t>
      </w:r>
      <w:r>
        <w:rPr>
          <w:rFonts w:asciiTheme="minorHAnsi" w:hAnsiTheme="minorHAnsi" w:cstheme="minorHAnsi"/>
          <w:sz w:val="22"/>
          <w:lang w:val="en-US"/>
        </w:rPr>
        <w:t xml:space="preserve"> (see Article 5(2) of the UK GDPR)</w:t>
      </w:r>
      <w:r w:rsidRPr="00F47BF8">
        <w:rPr>
          <w:rFonts w:asciiTheme="minorHAnsi" w:hAnsiTheme="minorHAnsi" w:cstheme="minorHAnsi"/>
          <w:sz w:val="22"/>
          <w:lang w:val="en-US"/>
        </w:rPr>
        <w:t xml:space="preserve"> states that the controller “</w:t>
      </w:r>
      <w:r w:rsidRPr="00F47BF8">
        <w:rPr>
          <w:rFonts w:asciiTheme="minorHAnsi" w:hAnsiTheme="minorHAnsi" w:cstheme="minorHAnsi"/>
          <w:sz w:val="22"/>
        </w:rPr>
        <w:t xml:space="preserve">shall be responsible for, </w:t>
      </w:r>
      <w:r>
        <w:rPr>
          <w:rFonts w:asciiTheme="minorHAnsi" w:hAnsiTheme="minorHAnsi" w:cstheme="minorHAnsi"/>
          <w:sz w:val="22"/>
        </w:rPr>
        <w:t xml:space="preserve"> </w:t>
      </w:r>
      <w:r w:rsidRPr="00F47BF8">
        <w:rPr>
          <w:rFonts w:asciiTheme="minorHAnsi" w:hAnsiTheme="minorHAnsi" w:cstheme="minorHAnsi"/>
          <w:sz w:val="22"/>
        </w:rPr>
        <w:t>and be able to demonstrate compliance with [the principles set out in Article 5(1)</w:t>
      </w:r>
      <w:r>
        <w:rPr>
          <w:rFonts w:asciiTheme="minorHAnsi" w:hAnsiTheme="minorHAnsi" w:cstheme="minorHAnsi"/>
          <w:sz w:val="22"/>
        </w:rPr>
        <w:t>] (</w:t>
      </w:r>
      <w:r w:rsidRPr="00F47BF8">
        <w:rPr>
          <w:rFonts w:asciiTheme="minorHAnsi" w:hAnsiTheme="minorHAnsi" w:cstheme="minorHAnsi"/>
          <w:sz w:val="22"/>
        </w:rPr>
        <w:t>ie lawfulness, fairness etc</w:t>
      </w:r>
      <w:r>
        <w:rPr>
          <w:rFonts w:asciiTheme="minorHAnsi" w:hAnsiTheme="minorHAnsi" w:cstheme="minorHAnsi"/>
          <w:sz w:val="22"/>
        </w:rPr>
        <w:t>)</w:t>
      </w:r>
      <w:r w:rsidRPr="00F47BF8">
        <w:rPr>
          <w:rFonts w:asciiTheme="minorHAnsi" w:hAnsiTheme="minorHAnsi" w:cstheme="minorHAnsi"/>
          <w:sz w:val="22"/>
        </w:rPr>
        <w:t xml:space="preserve">.  Guidance from the </w:t>
      </w:r>
      <w:r>
        <w:rPr>
          <w:rFonts w:asciiTheme="minorHAnsi" w:hAnsiTheme="minorHAnsi" w:cstheme="minorHAnsi"/>
          <w:sz w:val="22"/>
        </w:rPr>
        <w:t>ICO</w:t>
      </w:r>
      <w:r w:rsidRPr="00F47BF8">
        <w:rPr>
          <w:rFonts w:asciiTheme="minorHAnsi" w:hAnsiTheme="minorHAnsi" w:cstheme="minorHAnsi"/>
          <w:sz w:val="22"/>
        </w:rPr>
        <w:t xml:space="preserve"> sets out practical steps</w:t>
      </w:r>
      <w:r>
        <w:rPr>
          <w:rFonts w:asciiTheme="minorHAnsi" w:hAnsiTheme="minorHAnsi" w:cstheme="minorHAnsi"/>
          <w:sz w:val="22"/>
        </w:rPr>
        <w:t xml:space="preserve"> for complying with this </w:t>
      </w:r>
      <w:r w:rsidRPr="00F47BF8">
        <w:rPr>
          <w:rFonts w:asciiTheme="minorHAnsi" w:hAnsiTheme="minorHAnsi" w:cstheme="minorHAnsi"/>
          <w:sz w:val="22"/>
        </w:rPr>
        <w:t>principle</w:t>
      </w:r>
      <w:r w:rsidRPr="00D47250">
        <w:rPr>
          <w:rFonts w:asciiTheme="minorHAnsi" w:hAnsiTheme="minorHAnsi" w:cstheme="minorHAnsi"/>
          <w:sz w:val="22"/>
        </w:rPr>
        <w:t xml:space="preserve">.  These include:  </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adopting and implementing data protection policies;</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taking a ‘data protection by design and default’ approach;</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putting written contracts in place with organisations that process personal data on your behalf;</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maintaining documentation of your processing activities;</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implementing appropriate security measures;</w:t>
      </w:r>
    </w:p>
    <w:p w:rsidR="001526AD" w:rsidRPr="006C5619" w:rsidP="001D0918">
      <w:pPr>
        <w:pStyle w:val="BWBLevel4"/>
        <w:rPr>
          <w:rFonts w:asciiTheme="minorHAnsi" w:hAnsiTheme="minorHAnsi" w:cstheme="minorHAnsi"/>
          <w:i/>
          <w:iCs/>
          <w:sz w:val="22"/>
        </w:rPr>
      </w:pPr>
      <w:r w:rsidRPr="006C5619">
        <w:rPr>
          <w:rFonts w:asciiTheme="minorHAnsi" w:hAnsiTheme="minorHAnsi" w:cstheme="minorHAnsi"/>
          <w:i/>
          <w:iCs/>
          <w:sz w:val="22"/>
        </w:rPr>
        <w:t>recording and, where necessary, reporting personal data breaches;</w:t>
      </w:r>
    </w:p>
    <w:p w:rsidR="001526AD" w:rsidRPr="00F47BF8" w:rsidP="001D0918">
      <w:pPr>
        <w:pStyle w:val="BWBLevel4"/>
        <w:rPr>
          <w:rFonts w:asciiTheme="minorHAnsi" w:hAnsiTheme="minorHAnsi" w:cstheme="minorHAnsi"/>
          <w:sz w:val="22"/>
        </w:rPr>
      </w:pPr>
      <w:r w:rsidRPr="006C5619">
        <w:rPr>
          <w:rFonts w:asciiTheme="minorHAnsi" w:hAnsiTheme="minorHAnsi" w:cstheme="minorHAnsi"/>
          <w:i/>
          <w:iCs/>
          <w:sz w:val="22"/>
        </w:rPr>
        <w:t>carrying out data protection impact assessments for uses of personal data that are likely to result in high risk to individuals’ interests</w:t>
      </w:r>
      <w:r w:rsidRPr="00F47BF8">
        <w:rPr>
          <w:rFonts w:asciiTheme="minorHAnsi" w:hAnsiTheme="minorHAnsi" w:cstheme="minorHAnsi"/>
          <w:sz w:val="22"/>
        </w:rPr>
        <w:t>;</w:t>
      </w:r>
      <w:r>
        <w:rPr>
          <w:rStyle w:val="FootnoteReference"/>
          <w:rFonts w:asciiTheme="minorHAnsi" w:eastAsiaTheme="minorEastAsia" w:hAnsiTheme="minorHAnsi" w:cstheme="minorHAnsi"/>
          <w:i/>
          <w:iCs/>
          <w:sz w:val="22"/>
        </w:rPr>
        <w:footnoteReference w:id="62"/>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The ICO has also developed an AI and data protection risk toolkit which helps organisations to put appropriate governance structures in place to manage risk in this context.</w:t>
      </w:r>
      <w:r>
        <w:rPr>
          <w:rStyle w:val="FootnoteReference"/>
          <w:rFonts w:asciiTheme="minorHAnsi" w:eastAsiaTheme="minorEastAsia" w:hAnsiTheme="minorHAnsi" w:cstheme="minorHAnsi"/>
          <w:sz w:val="22"/>
        </w:rPr>
        <w:footnoteReference w:id="63"/>
      </w:r>
      <w:r w:rsidRPr="00F47BF8">
        <w:rPr>
          <w:rFonts w:asciiTheme="minorHAnsi" w:hAnsiTheme="minorHAnsi" w:cstheme="minorHAnsi"/>
          <w:sz w:val="22"/>
        </w:rPr>
        <w:t xml:space="preserve">  Our interactions with organisations have suggested that they are not aware of this resource. Further, where risk mitigation measures are taken such as completing a data protection impact assessment these are </w:t>
      </w:r>
      <w:r>
        <w:rPr>
          <w:rFonts w:asciiTheme="minorHAnsi" w:hAnsiTheme="minorHAnsi" w:cstheme="minorHAnsi"/>
          <w:sz w:val="22"/>
        </w:rPr>
        <w:t xml:space="preserve">carried out </w:t>
      </w:r>
      <w:r w:rsidRPr="00F47BF8">
        <w:rPr>
          <w:rFonts w:asciiTheme="minorHAnsi" w:hAnsiTheme="minorHAnsi" w:cstheme="minorHAnsi"/>
          <w:sz w:val="22"/>
        </w:rPr>
        <w:t>in a superficial manner and risks to individuals are therefore neither</w:t>
      </w:r>
      <w:r>
        <w:rPr>
          <w:rFonts w:asciiTheme="minorHAnsi" w:hAnsiTheme="minorHAnsi" w:cstheme="minorHAnsi"/>
          <w:sz w:val="22"/>
        </w:rPr>
        <w:t xml:space="preserve"> fully identified </w:t>
      </w:r>
      <w:r w:rsidRPr="00F47BF8">
        <w:rPr>
          <w:rFonts w:asciiTheme="minorHAnsi" w:hAnsiTheme="minorHAnsi" w:cstheme="minorHAnsi"/>
          <w:sz w:val="22"/>
        </w:rPr>
        <w:t>nor mitigated.</w:t>
      </w:r>
    </w:p>
    <w:p w:rsidR="001526AD" w:rsidRPr="00F47BF8" w:rsidP="001D0918">
      <w:pPr>
        <w:pStyle w:val="BWBBullet1"/>
        <w:numPr>
          <w:ilvl w:val="0"/>
          <w:numId w:val="0"/>
        </w:numPr>
        <w:ind w:left="879" w:hanging="879"/>
        <w:jc w:val="both"/>
        <w:rPr>
          <w:rFonts w:asciiTheme="minorHAnsi" w:eastAsiaTheme="minorEastAsia" w:hAnsiTheme="minorHAnsi" w:cstheme="minorHAnsi"/>
          <w:sz w:val="22"/>
        </w:rPr>
      </w:pPr>
      <w:r w:rsidRPr="00F47BF8">
        <w:rPr>
          <w:rFonts w:asciiTheme="minorHAnsi" w:eastAsiaTheme="minorEastAsia" w:hAnsiTheme="minorHAnsi" w:cstheme="minorHAnsi"/>
          <w:b/>
          <w:bCs/>
          <w:sz w:val="22"/>
        </w:rPr>
        <w:t>Privacy notices</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Where personal data is collected directly from the data subject Article 13 of the UK GDPR sets out requirements which the controller must comply with in order to fulfil the transparency </w:t>
      </w:r>
      <w:r>
        <w:rPr>
          <w:rFonts w:asciiTheme="minorHAnsi" w:hAnsiTheme="minorHAnsi" w:cstheme="minorHAnsi"/>
          <w:sz w:val="22"/>
        </w:rPr>
        <w:t>principle</w:t>
      </w:r>
      <w:r w:rsidRPr="00F47BF8">
        <w:rPr>
          <w:rFonts w:asciiTheme="minorHAnsi" w:hAnsiTheme="minorHAnsi" w:cstheme="minorHAnsi"/>
          <w:sz w:val="22"/>
        </w:rPr>
        <w:t>.   Where the individual is subject to automated decision-making which falls within Article 22 of the UK GDPR</w:t>
      </w:r>
      <w:r>
        <w:rPr>
          <w:rFonts w:asciiTheme="minorHAnsi" w:hAnsiTheme="minorHAnsi" w:cstheme="minorHAnsi"/>
          <w:sz w:val="22"/>
        </w:rPr>
        <w:t>,</w:t>
      </w:r>
      <w:r w:rsidRPr="00F47BF8">
        <w:rPr>
          <w:rFonts w:asciiTheme="minorHAnsi" w:hAnsiTheme="minorHAnsi" w:cstheme="minorHAnsi"/>
          <w:sz w:val="22"/>
        </w:rPr>
        <w:t xml:space="preserve"> Article 13(2) (f) sets out a requirement that the data subject is made aware of the following:</w:t>
      </w:r>
    </w:p>
    <w:p w:rsidR="001526AD" w:rsidRPr="00F47BF8" w:rsidP="001D0918">
      <w:pPr>
        <w:pStyle w:val="BWBLevel2"/>
        <w:numPr>
          <w:ilvl w:val="0"/>
          <w:numId w:val="0"/>
        </w:numPr>
        <w:ind w:left="879"/>
        <w:rPr>
          <w:rFonts w:asciiTheme="minorHAnsi" w:hAnsiTheme="minorHAnsi" w:cstheme="minorHAnsi"/>
          <w:sz w:val="22"/>
        </w:rPr>
      </w:pPr>
      <w:r w:rsidRPr="00F47BF8">
        <w:rPr>
          <w:rFonts w:asciiTheme="minorHAnsi" w:eastAsiaTheme="minorEastAsia" w:hAnsiTheme="minorHAnsi" w:cstheme="minorHAnsi"/>
          <w:i/>
          <w:iCs/>
          <w:sz w:val="22"/>
        </w:rPr>
        <w:t>the existence of automated decision-making, including profiling,</w:t>
      </w:r>
      <w:r>
        <w:rPr>
          <w:rStyle w:val="FootnoteReference"/>
          <w:rFonts w:asciiTheme="minorHAnsi" w:eastAsiaTheme="minorEastAsia" w:hAnsiTheme="minorHAnsi" w:cstheme="minorHAnsi"/>
          <w:i/>
          <w:iCs/>
          <w:sz w:val="22"/>
        </w:rPr>
        <w:footnoteReference w:id="64"/>
      </w:r>
      <w:r w:rsidRPr="00F47BF8">
        <w:rPr>
          <w:rFonts w:asciiTheme="minorHAnsi" w:eastAsiaTheme="minorEastAsia" w:hAnsiTheme="minorHAnsi" w:cstheme="minorHAnsi"/>
          <w:i/>
          <w:iCs/>
          <w:sz w:val="22"/>
        </w:rPr>
        <w:t xml:space="preserve"> referred to in Article 22(1) and (4) and, at least in those cases, meaningful information about the logic involved, as well as the significance and the envisaged consequences of such processing for the data subject.</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There is a mirroring requirement to explain the existence of automated decision-making where the relevant personal data has not been collected directly from the data subject (see Article 14(2)(g)). </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Our experience is that these requirements are often not complied with in a meaningful way (or at all).  This is in part because those developing AI systems do not provide those buying these systems with a sufficient explanation of how the</w:t>
      </w:r>
      <w:r>
        <w:rPr>
          <w:rFonts w:asciiTheme="minorHAnsi" w:hAnsiTheme="minorHAnsi" w:cstheme="minorHAnsi"/>
          <w:sz w:val="22"/>
        </w:rPr>
        <w:t>y</w:t>
      </w:r>
      <w:r w:rsidRPr="00F47BF8">
        <w:rPr>
          <w:rFonts w:asciiTheme="minorHAnsi" w:hAnsiTheme="minorHAnsi" w:cstheme="minorHAnsi"/>
          <w:sz w:val="22"/>
        </w:rPr>
        <w:t xml:space="preserve"> work (or provide overly technical or obscure information that is difficult to understand) to enable controllers to provide the information required under Article 13(2)(f). </w:t>
      </w:r>
      <w:r>
        <w:rPr>
          <w:rFonts w:asciiTheme="minorHAnsi" w:hAnsiTheme="minorHAnsi" w:cstheme="minorHAnsi"/>
          <w:sz w:val="22"/>
        </w:rPr>
        <w:t xml:space="preserve"> T</w:t>
      </w:r>
      <w:r w:rsidRPr="00F47BF8">
        <w:rPr>
          <w:rFonts w:asciiTheme="minorHAnsi" w:hAnsiTheme="minorHAnsi" w:cstheme="minorHAnsi"/>
          <w:sz w:val="22"/>
        </w:rPr>
        <w:t>he gap in compliance is also caused by what appears to be widespread ignorance of the core data protection obligations triggered by the deployment of an AI system or a misunderstanding of what exactly those obligations entail</w:t>
      </w:r>
      <w:r>
        <w:rPr>
          <w:rFonts w:asciiTheme="minorHAnsi" w:hAnsiTheme="minorHAnsi" w:cstheme="minorHAnsi"/>
          <w:sz w:val="22"/>
        </w:rPr>
        <w:t xml:space="preserve">.   Further, the lack of enforcement by the regulator means that those who make a conscious decision not to comply face minimal risk of regulatory action. </w:t>
      </w:r>
      <w:r w:rsidRPr="00F47BF8">
        <w:rPr>
          <w:rFonts w:asciiTheme="minorHAnsi" w:hAnsiTheme="minorHAnsi" w:cstheme="minorHAnsi"/>
          <w:sz w:val="22"/>
        </w:rPr>
        <w:t xml:space="preserve"> </w:t>
      </w:r>
    </w:p>
    <w:p w:rsidR="001526AD" w:rsidRPr="004F240F" w:rsidP="001D0918">
      <w:pPr>
        <w:pStyle w:val="BWBBullet1"/>
        <w:numPr>
          <w:ilvl w:val="0"/>
          <w:numId w:val="0"/>
        </w:numPr>
        <w:jc w:val="both"/>
        <w:rPr>
          <w:rFonts w:asciiTheme="minorHAnsi" w:eastAsiaTheme="minorEastAsia" w:hAnsiTheme="minorHAnsi" w:cstheme="minorHAnsi"/>
          <w:sz w:val="22"/>
        </w:rPr>
      </w:pPr>
      <w:r w:rsidRPr="004F240F">
        <w:rPr>
          <w:rFonts w:asciiTheme="minorHAnsi" w:eastAsiaTheme="minorEastAsia" w:hAnsiTheme="minorHAnsi" w:cstheme="minorHAnsi"/>
          <w:b/>
          <w:bCs/>
          <w:sz w:val="22"/>
        </w:rPr>
        <w:t>Protections from automated decision-making</w:t>
      </w:r>
    </w:p>
    <w:p w:rsidR="001526AD" w:rsidRPr="004F240F" w:rsidP="001D0918">
      <w:pPr>
        <w:pStyle w:val="BWBLevel2"/>
        <w:rPr>
          <w:rFonts w:asciiTheme="minorHAnsi" w:hAnsiTheme="minorHAnsi" w:cstheme="minorHAnsi"/>
          <w:sz w:val="22"/>
        </w:rPr>
      </w:pPr>
      <w:r w:rsidRPr="004F240F">
        <w:rPr>
          <w:rFonts w:asciiTheme="minorHAnsi" w:hAnsiTheme="minorHAnsi" w:cstheme="minorHAnsi"/>
          <w:sz w:val="22"/>
        </w:rPr>
        <w:t xml:space="preserve">The UK GDPR provides crucial protections where automated decision-making is being undertaken in relation to individuals. </w:t>
      </w:r>
      <w:r>
        <w:rPr>
          <w:rStyle w:val="FootnoteReference"/>
          <w:rFonts w:asciiTheme="minorHAnsi" w:hAnsiTheme="minorHAnsi" w:cstheme="minorHAnsi"/>
          <w:sz w:val="22"/>
        </w:rPr>
        <w:footnoteReference w:id="65"/>
      </w:r>
      <w:r w:rsidRPr="004F240F">
        <w:rPr>
          <w:rFonts w:asciiTheme="minorHAnsi" w:hAnsiTheme="minorHAnsi" w:cstheme="minorHAnsi"/>
          <w:sz w:val="22"/>
        </w:rPr>
        <w:t xml:space="preserve"> Currently Article 22 imposes two “layers” of protection which broadly speaking have the following effects:</w:t>
      </w:r>
    </w:p>
    <w:p w:rsidR="001526AD" w:rsidRPr="00E52E71" w:rsidP="00E52E71">
      <w:pPr>
        <w:pStyle w:val="BWBLevel4"/>
        <w:rPr>
          <w:rFonts w:asciiTheme="minorHAnsi" w:hAnsiTheme="minorHAnsi" w:cstheme="minorHAnsi"/>
          <w:sz w:val="22"/>
        </w:rPr>
      </w:pPr>
      <w:r w:rsidRPr="00E52E71">
        <w:rPr>
          <w:rFonts w:asciiTheme="minorHAnsi" w:hAnsiTheme="minorHAnsi" w:cstheme="minorHAnsi"/>
          <w:sz w:val="22"/>
        </w:rPr>
        <w:t>A controller can only use machines as the sole method of making important decisions</w:t>
      </w:r>
      <w:r>
        <w:rPr>
          <w:rStyle w:val="FootnoteReference"/>
          <w:rFonts w:asciiTheme="minorHAnsi" w:eastAsiaTheme="minorEastAsia" w:hAnsiTheme="minorHAnsi" w:cstheme="minorHAnsi"/>
          <w:sz w:val="22"/>
        </w:rPr>
        <w:footnoteReference w:id="66"/>
      </w:r>
      <w:r w:rsidRPr="00E52E71">
        <w:rPr>
          <w:rFonts w:asciiTheme="minorHAnsi" w:hAnsiTheme="minorHAnsi" w:cstheme="minorHAnsi"/>
          <w:sz w:val="22"/>
        </w:rPr>
        <w:t xml:space="preserve"> about human beings (such as deciding how much they should be paid based on the machine’s evaluation of their work) where:</w:t>
      </w:r>
    </w:p>
    <w:p w:rsidR="001526AD" w:rsidRPr="00912F94" w:rsidP="002A43C5">
      <w:pPr>
        <w:pStyle w:val="BWBLevel5"/>
        <w:rPr>
          <w:rFonts w:asciiTheme="minorHAnsi" w:hAnsiTheme="minorHAnsi" w:cstheme="minorHAnsi"/>
          <w:sz w:val="22"/>
        </w:rPr>
      </w:pPr>
      <w:r w:rsidRPr="00912F94">
        <w:rPr>
          <w:rFonts w:asciiTheme="minorHAnsi" w:hAnsiTheme="minorHAnsi" w:cstheme="minorHAnsi"/>
          <w:sz w:val="22"/>
        </w:rPr>
        <w:t>Individuals have given their explicit consent to the processing. Consent cannot be given under data protection law where there is an imbalance of power between the controller and the data subject, such as in an employment relationship</w:t>
      </w:r>
      <w:r>
        <w:rPr>
          <w:rStyle w:val="FootnoteReference"/>
          <w:rFonts w:asciiTheme="minorHAnsi" w:hAnsiTheme="minorHAnsi" w:cstheme="minorHAnsi"/>
          <w:sz w:val="22"/>
        </w:rPr>
        <w:footnoteReference w:id="67"/>
      </w:r>
      <w:r w:rsidRPr="00912F94">
        <w:rPr>
          <w:rFonts w:asciiTheme="minorHAnsi" w:hAnsiTheme="minorHAnsi" w:cstheme="minorHAnsi"/>
          <w:sz w:val="22"/>
        </w:rPr>
        <w:t xml:space="preserve">; </w:t>
      </w:r>
    </w:p>
    <w:p w:rsidR="001526AD" w:rsidRPr="00F47BF8" w:rsidP="00912F94">
      <w:pPr>
        <w:pStyle w:val="BWBLevel5"/>
        <w:rPr>
          <w:rFonts w:asciiTheme="minorHAnsi" w:eastAsiaTheme="minorEastAsia" w:hAnsiTheme="minorHAnsi" w:cstheme="minorHAnsi"/>
          <w:sz w:val="22"/>
        </w:rPr>
      </w:pPr>
      <w:r w:rsidRPr="00F47BF8">
        <w:rPr>
          <w:rFonts w:asciiTheme="minorHAnsi" w:eastAsiaTheme="minorEastAsia" w:hAnsiTheme="minorHAnsi" w:cstheme="minorHAnsi"/>
          <w:sz w:val="22"/>
        </w:rPr>
        <w:t>The use of automated decision-making is necessary</w:t>
      </w:r>
      <w:r>
        <w:rPr>
          <w:rStyle w:val="FootnoteReference"/>
          <w:rFonts w:asciiTheme="minorHAnsi" w:eastAsiaTheme="minorEastAsia" w:hAnsiTheme="minorHAnsi" w:cstheme="minorHAnsi"/>
          <w:sz w:val="22"/>
        </w:rPr>
        <w:footnoteReference w:id="68"/>
      </w:r>
      <w:r w:rsidRPr="00F47BF8">
        <w:rPr>
          <w:rFonts w:asciiTheme="minorHAnsi" w:eastAsiaTheme="minorEastAsia" w:hAnsiTheme="minorHAnsi" w:cstheme="minorHAnsi"/>
          <w:sz w:val="22"/>
        </w:rPr>
        <w:t xml:space="preserve"> for entering into or performing a contract with the data subject.  </w:t>
      </w:r>
      <w:r>
        <w:fldChar w:fldCharType="begin"/>
      </w:r>
      <w:r>
        <w:instrText xml:space="preserve"> HYPERLINK "https://ico.org.uk/for-organisations/uk-gdpr-guidance-and-resources/individual-rights/automated-decision-making-and-profiling/when-can-we-carry-out-this-type-of-processing/" </w:instrText>
      </w:r>
      <w:r>
        <w:fldChar w:fldCharType="separate"/>
      </w:r>
      <w:r w:rsidRPr="00F47BF8">
        <w:rPr>
          <w:rStyle w:val="Hyperlink"/>
          <w:rFonts w:asciiTheme="minorHAnsi" w:eastAsiaTheme="minorEastAsia" w:hAnsiTheme="minorHAnsi" w:cstheme="minorHAnsi"/>
          <w:sz w:val="22"/>
        </w:rPr>
        <w:t>Regulatory guidance</w:t>
      </w:r>
      <w:r>
        <w:fldChar w:fldCharType="end"/>
      </w:r>
      <w:r w:rsidRPr="00F47BF8">
        <w:rPr>
          <w:rFonts w:asciiTheme="minorHAnsi" w:eastAsiaTheme="minorEastAsia" w:hAnsiTheme="minorHAnsi" w:cstheme="minorHAnsi"/>
          <w:sz w:val="22"/>
        </w:rPr>
        <w:t xml:space="preserve"> suggests that automated decision-making is necessary for contract purposes where a credit scoring system is used to decide whether to give an individual a loan; or </w:t>
      </w:r>
    </w:p>
    <w:p w:rsidR="001526AD" w:rsidRPr="00912F94" w:rsidP="00912F94">
      <w:pPr>
        <w:pStyle w:val="BWBLevel5"/>
        <w:rPr>
          <w:rFonts w:asciiTheme="minorHAnsi" w:hAnsiTheme="minorHAnsi" w:cstheme="minorHAnsi"/>
          <w:sz w:val="22"/>
        </w:rPr>
      </w:pPr>
      <w:r w:rsidRPr="00912F94">
        <w:rPr>
          <w:rFonts w:asciiTheme="minorHAnsi" w:hAnsiTheme="minorHAnsi" w:cstheme="minorHAnsi"/>
          <w:sz w:val="22"/>
        </w:rPr>
        <w:t>This is authorised by a national law (which itself must be targeted and proportionate</w:t>
      </w:r>
      <w:r>
        <w:rPr>
          <w:rFonts w:asciiTheme="minorHAnsi" w:hAnsiTheme="minorHAnsi" w:cstheme="minorHAnsi"/>
          <w:sz w:val="22"/>
          <w:vertAlign w:val="superscript"/>
        </w:rPr>
        <w:footnoteReference w:id="69"/>
      </w:r>
      <w:r w:rsidRPr="00912F94">
        <w:rPr>
          <w:rFonts w:asciiTheme="minorHAnsi" w:hAnsiTheme="minorHAnsi" w:cstheme="minorHAnsi"/>
          <w:sz w:val="22"/>
        </w:rPr>
        <w:t xml:space="preserve">).  </w:t>
      </w:r>
    </w:p>
    <w:p w:rsidR="001526AD" w:rsidRPr="00F47BF8" w:rsidP="00912F94">
      <w:pPr>
        <w:pStyle w:val="BWBLevel4"/>
        <w:rPr>
          <w:rFonts w:asciiTheme="minorHAnsi" w:hAnsiTheme="minorHAnsi" w:cstheme="minorHAnsi"/>
          <w:sz w:val="22"/>
        </w:rPr>
      </w:pPr>
      <w:r>
        <w:rPr>
          <w:rFonts w:asciiTheme="minorHAnsi" w:hAnsiTheme="minorHAnsi" w:cstheme="minorHAnsi"/>
          <w:sz w:val="22"/>
        </w:rPr>
        <w:t xml:space="preserve">The </w:t>
      </w:r>
      <w:r w:rsidRPr="00F47BF8">
        <w:rPr>
          <w:rFonts w:asciiTheme="minorHAnsi" w:hAnsiTheme="minorHAnsi" w:cstheme="minorHAnsi"/>
          <w:sz w:val="22"/>
        </w:rPr>
        <w:t xml:space="preserve">controller needs to implement suitable safeguards which enable individuals to obtain human intervention by the controller, to enable the individual to express his or her views, and contest the decision.  </w:t>
      </w:r>
    </w:p>
    <w:p w:rsidR="001526AD" w:rsidP="001D0918">
      <w:pPr>
        <w:pStyle w:val="BWBLevel2"/>
        <w:rPr>
          <w:rFonts w:asciiTheme="minorHAnsi" w:hAnsiTheme="minorHAnsi" w:cstheme="minorHAnsi"/>
          <w:sz w:val="22"/>
        </w:rPr>
      </w:pPr>
      <w:r w:rsidRPr="00F47BF8">
        <w:rPr>
          <w:rFonts w:asciiTheme="minorHAnsi" w:hAnsiTheme="minorHAnsi" w:cstheme="minorHAnsi"/>
          <w:sz w:val="22"/>
        </w:rPr>
        <w:t xml:space="preserve">The Data (Use and Access) Act 2025 waters down protections from automated decision-making.  These changes are expected to come into force by the end of the year.  The changes made by the Act sweep away the first “layer” of protection as described above, unless the decision is made using special category personal data (eg personal data relating to health, sexual orientation or racial or ethnic origin).   </w:t>
      </w:r>
    </w:p>
    <w:p w:rsidR="001526AD" w:rsidRPr="00B9092F" w:rsidP="001D0918">
      <w:pPr>
        <w:pStyle w:val="BWBLevel2"/>
        <w:rPr>
          <w:rFonts w:asciiTheme="minorHAnsi" w:hAnsiTheme="minorHAnsi" w:cstheme="minorHAnsi"/>
          <w:sz w:val="22"/>
        </w:rPr>
      </w:pPr>
      <w:r w:rsidRPr="00B9092F">
        <w:rPr>
          <w:rFonts w:asciiTheme="minorHAnsi" w:hAnsiTheme="minorHAnsi" w:cstheme="minorHAnsi"/>
          <w:sz w:val="22"/>
        </w:rPr>
        <w:t xml:space="preserve">The second lawyer of protections remains under the changes made by the Data (Use and Access) Act 2025:  any automated decision-making about individuals must be subject to safeguards such as the ability to obtain human intervention in relation to such decisions.  We have concerns that individuals will neither have the resources nor the time to invoke these safeguards.  Further, our experience is that human review of automated decision-making is often flawed.  The individuals who review the automated decision-making have little understanding of how the automated decision was reached or do not have the standing to overturn the decision.  Further, research suggests that human beings tend to be overly deferential towards automated decision-making. Therefore, simply relying on safeguards enabling the individual to contest the automated decision may provide insufficient protection (see for example </w:t>
      </w:r>
      <w:r>
        <w:fldChar w:fldCharType="begin"/>
      </w:r>
      <w:r>
        <w:instrText xml:space="preserve"> HYPERLINK "https://academic.oup.com/jpart/article/33/1/153/6524536" </w:instrText>
      </w:r>
      <w:r>
        <w:fldChar w:fldCharType="separate"/>
      </w:r>
      <w:r w:rsidRPr="00B9092F">
        <w:rPr>
          <w:rStyle w:val="Hyperlink"/>
          <w:rFonts w:asciiTheme="minorHAnsi" w:eastAsiaTheme="minorEastAsia" w:hAnsiTheme="minorHAnsi" w:cstheme="minorHAnsi"/>
          <w:sz w:val="22"/>
        </w:rPr>
        <w:t>Human–AI Interactions in Public Sector Decision Making: “Automation Bias” and “Selective Adherence” to Algorithmic Advice | Journal of Public Administration Research and Theory | Oxford Academic</w:t>
      </w:r>
      <w:r>
        <w:fldChar w:fldCharType="end"/>
      </w:r>
      <w:r w:rsidRPr="00B9092F">
        <w:rPr>
          <w:rFonts w:asciiTheme="minorHAnsi" w:hAnsiTheme="minorHAnsi" w:cstheme="minorHAnsi"/>
          <w:sz w:val="22"/>
        </w:rPr>
        <w:t>).  Experience such as the A-level algorithms fiasco or the Post Office/Horizon miscarriages of justice shows just how dangerous it can be to rely on analysis conducted by machines.  Human beings should not be subject to decisions made by biased, faulty or unreliable computers.  For some real-life examples of how automated decision-making is currently being used in the UK, see Appendix 1.</w:t>
      </w:r>
    </w:p>
    <w:p w:rsidR="001526AD" w:rsidRPr="00F47BF8" w:rsidP="001D0918">
      <w:pPr>
        <w:pStyle w:val="Normal0"/>
        <w:spacing w:line="300" w:lineRule="atLeast"/>
        <w:ind w:left="1440"/>
        <w:jc w:val="both"/>
        <w:rPr>
          <w:rFonts w:asciiTheme="minorHAnsi" w:eastAsiaTheme="minorEastAsia" w:hAnsiTheme="minorHAnsi" w:cstheme="minorHAnsi"/>
          <w:sz w:val="22"/>
          <w:szCs w:val="22"/>
          <w:lang w:val="en-GB"/>
        </w:rPr>
      </w:pP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It remains unclear what advantages proceed from </w:t>
      </w:r>
      <w:r>
        <w:rPr>
          <w:rFonts w:asciiTheme="minorHAnsi" w:hAnsiTheme="minorHAnsi" w:cstheme="minorHAnsi"/>
          <w:sz w:val="22"/>
        </w:rPr>
        <w:t xml:space="preserve">the </w:t>
      </w:r>
      <w:r w:rsidRPr="00F47BF8">
        <w:rPr>
          <w:rFonts w:asciiTheme="minorHAnsi" w:hAnsiTheme="minorHAnsi" w:cstheme="minorHAnsi"/>
          <w:sz w:val="22"/>
        </w:rPr>
        <w:t xml:space="preserve">watering down of protections from automated decision-making.  Leaving in place the current protections from automated decision-making would not have stopped businesses from developing new technologies in the UK: the protections would only apply in the context of important decisions being made about people </w:t>
      </w:r>
      <w:r w:rsidRPr="00F47BF8">
        <w:rPr>
          <w:rFonts w:asciiTheme="minorHAnsi" w:hAnsiTheme="minorHAnsi" w:cstheme="minorHAnsi"/>
          <w:sz w:val="22"/>
        </w:rPr>
        <w:t xml:space="preserve">through automated means.  Article 22 of the UK GDPR as currently in force does not hinder research and development, but it does mean that robust protections exist where machines are used to make important decisions about people.      </w:t>
      </w:r>
    </w:p>
    <w:p w:rsidR="001526AD" w:rsidP="001D0918">
      <w:pPr>
        <w:pStyle w:val="Normal0"/>
        <w:spacing w:line="300" w:lineRule="atLeast"/>
        <w:jc w:val="both"/>
        <w:rPr>
          <w:rStyle w:val="cf01"/>
          <w:rFonts w:asciiTheme="minorHAnsi" w:eastAsiaTheme="minorEastAsia" w:hAnsiTheme="minorHAnsi" w:cstheme="minorHAnsi"/>
          <w:b/>
          <w:bCs/>
          <w:sz w:val="22"/>
          <w:szCs w:val="22"/>
        </w:rPr>
      </w:pPr>
      <w:r w:rsidRPr="00F47BF8">
        <w:rPr>
          <w:rStyle w:val="cf01"/>
          <w:rFonts w:asciiTheme="minorHAnsi" w:eastAsiaTheme="minorEastAsia" w:hAnsiTheme="minorHAnsi" w:cstheme="minorHAnsi"/>
          <w:b/>
          <w:bCs/>
          <w:sz w:val="22"/>
          <w:szCs w:val="22"/>
        </w:rPr>
        <w:t>Data protection by design and default</w:t>
      </w:r>
    </w:p>
    <w:p w:rsidR="001526AD" w:rsidRPr="0006241E" w:rsidP="001D0918">
      <w:pPr>
        <w:pStyle w:val="Normal0"/>
        <w:spacing w:line="300" w:lineRule="atLeast"/>
        <w:jc w:val="both"/>
        <w:rPr>
          <w:rStyle w:val="cf01"/>
          <w:rFonts w:asciiTheme="minorHAnsi" w:eastAsiaTheme="minorEastAsia" w:hAnsiTheme="minorHAnsi" w:cstheme="minorHAnsi"/>
          <w:sz w:val="22"/>
          <w:szCs w:val="22"/>
        </w:rPr>
      </w:pPr>
    </w:p>
    <w:p w:rsidR="001526AD" w:rsidP="001D0918">
      <w:pPr>
        <w:pStyle w:val="BWBLevel2"/>
        <w:rPr>
          <w:rFonts w:asciiTheme="minorHAnsi" w:hAnsiTheme="minorHAnsi" w:cstheme="minorHAnsi"/>
          <w:sz w:val="22"/>
        </w:rPr>
      </w:pPr>
      <w:r w:rsidRPr="00F47BF8">
        <w:rPr>
          <w:rStyle w:val="cf01"/>
          <w:rFonts w:asciiTheme="minorHAnsi" w:eastAsiaTheme="minorEastAsia" w:hAnsiTheme="minorHAnsi" w:cstheme="minorHAnsi"/>
          <w:sz w:val="22"/>
          <w:szCs w:val="22"/>
        </w:rPr>
        <w:t>Article 25 of the UK GDPR requires controllers to</w:t>
      </w:r>
      <w:r>
        <w:rPr>
          <w:rStyle w:val="cf01"/>
          <w:rFonts w:asciiTheme="minorHAnsi" w:eastAsiaTheme="minorEastAsia" w:hAnsiTheme="minorHAnsi" w:cstheme="minorHAnsi"/>
          <w:sz w:val="22"/>
          <w:szCs w:val="22"/>
        </w:rPr>
        <w:t xml:space="preserve"> put in place</w:t>
      </w:r>
      <w:r w:rsidRPr="00F47BF8">
        <w:rPr>
          <w:rStyle w:val="cf01"/>
          <w:rFonts w:asciiTheme="minorHAnsi" w:eastAsiaTheme="minorEastAsia" w:hAnsiTheme="minorHAnsi" w:cstheme="minorHAnsi"/>
          <w:sz w:val="22"/>
          <w:szCs w:val="22"/>
        </w:rPr>
        <w:t xml:space="preserve"> </w:t>
      </w:r>
      <w:r>
        <w:rPr>
          <w:rStyle w:val="cf01"/>
          <w:rFonts w:asciiTheme="minorHAnsi" w:eastAsiaTheme="minorEastAsia" w:hAnsiTheme="minorHAnsi" w:cstheme="minorHAnsi"/>
          <w:sz w:val="22"/>
          <w:szCs w:val="22"/>
        </w:rPr>
        <w:t>“</w:t>
      </w:r>
      <w:r w:rsidRPr="00F47BF8">
        <w:rPr>
          <w:rFonts w:asciiTheme="minorHAnsi" w:hAnsiTheme="minorHAnsi" w:cstheme="minorHAnsi"/>
          <w:sz w:val="22"/>
        </w:rPr>
        <w:t xml:space="preserve">appropriate technical and organisational measures” </w:t>
      </w:r>
      <w:r>
        <w:rPr>
          <w:rFonts w:asciiTheme="minorHAnsi" w:hAnsiTheme="minorHAnsi" w:cstheme="minorHAnsi"/>
          <w:sz w:val="22"/>
        </w:rPr>
        <w:t xml:space="preserve">in order to implement the </w:t>
      </w:r>
      <w:r w:rsidRPr="00F47BF8">
        <w:rPr>
          <w:rFonts w:asciiTheme="minorHAnsi" w:hAnsiTheme="minorHAnsi" w:cstheme="minorHAnsi"/>
          <w:sz w:val="22"/>
        </w:rPr>
        <w:t>data protection principles</w:t>
      </w:r>
      <w:r>
        <w:rPr>
          <w:rFonts w:asciiTheme="minorHAnsi" w:hAnsiTheme="minorHAnsi" w:cstheme="minorHAnsi"/>
          <w:sz w:val="22"/>
        </w:rPr>
        <w:t xml:space="preserve">.  </w:t>
      </w:r>
      <w:r w:rsidRPr="00F47BF8">
        <w:rPr>
          <w:rFonts w:asciiTheme="minorHAnsi" w:hAnsiTheme="minorHAnsi" w:cstheme="minorHAnsi"/>
          <w:sz w:val="22"/>
        </w:rPr>
        <w:t xml:space="preserve">According to the ICO, </w:t>
      </w:r>
      <w:r>
        <w:rPr>
          <w:rFonts w:asciiTheme="minorHAnsi" w:hAnsiTheme="minorHAnsi" w:cstheme="minorHAnsi"/>
          <w:sz w:val="22"/>
        </w:rPr>
        <w:t xml:space="preserve">compliance with Article 25 </w:t>
      </w:r>
      <w:r w:rsidRPr="00F47BF8">
        <w:rPr>
          <w:rFonts w:asciiTheme="minorHAnsi" w:hAnsiTheme="minorHAnsi" w:cstheme="minorHAnsi"/>
          <w:sz w:val="22"/>
        </w:rPr>
        <w:t>means integrat</w:t>
      </w:r>
      <w:r>
        <w:rPr>
          <w:rFonts w:asciiTheme="minorHAnsi" w:hAnsiTheme="minorHAnsi" w:cstheme="minorHAnsi"/>
          <w:sz w:val="22"/>
        </w:rPr>
        <w:t>ing</w:t>
      </w:r>
      <w:r w:rsidRPr="00F47BF8">
        <w:rPr>
          <w:rFonts w:asciiTheme="minorHAnsi" w:hAnsiTheme="minorHAnsi" w:cstheme="minorHAnsi"/>
          <w:sz w:val="22"/>
        </w:rPr>
        <w:t xml:space="preserve"> data protection into processing activities and business practices, from the design stage right through the lifecycle.</w:t>
      </w:r>
      <w:r>
        <w:rPr>
          <w:rStyle w:val="FootnoteReference"/>
          <w:rFonts w:asciiTheme="minorHAnsi" w:eastAsiaTheme="minorEastAsia" w:hAnsiTheme="minorHAnsi" w:cstheme="minorHAnsi"/>
          <w:color w:val="1E1E1E"/>
          <w:sz w:val="22"/>
        </w:rPr>
        <w:footnoteReference w:id="70"/>
      </w:r>
      <w:r w:rsidRPr="00F47BF8">
        <w:rPr>
          <w:rFonts w:asciiTheme="minorHAnsi" w:hAnsiTheme="minorHAnsi" w:cstheme="minorHAnsi"/>
          <w:sz w:val="22"/>
        </w:rPr>
        <w:t xml:space="preserve"> </w:t>
      </w:r>
    </w:p>
    <w:p w:rsidR="001526AD" w:rsidRPr="00F47BF8" w:rsidP="001D0918">
      <w:pPr>
        <w:pStyle w:val="BWBLevel2"/>
        <w:rPr>
          <w:rFonts w:asciiTheme="minorHAnsi" w:hAnsiTheme="minorHAnsi" w:cstheme="minorHAnsi"/>
          <w:sz w:val="22"/>
        </w:rPr>
      </w:pPr>
      <w:r w:rsidRPr="00F47BF8">
        <w:rPr>
          <w:rFonts w:asciiTheme="minorHAnsi" w:hAnsiTheme="minorHAnsi" w:cstheme="minorHAnsi"/>
          <w:sz w:val="22"/>
        </w:rPr>
        <w:t xml:space="preserve">The problem with </w:t>
      </w:r>
      <w:r>
        <w:rPr>
          <w:rFonts w:asciiTheme="minorHAnsi" w:hAnsiTheme="minorHAnsi" w:cstheme="minorHAnsi"/>
          <w:sz w:val="22"/>
        </w:rPr>
        <w:t xml:space="preserve">compliance with </w:t>
      </w:r>
      <w:r w:rsidRPr="00F47BF8">
        <w:rPr>
          <w:rFonts w:asciiTheme="minorHAnsi" w:hAnsiTheme="minorHAnsi" w:cstheme="minorHAnsi"/>
          <w:sz w:val="22"/>
        </w:rPr>
        <w:t xml:space="preserve">Article 25 in </w:t>
      </w:r>
      <w:r>
        <w:rPr>
          <w:rFonts w:asciiTheme="minorHAnsi" w:hAnsiTheme="minorHAnsi" w:cstheme="minorHAnsi"/>
          <w:sz w:val="22"/>
        </w:rPr>
        <w:t>the context of</w:t>
      </w:r>
      <w:r w:rsidRPr="00F47BF8">
        <w:rPr>
          <w:rFonts w:asciiTheme="minorHAnsi" w:hAnsiTheme="minorHAnsi" w:cstheme="minorHAnsi"/>
          <w:sz w:val="22"/>
        </w:rPr>
        <w:t xml:space="preserve"> AI is that </w:t>
      </w:r>
      <w:r>
        <w:rPr>
          <w:rFonts w:asciiTheme="minorHAnsi" w:hAnsiTheme="minorHAnsi" w:cstheme="minorHAnsi"/>
          <w:sz w:val="22"/>
        </w:rPr>
        <w:t xml:space="preserve">the obligations only </w:t>
      </w:r>
      <w:r w:rsidRPr="00F47BF8">
        <w:rPr>
          <w:rFonts w:asciiTheme="minorHAnsi" w:hAnsiTheme="minorHAnsi" w:cstheme="minorHAnsi"/>
          <w:sz w:val="22"/>
        </w:rPr>
        <w:t>appl</w:t>
      </w:r>
      <w:r>
        <w:rPr>
          <w:rFonts w:asciiTheme="minorHAnsi" w:hAnsiTheme="minorHAnsi" w:cstheme="minorHAnsi"/>
          <w:sz w:val="22"/>
        </w:rPr>
        <w:t>y</w:t>
      </w:r>
      <w:r w:rsidRPr="00F47BF8">
        <w:rPr>
          <w:rFonts w:asciiTheme="minorHAnsi" w:hAnsiTheme="minorHAnsi" w:cstheme="minorHAnsi"/>
          <w:sz w:val="22"/>
        </w:rPr>
        <w:t xml:space="preserve"> to controllers</w:t>
      </w:r>
      <w:r>
        <w:rPr>
          <w:rFonts w:asciiTheme="minorHAnsi" w:hAnsiTheme="minorHAnsi" w:cstheme="minorHAnsi"/>
          <w:sz w:val="22"/>
        </w:rPr>
        <w:t xml:space="preserve">.  They do not apply to </w:t>
      </w:r>
      <w:r w:rsidRPr="00F47BF8">
        <w:rPr>
          <w:rFonts w:asciiTheme="minorHAnsi" w:hAnsiTheme="minorHAnsi" w:cstheme="minorHAnsi"/>
          <w:sz w:val="22"/>
        </w:rPr>
        <w:t xml:space="preserve">processors. </w:t>
      </w:r>
      <w:r>
        <w:rPr>
          <w:rFonts w:asciiTheme="minorHAnsi" w:hAnsiTheme="minorHAnsi" w:cstheme="minorHAnsi"/>
          <w:sz w:val="22"/>
        </w:rPr>
        <w:t xml:space="preserve"> Retrofitting data protection by design and by default (at the point at which a system is sold to a business which is using it to monitor its workforce, for example) is neither practical nor commercially viable for the developers.  This risks leaving a gap in compliance.  </w:t>
      </w:r>
      <w:r w:rsidRPr="00F47BF8">
        <w:rPr>
          <w:rFonts w:asciiTheme="minorHAnsi" w:hAnsiTheme="minorHAnsi" w:cstheme="minorHAnsi"/>
          <w:sz w:val="22"/>
        </w:rPr>
        <w:t xml:space="preserve"> </w:t>
      </w:r>
    </w:p>
    <w:p w:rsidR="001526AD" w:rsidRPr="00F47BF8" w:rsidP="001D0918">
      <w:pPr>
        <w:pStyle w:val="BWBBullet4"/>
        <w:numPr>
          <w:ilvl w:val="0"/>
          <w:numId w:val="0"/>
        </w:numPr>
        <w:jc w:val="both"/>
        <w:rPr>
          <w:rStyle w:val="cf01"/>
          <w:rFonts w:asciiTheme="minorHAnsi" w:eastAsiaTheme="minorEastAsia" w:hAnsiTheme="minorHAnsi" w:cstheme="minorHAnsi"/>
          <w:color w:val="1E1E1E"/>
          <w:sz w:val="22"/>
          <w:szCs w:val="22"/>
        </w:rPr>
      </w:pPr>
      <w:r w:rsidRPr="00F47BF8">
        <w:rPr>
          <w:rStyle w:val="cf01"/>
          <w:rFonts w:asciiTheme="minorHAnsi" w:eastAsiaTheme="minorEastAsia" w:hAnsiTheme="minorHAnsi" w:cstheme="minorHAnsi"/>
          <w:b/>
          <w:bCs/>
          <w:sz w:val="22"/>
          <w:szCs w:val="22"/>
        </w:rPr>
        <w:t>Security</w:t>
      </w:r>
    </w:p>
    <w:p w:rsidR="001526AD" w:rsidRPr="00F47BF8" w:rsidP="00A25E5D">
      <w:pPr>
        <w:pStyle w:val="BWBLevel2"/>
        <w:rPr>
          <w:rStyle w:val="cf01"/>
          <w:rFonts w:asciiTheme="minorHAnsi" w:eastAsiaTheme="minorEastAsia" w:hAnsiTheme="minorHAnsi" w:cstheme="minorHAnsi"/>
          <w:sz w:val="22"/>
          <w:szCs w:val="22"/>
        </w:rPr>
      </w:pPr>
      <w:r w:rsidRPr="00F47BF8">
        <w:rPr>
          <w:rStyle w:val="cf01"/>
          <w:rFonts w:asciiTheme="minorHAnsi" w:eastAsiaTheme="minorEastAsia" w:hAnsiTheme="minorHAnsi" w:cstheme="minorHAnsi"/>
          <w:sz w:val="22"/>
          <w:szCs w:val="22"/>
        </w:rPr>
        <w:t xml:space="preserve">Article 32 </w:t>
      </w:r>
      <w:r>
        <w:rPr>
          <w:rStyle w:val="cf01"/>
          <w:rFonts w:asciiTheme="minorHAnsi" w:eastAsiaTheme="minorEastAsia" w:hAnsiTheme="minorHAnsi" w:cstheme="minorHAnsi"/>
          <w:sz w:val="22"/>
          <w:szCs w:val="22"/>
        </w:rPr>
        <w:t xml:space="preserve">of the </w:t>
      </w:r>
      <w:r w:rsidRPr="00F47BF8">
        <w:rPr>
          <w:rStyle w:val="cf01"/>
          <w:rFonts w:asciiTheme="minorHAnsi" w:eastAsiaTheme="minorEastAsia" w:hAnsiTheme="minorHAnsi" w:cstheme="minorHAnsi"/>
          <w:sz w:val="22"/>
          <w:szCs w:val="22"/>
        </w:rPr>
        <w:t xml:space="preserve">UK GDPR requires controllers and processors to implement “appropriate technical and organisational measures” to ensure a level of security appropriate to the risk. This </w:t>
      </w:r>
      <w:r>
        <w:rPr>
          <w:rStyle w:val="cf01"/>
          <w:rFonts w:asciiTheme="minorHAnsi" w:eastAsiaTheme="minorEastAsia" w:hAnsiTheme="minorHAnsi" w:cstheme="minorHAnsi"/>
          <w:sz w:val="22"/>
          <w:szCs w:val="22"/>
        </w:rPr>
        <w:t>obligation is o</w:t>
      </w:r>
      <w:r w:rsidRPr="00F47BF8">
        <w:rPr>
          <w:rStyle w:val="cf01"/>
          <w:rFonts w:asciiTheme="minorHAnsi" w:eastAsiaTheme="minorEastAsia" w:hAnsiTheme="minorHAnsi" w:cstheme="minorHAnsi"/>
          <w:sz w:val="22"/>
          <w:szCs w:val="22"/>
        </w:rPr>
        <w:t>utcome</w:t>
      </w:r>
      <w:r>
        <w:rPr>
          <w:rStyle w:val="cf01"/>
          <w:rFonts w:asciiTheme="minorHAnsi" w:eastAsiaTheme="minorEastAsia" w:hAnsiTheme="minorHAnsi" w:cstheme="minorHAnsi"/>
          <w:sz w:val="22"/>
          <w:szCs w:val="22"/>
        </w:rPr>
        <w:t>s</w:t>
      </w:r>
      <w:r w:rsidRPr="00F47BF8">
        <w:rPr>
          <w:rStyle w:val="cf01"/>
          <w:rFonts w:asciiTheme="minorHAnsi" w:eastAsiaTheme="minorEastAsia" w:hAnsiTheme="minorHAnsi" w:cstheme="minorHAnsi"/>
          <w:sz w:val="22"/>
          <w:szCs w:val="22"/>
        </w:rPr>
        <w:t>-focused</w:t>
      </w:r>
      <w:r>
        <w:rPr>
          <w:rStyle w:val="cf01"/>
          <w:rFonts w:asciiTheme="minorHAnsi" w:eastAsiaTheme="minorEastAsia" w:hAnsiTheme="minorHAnsi" w:cstheme="minorHAnsi"/>
          <w:sz w:val="22"/>
          <w:szCs w:val="22"/>
        </w:rPr>
        <w:t xml:space="preserve">.  The level of security required will depend on the context.   Regulatory guidance confirms that AI </w:t>
      </w:r>
      <w:r w:rsidRPr="00C16153">
        <w:rPr>
          <w:rFonts w:asciiTheme="minorHAnsi" w:eastAsiaTheme="minorEastAsia" w:hAnsiTheme="minorHAnsi" w:cstheme="minorHAnsi"/>
          <w:sz w:val="22"/>
        </w:rPr>
        <w:t xml:space="preserve">systems </w:t>
      </w:r>
      <w:r>
        <w:rPr>
          <w:rFonts w:asciiTheme="minorHAnsi" w:eastAsiaTheme="minorEastAsia" w:hAnsiTheme="minorHAnsi" w:cstheme="minorHAnsi"/>
          <w:sz w:val="22"/>
        </w:rPr>
        <w:t>“</w:t>
      </w:r>
      <w:r w:rsidRPr="00C16153">
        <w:rPr>
          <w:rFonts w:asciiTheme="minorHAnsi" w:eastAsiaTheme="minorEastAsia" w:hAnsiTheme="minorHAnsi" w:cstheme="minorHAnsi"/>
          <w:sz w:val="22"/>
        </w:rPr>
        <w:t>can exacerbate known security risks and make them more difficult to manage</w:t>
      </w:r>
      <w:r>
        <w:rPr>
          <w:rFonts w:asciiTheme="minorHAnsi" w:eastAsiaTheme="minorEastAsia" w:hAnsiTheme="minorHAnsi" w:cstheme="minorHAnsi"/>
          <w:sz w:val="22"/>
        </w:rPr>
        <w:t>”</w:t>
      </w:r>
      <w:r w:rsidRPr="00C16153">
        <w:rPr>
          <w:rFonts w:asciiTheme="minorHAnsi" w:eastAsiaTheme="minorEastAsia" w:hAnsiTheme="minorHAnsi" w:cstheme="minorHAnsi"/>
          <w:sz w:val="22"/>
        </w:rPr>
        <w:t>.</w:t>
      </w:r>
      <w:r>
        <w:rPr>
          <w:rStyle w:val="FootnoteReference"/>
          <w:rFonts w:asciiTheme="minorHAnsi" w:eastAsiaTheme="minorEastAsia" w:hAnsiTheme="minorHAnsi" w:cstheme="minorHAnsi"/>
          <w:sz w:val="22"/>
        </w:rPr>
        <w:footnoteReference w:id="71"/>
      </w:r>
      <w:r>
        <w:rPr>
          <w:rStyle w:val="cf01"/>
          <w:rFonts w:asciiTheme="minorHAnsi" w:eastAsiaTheme="minorEastAsia" w:hAnsiTheme="minorHAnsi" w:cstheme="minorHAnsi"/>
          <w:sz w:val="22"/>
          <w:szCs w:val="22"/>
        </w:rPr>
        <w:t xml:space="preserve"> U</w:t>
      </w:r>
      <w:r w:rsidRPr="00F47BF8">
        <w:rPr>
          <w:rStyle w:val="cf01"/>
          <w:rFonts w:asciiTheme="minorHAnsi" w:eastAsiaTheme="minorEastAsia" w:hAnsiTheme="minorHAnsi" w:cstheme="minorHAnsi"/>
          <w:sz w:val="22"/>
          <w:szCs w:val="22"/>
        </w:rPr>
        <w:t>nlike the data protection by design and default obligation, this security obligation also applies to processors</w:t>
      </w:r>
      <w:r>
        <w:rPr>
          <w:rStyle w:val="cf01"/>
          <w:rFonts w:asciiTheme="minorHAnsi" w:eastAsiaTheme="minorEastAsia" w:hAnsiTheme="minorHAnsi" w:cstheme="minorHAnsi"/>
          <w:sz w:val="22"/>
          <w:szCs w:val="22"/>
        </w:rPr>
        <w:t xml:space="preserve">.  Security should therefore be </w:t>
      </w:r>
      <w:r w:rsidRPr="00F47BF8">
        <w:rPr>
          <w:rStyle w:val="cf01"/>
          <w:rFonts w:asciiTheme="minorHAnsi" w:eastAsiaTheme="minorEastAsia" w:hAnsiTheme="minorHAnsi" w:cstheme="minorHAnsi"/>
          <w:sz w:val="22"/>
          <w:szCs w:val="22"/>
        </w:rPr>
        <w:t xml:space="preserve">considered throughout the entire AI lifecycle, from design to deployment. </w:t>
      </w:r>
    </w:p>
    <w:p w:rsidR="001526AD" w:rsidRPr="00F47BF8" w:rsidP="001D0918">
      <w:pPr>
        <w:pStyle w:val="BWBBullet4"/>
        <w:numPr>
          <w:ilvl w:val="0"/>
          <w:numId w:val="0"/>
        </w:numPr>
        <w:jc w:val="both"/>
        <w:rPr>
          <w:rStyle w:val="cf01"/>
          <w:rFonts w:asciiTheme="minorHAnsi" w:eastAsiaTheme="minorEastAsia" w:hAnsiTheme="minorHAnsi" w:cstheme="minorHAnsi"/>
          <w:sz w:val="22"/>
          <w:szCs w:val="22"/>
        </w:rPr>
      </w:pPr>
      <w:r w:rsidRPr="00F47BF8">
        <w:rPr>
          <w:rStyle w:val="cf01"/>
          <w:rFonts w:asciiTheme="minorHAnsi" w:eastAsiaTheme="minorEastAsia" w:hAnsiTheme="minorHAnsi" w:cstheme="minorHAnsi"/>
          <w:b/>
          <w:bCs/>
          <w:sz w:val="22"/>
          <w:szCs w:val="22"/>
        </w:rPr>
        <w:t>Data Protection Impact Assessment</w:t>
      </w:r>
      <w:r>
        <w:rPr>
          <w:rStyle w:val="cf01"/>
          <w:rFonts w:asciiTheme="minorHAnsi" w:eastAsiaTheme="minorEastAsia" w:hAnsiTheme="minorHAnsi" w:cstheme="minorHAnsi"/>
          <w:b/>
          <w:bCs/>
          <w:sz w:val="22"/>
          <w:szCs w:val="22"/>
        </w:rPr>
        <w:t>s</w:t>
      </w:r>
      <w:r w:rsidRPr="00F47BF8">
        <w:rPr>
          <w:rStyle w:val="cf01"/>
          <w:rFonts w:asciiTheme="minorHAnsi" w:eastAsiaTheme="minorEastAsia" w:hAnsiTheme="minorHAnsi" w:cstheme="minorHAnsi"/>
          <w:b/>
          <w:bCs/>
          <w:sz w:val="22"/>
          <w:szCs w:val="22"/>
        </w:rPr>
        <w:t xml:space="preserve"> (DPIA)</w:t>
      </w:r>
    </w:p>
    <w:p w:rsidR="001526AD" w:rsidRPr="0047502D" w:rsidP="001D0918">
      <w:pPr>
        <w:pStyle w:val="BWBLevel2"/>
        <w:rPr>
          <w:rFonts w:asciiTheme="minorHAnsi" w:hAnsiTheme="minorHAnsi" w:cstheme="minorHAnsi"/>
          <w:color w:val="1E1E1E"/>
          <w:sz w:val="22"/>
        </w:rPr>
      </w:pPr>
      <w:r>
        <w:rPr>
          <w:rStyle w:val="cf01"/>
          <w:rFonts w:asciiTheme="minorHAnsi" w:eastAsiaTheme="minorEastAsia" w:hAnsiTheme="minorHAnsi" w:cstheme="minorHAnsi"/>
          <w:sz w:val="22"/>
          <w:szCs w:val="22"/>
        </w:rPr>
        <w:t>DPIAs</w:t>
      </w:r>
      <w:r>
        <w:rPr>
          <w:rStyle w:val="FootnoteReference"/>
          <w:rFonts w:asciiTheme="minorHAnsi" w:eastAsiaTheme="minorEastAsia" w:hAnsiTheme="minorHAnsi" w:cstheme="minorHAnsi"/>
          <w:sz w:val="22"/>
        </w:rPr>
        <w:footnoteReference w:id="72"/>
      </w:r>
      <w:r>
        <w:rPr>
          <w:rStyle w:val="cf01"/>
          <w:rFonts w:asciiTheme="minorHAnsi" w:eastAsiaTheme="minorEastAsia" w:hAnsiTheme="minorHAnsi" w:cstheme="minorHAnsi"/>
          <w:sz w:val="22"/>
          <w:szCs w:val="22"/>
        </w:rPr>
        <w:t xml:space="preserve"> </w:t>
      </w:r>
      <w:r w:rsidRPr="00901C19">
        <w:rPr>
          <w:rStyle w:val="cf01"/>
          <w:rFonts w:asciiTheme="minorHAnsi" w:eastAsiaTheme="minorEastAsia" w:hAnsiTheme="minorHAnsi" w:cstheme="minorHAnsi"/>
          <w:sz w:val="22"/>
          <w:szCs w:val="22"/>
        </w:rPr>
        <w:t xml:space="preserve">are an extremely valuable tool for assessing the human rights implications of new technologies.  ICO </w:t>
      </w:r>
      <w:r>
        <w:rPr>
          <w:rStyle w:val="cf01"/>
          <w:rFonts w:asciiTheme="minorHAnsi" w:eastAsiaTheme="minorEastAsia" w:hAnsiTheme="minorHAnsi" w:cstheme="minorHAnsi"/>
          <w:sz w:val="22"/>
          <w:szCs w:val="22"/>
        </w:rPr>
        <w:t xml:space="preserve">guidance states that </w:t>
      </w:r>
      <w:r w:rsidRPr="00901C19">
        <w:rPr>
          <w:rStyle w:val="cf01"/>
          <w:rFonts w:asciiTheme="minorHAnsi" w:eastAsiaTheme="minorEastAsia" w:hAnsiTheme="minorHAnsi" w:cstheme="minorHAnsi"/>
          <w:sz w:val="22"/>
          <w:szCs w:val="22"/>
        </w:rPr>
        <w:t>“</w:t>
      </w:r>
      <w:r w:rsidRPr="00901C19">
        <w:rPr>
          <w:rFonts w:asciiTheme="minorHAnsi" w:hAnsiTheme="minorHAnsi" w:cstheme="minorHAnsi"/>
          <w:i/>
          <w:iCs/>
          <w:sz w:val="22"/>
        </w:rPr>
        <w:t>In the vast majority of cases, the use of AI will involve a type of processing likely to result in a high risk to individuals’ rights and freedoms, and will therefore trigger the legal requirement</w:t>
      </w:r>
      <w:r>
        <w:rPr>
          <w:rFonts w:asciiTheme="minorHAnsi" w:hAnsiTheme="minorHAnsi" w:cstheme="minorHAnsi"/>
          <w:i/>
          <w:iCs/>
          <w:sz w:val="22"/>
        </w:rPr>
        <w:t>…</w:t>
      </w:r>
      <w:r w:rsidRPr="00901C19">
        <w:rPr>
          <w:rFonts w:asciiTheme="minorHAnsi" w:hAnsiTheme="minorHAnsi" w:cstheme="minorHAnsi"/>
          <w:i/>
          <w:iCs/>
          <w:sz w:val="22"/>
        </w:rPr>
        <w:t>to undertake a DPIA.</w:t>
      </w:r>
      <w:r w:rsidRPr="00901C19">
        <w:rPr>
          <w:rFonts w:asciiTheme="minorHAnsi" w:hAnsiTheme="minorHAnsi" w:cstheme="minorHAnsi"/>
          <w:sz w:val="22"/>
        </w:rPr>
        <w:t>”</w:t>
      </w:r>
      <w:r w:rsidRPr="00901C19">
        <w:rPr>
          <w:rStyle w:val="cf01"/>
          <w:rFonts w:asciiTheme="minorHAnsi" w:eastAsiaTheme="minorEastAsia" w:hAnsiTheme="minorHAnsi" w:cstheme="minorHAnsi"/>
          <w:sz w:val="22"/>
          <w:szCs w:val="22"/>
        </w:rPr>
        <w:t xml:space="preserve"> </w:t>
      </w:r>
      <w:r>
        <w:rPr>
          <w:rStyle w:val="FootnoteReference"/>
          <w:rFonts w:asciiTheme="minorHAnsi" w:eastAsiaTheme="minorEastAsia" w:hAnsiTheme="minorHAnsi" w:cstheme="minorHAnsi"/>
          <w:sz w:val="22"/>
        </w:rPr>
        <w:footnoteReference w:id="73"/>
      </w:r>
      <w:r w:rsidRPr="00901C19">
        <w:rPr>
          <w:rStyle w:val="FootnoteReference"/>
          <w:rFonts w:asciiTheme="minorHAnsi" w:eastAsiaTheme="minorEastAsia" w:hAnsiTheme="minorHAnsi" w:cstheme="minorHAnsi"/>
          <w:sz w:val="22"/>
        </w:rPr>
        <w:t xml:space="preserve"> </w:t>
      </w:r>
    </w:p>
    <w:p w:rsidR="001526AD" w:rsidRPr="00901C19" w:rsidP="001D0918">
      <w:pPr>
        <w:pStyle w:val="BWBLevel2"/>
        <w:rPr>
          <w:rFonts w:asciiTheme="minorHAnsi" w:hAnsiTheme="minorHAnsi" w:cstheme="minorHAnsi"/>
          <w:color w:val="1E1E1E"/>
          <w:sz w:val="22"/>
        </w:rPr>
      </w:pPr>
      <w:r w:rsidRPr="00901C19">
        <w:rPr>
          <w:rStyle w:val="cf01"/>
          <w:rFonts w:asciiTheme="minorHAnsi" w:eastAsiaTheme="minorEastAsia" w:hAnsiTheme="minorHAnsi" w:cstheme="minorHAnsi"/>
          <w:sz w:val="22"/>
          <w:szCs w:val="22"/>
        </w:rPr>
        <w:t>DPIA</w:t>
      </w:r>
      <w:r>
        <w:rPr>
          <w:rStyle w:val="cf01"/>
          <w:rFonts w:asciiTheme="minorHAnsi" w:eastAsiaTheme="minorEastAsia" w:hAnsiTheme="minorHAnsi" w:cstheme="minorHAnsi"/>
          <w:sz w:val="22"/>
          <w:szCs w:val="22"/>
        </w:rPr>
        <w:t>s m</w:t>
      </w:r>
      <w:r w:rsidRPr="00901C19">
        <w:rPr>
          <w:rStyle w:val="cf01"/>
          <w:rFonts w:asciiTheme="minorHAnsi" w:eastAsiaTheme="minorEastAsia" w:hAnsiTheme="minorHAnsi" w:cstheme="minorHAnsi"/>
          <w:sz w:val="22"/>
          <w:szCs w:val="22"/>
        </w:rPr>
        <w:t>ust contain ”</w:t>
      </w:r>
      <w:r w:rsidRPr="00901C19">
        <w:rPr>
          <w:rFonts w:asciiTheme="minorHAnsi" w:hAnsiTheme="minorHAnsi" w:cstheme="minorHAnsi"/>
          <w:i/>
          <w:iCs/>
          <w:color w:val="1E1E1E"/>
          <w:sz w:val="22"/>
        </w:rPr>
        <w:t>an assessment of the risks to the rights and freedoms of data subjects</w:t>
      </w:r>
      <w:r w:rsidRPr="00901C19">
        <w:rPr>
          <w:rFonts w:asciiTheme="minorHAnsi" w:hAnsiTheme="minorHAnsi" w:cstheme="minorHAnsi"/>
          <w:color w:val="1E1E1E"/>
          <w:sz w:val="22"/>
        </w:rPr>
        <w:t>” and “</w:t>
      </w:r>
      <w:r w:rsidRPr="00901C19">
        <w:rPr>
          <w:rFonts w:asciiTheme="minorHAnsi" w:hAnsiTheme="minorHAnsi" w:cstheme="minorHAnsi"/>
          <w:i/>
          <w:iCs/>
          <w:color w:val="1E1E1E"/>
          <w:sz w:val="22"/>
        </w:rPr>
        <w:t>measures envisaged to address the risks...taking into account the rights and legitimate interests of data subjects and other persons concerned</w:t>
      </w:r>
      <w:r w:rsidRPr="00901C19">
        <w:rPr>
          <w:rFonts w:asciiTheme="minorHAnsi" w:hAnsiTheme="minorHAnsi" w:cstheme="minorHAnsi"/>
          <w:color w:val="1E1E1E"/>
          <w:sz w:val="22"/>
        </w:rPr>
        <w:t>” (</w:t>
      </w:r>
      <w:r>
        <w:rPr>
          <w:rFonts w:asciiTheme="minorHAnsi" w:hAnsiTheme="minorHAnsi" w:cstheme="minorHAnsi"/>
          <w:color w:val="1E1E1E"/>
          <w:sz w:val="22"/>
        </w:rPr>
        <w:t xml:space="preserve">see </w:t>
      </w:r>
      <w:r w:rsidRPr="00901C19">
        <w:rPr>
          <w:rFonts w:asciiTheme="minorHAnsi" w:hAnsiTheme="minorHAnsi" w:cstheme="minorHAnsi"/>
          <w:color w:val="1E1E1E"/>
          <w:sz w:val="22"/>
        </w:rPr>
        <w:t xml:space="preserve">Article 35(7) of the UK GDPR). The reference to ”rights and freedoms” </w:t>
      </w:r>
      <w:r>
        <w:rPr>
          <w:rFonts w:asciiTheme="minorHAnsi" w:hAnsiTheme="minorHAnsi" w:cstheme="minorHAnsi"/>
          <w:color w:val="1E1E1E"/>
          <w:sz w:val="22"/>
        </w:rPr>
        <w:t xml:space="preserve">means </w:t>
      </w:r>
      <w:r w:rsidRPr="00901C19">
        <w:rPr>
          <w:rFonts w:asciiTheme="minorHAnsi" w:hAnsiTheme="minorHAnsi" w:cstheme="minorHAnsi"/>
          <w:color w:val="1E1E1E"/>
          <w:sz w:val="22"/>
        </w:rPr>
        <w:t xml:space="preserve">that controllers are required to consider not only issues relating to </w:t>
      </w:r>
      <w:r w:rsidRPr="00901C19">
        <w:rPr>
          <w:rFonts w:asciiTheme="minorHAnsi" w:hAnsiTheme="minorHAnsi" w:cstheme="minorHAnsi"/>
          <w:color w:val="1E1E1E"/>
          <w:sz w:val="22"/>
        </w:rPr>
        <w:t>data protection or privacy, but more widely the risks to fundamental rights in the Human Rights Act and the Convention.</w:t>
      </w:r>
      <w:r>
        <w:rPr>
          <w:rStyle w:val="FootnoteReference"/>
          <w:rFonts w:asciiTheme="minorHAnsi" w:eastAsiaTheme="minorEastAsia" w:hAnsiTheme="minorHAnsi" w:cstheme="minorHAnsi"/>
          <w:color w:val="1E1E1E"/>
          <w:sz w:val="22"/>
        </w:rPr>
        <w:footnoteReference w:id="74"/>
      </w:r>
      <w:r w:rsidRPr="00901C19">
        <w:rPr>
          <w:rFonts w:asciiTheme="minorHAnsi" w:hAnsiTheme="minorHAnsi" w:cstheme="minorHAnsi"/>
          <w:color w:val="1E1E1E"/>
          <w:sz w:val="22"/>
        </w:rPr>
        <w:t xml:space="preserve"> </w:t>
      </w:r>
    </w:p>
    <w:p w:rsidR="001526AD" w:rsidP="001D0918">
      <w:pPr>
        <w:pStyle w:val="BWBLevel2"/>
        <w:rPr>
          <w:rFonts w:asciiTheme="minorHAnsi" w:hAnsiTheme="minorHAnsi" w:cstheme="minorHAnsi"/>
          <w:color w:val="2A2A2A"/>
          <w:sz w:val="22"/>
        </w:rPr>
      </w:pPr>
      <w:r>
        <w:rPr>
          <w:rFonts w:asciiTheme="minorHAnsi" w:hAnsiTheme="minorHAnsi" w:cstheme="minorHAnsi"/>
          <w:color w:val="1E1E1E"/>
          <w:sz w:val="22"/>
        </w:rPr>
        <w:t>However, despite the importance of DPIAs our experience is that most organisations do not know how to complete one.  They simply treat the process as a box-ticking exercise.  Others (even in highly regulated sectors of the economy) have no idea that this obligation exists. Commentators have pointed out “</w:t>
      </w:r>
      <w:r w:rsidRPr="00FB1BF3">
        <w:rPr>
          <w:rFonts w:asciiTheme="minorHAnsi" w:hAnsiTheme="minorHAnsi" w:cstheme="minorHAnsi"/>
          <w:i/>
          <w:iCs/>
          <w:color w:val="2A2A2A"/>
          <w:sz w:val="22"/>
        </w:rPr>
        <w:t>There has also been little regulatory guidance as to how organizations should assess risks to fundamental rights as part of their DPIA undertakings</w:t>
      </w:r>
      <w:r>
        <w:rPr>
          <w:rFonts w:asciiTheme="minorHAnsi" w:hAnsiTheme="minorHAnsi" w:cstheme="minorHAnsi"/>
          <w:i/>
          <w:iCs/>
          <w:color w:val="2A2A2A"/>
          <w:sz w:val="22"/>
        </w:rPr>
        <w:t>”.</w:t>
      </w:r>
      <w:r>
        <w:rPr>
          <w:rFonts w:asciiTheme="minorHAnsi" w:hAnsiTheme="minorHAnsi" w:cstheme="minorHAnsi"/>
          <w:color w:val="1E1E1E"/>
          <w:sz w:val="22"/>
        </w:rPr>
        <w:t xml:space="preserve"> </w:t>
      </w:r>
      <w:r>
        <w:rPr>
          <w:rStyle w:val="FootnoteReference"/>
          <w:rFonts w:asciiTheme="minorHAnsi" w:hAnsiTheme="minorHAnsi" w:cstheme="minorHAnsi"/>
          <w:color w:val="1E1E1E"/>
          <w:sz w:val="22"/>
        </w:rPr>
        <w:footnoteReference w:id="75"/>
      </w:r>
      <w:r>
        <w:rPr>
          <w:rFonts w:asciiTheme="minorHAnsi" w:hAnsiTheme="minorHAnsi" w:cstheme="minorHAnsi"/>
          <w:color w:val="1E1E1E"/>
          <w:sz w:val="22"/>
        </w:rPr>
        <w:t xml:space="preserve">  This in turn results in the outcomes detailed in the examples from the Communications Workers Union as set out at Appendix 1</w:t>
      </w:r>
      <w:r w:rsidRPr="00F47BF8">
        <w:rPr>
          <w:rFonts w:asciiTheme="minorHAnsi" w:hAnsiTheme="minorHAnsi" w:cstheme="minorHAnsi"/>
          <w:color w:val="1E1E1E"/>
          <w:sz w:val="22"/>
        </w:rPr>
        <w:t xml:space="preserve">. </w:t>
      </w:r>
      <w:r>
        <w:rPr>
          <w:rFonts w:asciiTheme="minorHAnsi" w:hAnsiTheme="minorHAnsi" w:cstheme="minorHAnsi"/>
          <w:color w:val="1E1E1E"/>
          <w:sz w:val="22"/>
        </w:rPr>
        <w:t xml:space="preserve">  As with many of the obligations under the UK GDPR, the obligation to complete a DPIA falls on controllers and not on processors.</w:t>
      </w:r>
    </w:p>
    <w:p w:rsidR="001526AD" w:rsidRPr="00ED314C" w:rsidP="00ED314C">
      <w:pPr>
        <w:spacing w:after="200" w:line="276" w:lineRule="auto"/>
        <w:rPr>
          <w:b/>
          <w:bCs/>
        </w:rPr>
      </w:pPr>
      <w:r>
        <w:rPr>
          <w:rFonts w:cstheme="minorHAnsi"/>
          <w:color w:val="2A2A2A"/>
        </w:rPr>
        <w:br w:type="page"/>
      </w:r>
      <w:r w:rsidRPr="00ED314C">
        <w:rPr>
          <w:rFonts w:cstheme="minorHAnsi"/>
          <w:b/>
          <w:bCs/>
          <w:color w:val="2A2A2A"/>
        </w:rPr>
        <w:t xml:space="preserve">Appendix 3 </w:t>
      </w:r>
      <w:r w:rsidRPr="00ED314C">
        <w:rPr>
          <w:rFonts w:cstheme="minorHAnsi"/>
          <w:b/>
          <w:bCs/>
          <w:color w:val="1E1E1E"/>
        </w:rPr>
        <w:t xml:space="preserve">– </w:t>
      </w:r>
      <w:r w:rsidRPr="00ED314C">
        <w:rPr>
          <w:b/>
          <w:bCs/>
        </w:rPr>
        <w:t>introduction to the authors and our reason for submitting evidence</w:t>
      </w:r>
    </w:p>
    <w:p w:rsidR="001526AD" w:rsidRPr="004828F3" w:rsidP="004828F3">
      <w:pPr>
        <w:rPr>
          <w:rFonts w:ascii="Arial" w:hAnsi="Arial" w:eastAsiaTheme="minorHAnsi" w:cs="Arial"/>
          <w:bCs/>
          <w:sz w:val="20"/>
          <w:lang w:eastAsia="en-US"/>
        </w:rPr>
      </w:pPr>
      <w:r w:rsidRPr="004828F3">
        <w:rPr>
          <w:rFonts w:ascii="Arial" w:hAnsi="Arial" w:eastAsiaTheme="minorHAnsi" w:cs="Arial"/>
          <w:bCs/>
          <w:sz w:val="20"/>
          <w:lang w:eastAsia="en-US"/>
        </w:rPr>
        <w:t>Eleonor Duhs is a barrister.  She is a partner and the head of data and privacy at Bates Wells LLP in London.  She advises regulators, public sector bodies, commercial companies and third sector organisations on all aspects of data and privacy law including the privacy aspects of new technologies, international data transfers, data and human rights and the UK’s post-Brexit legal frameworks.  She was previously a senior UK government lawyer and lead lawyer in negotiations on the GDPR.  She worked at the Foreign and Commonwealth Office, advising on EU and international law and in the Department for Exiting the European Union where she led on the core provisions of the European Union (Withdrawal) Act 2018 and aspects of the EU-UK Withdrawal Agreement and the Framework for the Future EU-UK relationship.    She has co-authored a well-received book on Brexit:  Retained EU law:  a Practical Guide, published by the Law Society. </w:t>
      </w:r>
    </w:p>
    <w:p w:rsidR="001526AD" w:rsidRPr="002B5922" w:rsidP="002B5922">
      <w:pPr>
        <w:rPr>
          <w:rFonts w:ascii="Arial" w:hAnsi="Arial" w:eastAsiaTheme="minorHAnsi" w:cs="Arial"/>
          <w:bCs/>
          <w:sz w:val="20"/>
          <w:lang w:eastAsia="en-US"/>
        </w:rPr>
      </w:pPr>
      <w:r w:rsidRPr="002B5922">
        <w:rPr>
          <w:rFonts w:ascii="Arial" w:hAnsi="Arial" w:eastAsiaTheme="minorHAnsi" w:cs="Arial"/>
          <w:bCs/>
          <w:sz w:val="20"/>
          <w:lang w:eastAsia="en-US"/>
        </w:rPr>
        <w:t>Sara (Ji Won) Moon is a solicitor in the Data &amp; Privacy team at Bates Wells LLP in London. She advises a wide range of clients, from companies to not-for-profit organisations and public bodies, on all aspects of data protection and privacy law. She helps clients navigate complex regulatory requirements and embed privacy compliance into their operations, including in matters involving the use of AI. Sara previously worked as legal counsel at a tech startup in London. There, she advised on multiple AI initiatives and led the practical implementation of data protection requirements within the company’s systems and services.</w:t>
      </w:r>
    </w:p>
    <w:p w:rsidR="001526AD" w:rsidRPr="008C71D4" w:rsidP="00436DD5">
      <w:pPr>
        <w:rPr>
          <w:b/>
          <w:bCs/>
          <w:lang w:eastAsia="en-US"/>
        </w:rPr>
      </w:pPr>
      <w:r w:rsidRPr="008C71D4">
        <w:rPr>
          <w:b/>
          <w:bCs/>
          <w:lang w:eastAsia="en-US"/>
        </w:rPr>
        <w:t>Reason for submission</w:t>
      </w:r>
    </w:p>
    <w:p w:rsidR="001526AD" w:rsidRPr="002B5922" w:rsidP="00436DD5">
      <w:pPr>
        <w:rPr>
          <w:rFonts w:ascii="Arial" w:hAnsi="Arial" w:eastAsiaTheme="minorHAnsi" w:cs="Arial"/>
          <w:bCs/>
          <w:sz w:val="20"/>
          <w:lang w:eastAsia="en-US"/>
        </w:rPr>
      </w:pPr>
      <w:r w:rsidRPr="002B5922">
        <w:rPr>
          <w:rFonts w:ascii="Arial" w:hAnsi="Arial" w:eastAsiaTheme="minorHAnsi" w:cs="Arial"/>
          <w:bCs/>
          <w:sz w:val="20"/>
          <w:lang w:eastAsia="en-US"/>
        </w:rPr>
        <w:t xml:space="preserve">The data &amp; privacy team at Bates Wells regularly advises clients on the application of data protection law to AI technologies.   We hope that this submission will be useful to the Committee in helping them to understand </w:t>
      </w:r>
      <w:r>
        <w:rPr>
          <w:rFonts w:ascii="Arial" w:hAnsi="Arial" w:eastAsiaTheme="minorHAnsi" w:cs="Arial"/>
          <w:bCs/>
          <w:sz w:val="20"/>
          <w:lang w:eastAsia="en-US"/>
        </w:rPr>
        <w:t>the complex interactions between human rights and the regulation of AI, focussing on data protection</w:t>
      </w:r>
      <w:r w:rsidRPr="002B5922">
        <w:rPr>
          <w:rFonts w:ascii="Arial" w:hAnsi="Arial" w:eastAsiaTheme="minorHAnsi" w:cs="Arial"/>
          <w:bCs/>
          <w:sz w:val="20"/>
          <w:lang w:eastAsia="en-US"/>
        </w:rPr>
        <w:t>.</w:t>
      </w:r>
    </w:p>
    <w:p w:rsidR="001526AD" w:rsidP="00436DD5">
      <w:pPr>
        <w:rPr>
          <w:rFonts w:ascii="Arial" w:hAnsi="Arial" w:eastAsiaTheme="minorHAnsi" w:cs="Arial"/>
          <w:bCs/>
          <w:sz w:val="20"/>
          <w:lang w:eastAsia="en-US"/>
        </w:rPr>
      </w:pPr>
      <w:r w:rsidRPr="002B5922">
        <w:rPr>
          <w:rFonts w:ascii="Arial" w:hAnsi="Arial" w:eastAsiaTheme="minorHAnsi" w:cs="Arial"/>
          <w:bCs/>
          <w:sz w:val="20"/>
          <w:lang w:eastAsia="en-US"/>
        </w:rPr>
        <w:t>The team has a longstanding interest in legislating and policy.  Eleonor has worked on bills and secondary legislation and advised on government policy when she was a GLD lawyer.  Since leaving government she has given evidence on Parliament several times, most recently to the European Affairs Committee for their inquiry into data adequacy.  The team also works with the SOAS Influencing the Corridors of Power programme to draft briefing for Parliamentary debates.</w:t>
      </w:r>
    </w:p>
    <w:p w:rsidR="0073425E" w:rsidP="00436DD5">
      <w:pPr>
        <w:rPr>
          <w:rFonts w:ascii="Arial" w:hAnsi="Arial" w:eastAsiaTheme="minorHAnsi" w:cs="Arial"/>
          <w:bCs/>
          <w:sz w:val="20"/>
          <w:lang w:eastAsia="en-US"/>
        </w:rPr>
      </w:pPr>
    </w:p>
    <w:p w:rsidR="0073425E" w:rsidRPr="0073425E" w:rsidP="00436DD5">
      <w:pPr>
        <w:rPr>
          <w:rFonts w:ascii="Arial" w:hAnsi="Arial" w:eastAsiaTheme="minorHAnsi" w:cs="Arial"/>
          <w:b/>
          <w:i/>
          <w:iCs/>
          <w:sz w:val="20"/>
          <w:lang w:eastAsia="en-US"/>
        </w:rPr>
      </w:pPr>
      <w:r w:rsidRPr="0073425E">
        <w:rPr>
          <w:rFonts w:ascii="Arial" w:hAnsi="Arial" w:eastAsiaTheme="minorHAnsi" w:cs="Arial"/>
          <w:b/>
          <w:i/>
          <w:iCs/>
          <w:sz w:val="20"/>
          <w:lang w:eastAsia="en-US"/>
        </w:rPr>
        <w:t>(Sept 2025)</w:t>
      </w:r>
    </w:p>
    <w:sectPr w:rsidSect="00B837A8">
      <w:footerReference w:type="default" r:id="rId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78803394"/>
      <w:docPartObj>
        <w:docPartGallery w:val="Page Numbers (Bottom of Page)"/>
        <w:docPartUnique/>
      </w:docPartObj>
    </w:sdtPr>
    <w:sdtContent>
      <w:p w:rsidR="001526AD">
        <w:pPr>
          <w:pStyle w:val="Footer"/>
          <w:jc w:val="center"/>
        </w:pPr>
        <w:r>
          <w:fldChar w:fldCharType="begin"/>
        </w:r>
        <w:r>
          <w:instrText>PAGE   \* MERGEFORMAT</w:instrText>
        </w:r>
        <w:r>
          <w:fldChar w:fldCharType="separate"/>
        </w:r>
        <w:r>
          <w:t>2</w:t>
        </w:r>
        <w:r>
          <w:fldChar w:fldCharType="end"/>
        </w:r>
      </w:p>
    </w:sdtContent>
  </w:sdt>
  <w:p w:rsidR="001526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526AD" w:rsidP="00AF5EA5">
      <w:pPr>
        <w:spacing w:after="0" w:line="240" w:lineRule="auto"/>
      </w:pPr>
      <w:r>
        <w:separator/>
      </w:r>
    </w:p>
  </w:footnote>
  <w:footnote w:type="continuationSeparator" w:id="1">
    <w:p w:rsidR="001526AD" w:rsidP="00AF5EA5">
      <w:pPr>
        <w:spacing w:after="0" w:line="240" w:lineRule="auto"/>
      </w:pPr>
      <w:r>
        <w:continuationSeparator/>
      </w:r>
    </w:p>
  </w:footnote>
  <w:footnote w:id="2">
    <w:p w:rsidR="00AB5C84" w:rsidP="00AB5C84">
      <w:pPr>
        <w:pStyle w:val="FootnoteText"/>
      </w:pPr>
      <w:r>
        <w:rPr>
          <w:rStyle w:val="FootnoteReference"/>
        </w:rPr>
        <w:footnoteRef/>
      </w:r>
      <w:r>
        <w:t xml:space="preserve"> Please see Appendix 3 for </w:t>
      </w:r>
      <w:r w:rsidRPr="00436DD5">
        <w:t xml:space="preserve">an introduction to </w:t>
      </w:r>
      <w:r>
        <w:t xml:space="preserve">the authors and our </w:t>
      </w:r>
      <w:r w:rsidRPr="00436DD5">
        <w:t>reason for submitting evidence</w:t>
      </w:r>
      <w:r>
        <w:t>.</w:t>
      </w:r>
    </w:p>
  </w:footnote>
  <w:footnote w:id="3">
    <w:p w:rsidR="001526AD" w:rsidRPr="008D2682" w:rsidP="008D2682">
      <w:pPr>
        <w:pStyle w:val="FootnoteText"/>
      </w:pPr>
      <w:r>
        <w:rPr>
          <w:rStyle w:val="FootnoteReference"/>
        </w:rPr>
        <w:footnoteRef/>
      </w:r>
      <w:r>
        <w:t xml:space="preserve"> </w:t>
      </w:r>
      <w:r w:rsidRPr="008D2682">
        <w:t>Wigmore, I. (2020). </w:t>
      </w:r>
      <w:r w:rsidRPr="008D2682">
        <w:rPr>
          <w:i/>
          <w:iCs/>
        </w:rPr>
        <w:t xml:space="preserve">What is </w:t>
      </w:r>
      <w:r>
        <w:rPr>
          <w:i/>
          <w:iCs/>
        </w:rPr>
        <w:t xml:space="preserve">the </w:t>
      </w:r>
      <w:r w:rsidRPr="008D2682">
        <w:rPr>
          <w:i/>
          <w:iCs/>
        </w:rPr>
        <w:t>Fourth Industrial Revolution? - Definition from WhatIs.com</w:t>
      </w:r>
      <w:r w:rsidRPr="008D2682">
        <w:t>. [online] WhatIs.com. Available at: https://www.techtarget.com/whatis/definition/fourth-industrial-revolution.</w:t>
      </w:r>
    </w:p>
    <w:p w:rsidR="001526AD" w:rsidRPr="008D2682" w:rsidP="008D2682">
      <w:pPr>
        <w:pStyle w:val="FootnoteText"/>
      </w:pPr>
      <w:r w:rsidRPr="008D2682">
        <w:t>‌</w:t>
      </w:r>
    </w:p>
    <w:p w:rsidR="001526AD">
      <w:pPr>
        <w:pStyle w:val="FootnoteText"/>
      </w:pPr>
    </w:p>
  </w:footnote>
  <w:footnote w:id="4">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Pr>
          <w:rFonts w:ascii="Calibri" w:hAnsi="Calibri" w:cs="Calibri"/>
        </w:rPr>
        <w:t xml:space="preserve"> See for example </w:t>
      </w:r>
      <w:r w:rsidRPr="000B3B99">
        <w:rPr>
          <w:rFonts w:ascii="Calibri" w:hAnsi="Calibri" w:cs="Calibri"/>
        </w:rPr>
        <w:t>Ayre, L.B., &amp; Craner, J. (2018). The Baked-in Bias of Algorithms. Collaborative Librarianship, 10 (2), 3, Retrieved from https://digitalcommons.du.edu/ collaborativelibrarianship/vol10/iss2/3</w:t>
      </w:r>
      <w:r>
        <w:rPr>
          <w:rFonts w:ascii="Calibri" w:hAnsi="Calibri" w:cs="Calibri"/>
        </w:rPr>
        <w:t xml:space="preserve"> and </w:t>
      </w:r>
      <w:r w:rsidRPr="000D00D4">
        <w:rPr>
          <w:rFonts w:ascii="Calibri" w:hAnsi="Calibri" w:cs="Calibri"/>
        </w:rPr>
        <w:t>Ntoutsi, E., Fafalios, P., Gadiraju, U., Iosifidis, V., Nejdl, W., Vidal, M.,  Staab, S. (2020). Bias in data-driven artificial intelligence systems - An introductory survey. WIREs Data Mining Knowl. Discov., 10 (3), , https://doi.org/10.1002/ widm.1356</w:t>
      </w:r>
      <w:r>
        <w:rPr>
          <w:rFonts w:ascii="Calibri" w:hAnsi="Calibri" w:cs="Calibri"/>
        </w:rPr>
        <w:t xml:space="preserve">.  </w:t>
      </w:r>
    </w:p>
  </w:footnote>
  <w:footnote w:id="5">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D. Erdos, ‘</w:t>
      </w:r>
      <w:r w:rsidRPr="00124778">
        <w:rPr>
          <w:rFonts w:ascii="Calibri" w:hAnsi="Calibri" w:cs="Calibri"/>
          <w:i/>
          <w:iCs/>
        </w:rPr>
        <w:t>The UK Information Commissioner’s Annual Report 2024/25: Surveying a Systematic Trend Away from Adequate Enforcement</w:t>
      </w:r>
      <w:r w:rsidRPr="00124778">
        <w:rPr>
          <w:rFonts w:ascii="Calibri" w:hAnsi="Calibri" w:cs="Calibri"/>
        </w:rPr>
        <w:t>’, U.K. Const. L. Blog (22nd July 2025) (available at </w:t>
      </w:r>
      <w:r>
        <w:fldChar w:fldCharType="begin"/>
      </w:r>
      <w:r>
        <w:instrText xml:space="preserve"> HYPERLINK "https://ukconstitutionallaw.org/2025/07/22/david-erdos-the-uk-information-commissioners-annual-report-2024-25-surveying-a-systematic-trend-away-from-adequate-enforcement/" </w:instrText>
      </w:r>
      <w:r>
        <w:fldChar w:fldCharType="separate"/>
      </w:r>
      <w:r w:rsidRPr="00124778">
        <w:rPr>
          <w:rStyle w:val="Hyperlink"/>
          <w:rFonts w:ascii="Calibri" w:hAnsi="Calibri" w:cs="Calibri"/>
        </w:rPr>
        <w:t>David Erdos: The UK Information Commissioner’s Annual Report 2024/25: Surveying a Systematic Trend Away from Adequate Enforcement – UK Constitutional Law Association</w:t>
      </w:r>
      <w:r>
        <w:fldChar w:fldCharType="end"/>
      </w:r>
      <w:r w:rsidRPr="00124778">
        <w:rPr>
          <w:rFonts w:ascii="Calibri" w:hAnsi="Calibri" w:cs="Calibri"/>
        </w:rPr>
        <w:t>)</w:t>
      </w:r>
    </w:p>
  </w:footnote>
  <w:footnote w:id="6">
    <w:p w:rsidR="001526AD">
      <w:pPr>
        <w:pStyle w:val="FootnoteText"/>
      </w:pPr>
      <w:r>
        <w:rPr>
          <w:rStyle w:val="FootnoteReference"/>
        </w:rPr>
        <w:footnoteRef/>
      </w:r>
      <w:r>
        <w:t xml:space="preserve"> The GDPR no longer applies in the UK following the UK’s departure from the EU.  However, </w:t>
      </w:r>
      <w:r w:rsidRPr="00D61F25">
        <w:t>the European Union (Withdrawal) Act 2018 saved Regulation (EU) 2016/679 (General Data Protection Regulation) (the “EU GDPR”) and turned it into domestic law (see section 3 of the European Union (Withdrawal) Act 2018</w:t>
      </w:r>
      <w:r>
        <w:t>)</w:t>
      </w:r>
      <w:r w:rsidRPr="00D61F25">
        <w:t>.   The EU GDPR was renamed the UK GDPR (see SI 2019/419, reg 3, Sch 1, paras 1, 2).   The UK GDPR and the EU GDPR have diverged to an extent, but in most areas the text is identical.</w:t>
      </w:r>
      <w:r>
        <w:t xml:space="preserve">  Further, the underlying human rights foundation is important for the understanding and interpretation of the UK GDPR.</w:t>
      </w:r>
    </w:p>
  </w:footnote>
  <w:footnote w:id="7">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Article 8 of the Charter states</w:t>
      </w:r>
      <w:r>
        <w:rPr>
          <w:rFonts w:ascii="Calibri" w:hAnsi="Calibri" w:cs="Calibri"/>
        </w:rPr>
        <w:t>:</w:t>
      </w:r>
      <w:r w:rsidRPr="00124778">
        <w:rPr>
          <w:rFonts w:ascii="Calibri" w:hAnsi="Calibri" w:cs="Calibri"/>
        </w:rPr>
        <w:t xml:space="preserve"> </w:t>
      </w:r>
    </w:p>
    <w:p w:rsidR="001526AD" w:rsidRPr="00124778" w:rsidP="00124778">
      <w:pPr>
        <w:pStyle w:val="FootnoteText"/>
        <w:jc w:val="both"/>
        <w:rPr>
          <w:rFonts w:ascii="Calibri" w:hAnsi="Calibri" w:cs="Calibri"/>
        </w:rPr>
      </w:pPr>
      <w:r w:rsidRPr="00124778">
        <w:rPr>
          <w:rFonts w:ascii="Calibri" w:hAnsi="Calibri" w:cs="Calibri"/>
        </w:rPr>
        <w:t>1. Everyone has the right to the protection of personal data concerning him or her.</w:t>
      </w:r>
      <w:r w:rsidRPr="00124778">
        <w:rPr>
          <w:rFonts w:ascii="Calibri" w:hAnsi="Calibri" w:cs="Calibri"/>
        </w:rPr>
        <w:br/>
        <w:t>2. Such data must be processed fairly for specified purposes and on the basis of the consent of the person concerned or some other legitimate basis laid down by law. Everyone has the right of access to data which has been collected concerning him or her, and the right to have it rectified.</w:t>
      </w:r>
      <w:r w:rsidRPr="00124778">
        <w:rPr>
          <w:rFonts w:ascii="Calibri" w:hAnsi="Calibri" w:cs="Calibri"/>
        </w:rPr>
        <w:br/>
        <w:t>3. Compliance with these rules shall be subject to control by an independent authority.</w:t>
      </w:r>
    </w:p>
  </w:footnote>
  <w:footnote w:id="8">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Article 16 TFEU states:</w:t>
      </w:r>
    </w:p>
    <w:p w:rsidR="001526AD" w:rsidRPr="00124778" w:rsidP="00124778">
      <w:pPr>
        <w:pStyle w:val="FootnoteText"/>
        <w:jc w:val="both"/>
        <w:rPr>
          <w:rFonts w:ascii="Calibri" w:hAnsi="Calibri" w:cs="Calibri"/>
        </w:rPr>
      </w:pPr>
      <w:r w:rsidRPr="00124778">
        <w:rPr>
          <w:rFonts w:ascii="Calibri" w:hAnsi="Calibri" w:cs="Calibri"/>
        </w:rPr>
        <w:t>1.   Everyone has the right to the protection of personal data concerning them.</w:t>
      </w:r>
    </w:p>
    <w:p w:rsidR="001526AD" w:rsidRPr="00124778" w:rsidP="00124778">
      <w:pPr>
        <w:pStyle w:val="FootnoteText"/>
        <w:jc w:val="both"/>
        <w:rPr>
          <w:rFonts w:ascii="Calibri" w:hAnsi="Calibri" w:cs="Calibri"/>
        </w:rPr>
      </w:pPr>
      <w:r w:rsidRPr="00124778">
        <w:rPr>
          <w:rFonts w:ascii="Calibri" w:hAnsi="Calibri" w:cs="Calibri"/>
        </w:rPr>
        <w:t>2.   The European Parliament and the Council, acting in accordance with the ordinary legislative procedure, shall lay down the rules relating to the protection of individuals with regard to the processing of personal data by Union institutions, bodies, offices and agencies, and by the Member States when carrying out activities which fall within the scope of Union law, and the rules relating to the free movement of such data. Compliance with these rules shall be subject to the control of independent authorities.</w:t>
      </w:r>
    </w:p>
    <w:p w:rsidR="001526AD" w:rsidRPr="00124778" w:rsidP="00124778">
      <w:pPr>
        <w:pStyle w:val="FootnoteText"/>
        <w:jc w:val="both"/>
        <w:rPr>
          <w:rFonts w:ascii="Calibri" w:hAnsi="Calibri" w:cs="Calibri"/>
        </w:rPr>
      </w:pPr>
      <w:r w:rsidRPr="00124778">
        <w:rPr>
          <w:rFonts w:ascii="Calibri" w:hAnsi="Calibri" w:cs="Calibri"/>
        </w:rPr>
        <w:t>The rules adopted on the basis of this Article shall be without prejudice to the specific rules laid down in Article 39 of the Treaty on European Union.</w:t>
      </w:r>
    </w:p>
  </w:footnote>
  <w:footnote w:id="9">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The full charter explanation relating to Article 8 states:  This Article has been based on Article 286 of the Treaty establishing the European Community and Directive 95/46/EC of the European Parliament and of the Council on the protection of individuals with regard to the processing of personal data and on the free movement of such data (</w:t>
      </w:r>
      <w:r>
        <w:fldChar w:fldCharType="begin"/>
      </w:r>
      <w:r>
        <w:instrText xml:space="preserve"> HYPERLINK "https://eur-lex.europa.eu/legal-content/EN/AUTO/?uri=OJ:L:1995:281:TOC" </w:instrText>
      </w:r>
      <w:r>
        <w:fldChar w:fldCharType="separate"/>
      </w:r>
      <w:r w:rsidRPr="00124778">
        <w:rPr>
          <w:rStyle w:val="Hyperlink"/>
          <w:rFonts w:ascii="Calibri" w:hAnsi="Calibri" w:cs="Calibri"/>
        </w:rPr>
        <w:t>OJ L 281, 23.11.1995, p. 31</w:t>
      </w:r>
      <w:r>
        <w:fldChar w:fldCharType="end"/>
      </w:r>
      <w:r w:rsidRPr="00124778">
        <w:rPr>
          <w:rFonts w:ascii="Calibri" w:hAnsi="Calibri" w:cs="Calibri"/>
        </w:rPr>
        <w:t>) as well as on Article 8 of the ECHR and on the Council of Europe Convention of 28 January 1981 for the Protection of Individuals with regard to Automatic Processing of Personal Data, which has been ratified by all the Member States. Article 286 of the EC Treaty is now replaced by Article 16 of the Treaty on the Functioning of the European Union and Article 39 of the Treaty on European Union. Reference is also made to Regulation (EC) No 45/2001 of the European Parliament and of the Council on the protection of individuals with regard to the processing of personal data by the Community institutions and bodies and on the free movement of such data (</w:t>
      </w:r>
      <w:r>
        <w:fldChar w:fldCharType="begin"/>
      </w:r>
      <w:r>
        <w:instrText xml:space="preserve"> HYPERLINK "https://eur-lex.europa.eu/legal-content/EN/AUTO/?uri=OJ:L:2001:008:TOC" </w:instrText>
      </w:r>
      <w:r>
        <w:fldChar w:fldCharType="separate"/>
      </w:r>
      <w:r w:rsidRPr="00124778">
        <w:rPr>
          <w:rStyle w:val="Hyperlink"/>
          <w:rFonts w:ascii="Calibri" w:hAnsi="Calibri" w:cs="Calibri"/>
        </w:rPr>
        <w:t>OJ L 8, 12.1.2001, p. 1</w:t>
      </w:r>
      <w:r>
        <w:fldChar w:fldCharType="end"/>
      </w:r>
      <w:r w:rsidRPr="00124778">
        <w:rPr>
          <w:rFonts w:ascii="Calibri" w:hAnsi="Calibri" w:cs="Calibri"/>
        </w:rPr>
        <w:t>). The above-mentioned Directive and Regulation contain conditions and limitations for the exercise of the right to the protection of personal data.</w:t>
      </w:r>
    </w:p>
  </w:footnote>
  <w:footnote w:id="10">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section 5(4) of the European Union (Withdrawal) Act 2018.</w:t>
      </w:r>
    </w:p>
  </w:footnote>
  <w:footnote w:id="11">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section 2 of the Retained EU Law (Revocation and Reform) Act 2023.  For further discussion of the retention of the rights listed in the Charter prior to the coming into force of the relevant provisions of the Retained EU Law (Revocation and Reform) Act 2023 see Duhs, E. and Rao, I. (2021). </w:t>
      </w:r>
      <w:r w:rsidRPr="00124778">
        <w:rPr>
          <w:rFonts w:ascii="Calibri" w:hAnsi="Calibri" w:cs="Calibri"/>
          <w:i/>
          <w:iCs/>
        </w:rPr>
        <w:t>Retained EU law : a practical guide</w:t>
      </w:r>
      <w:r w:rsidRPr="00124778">
        <w:rPr>
          <w:rFonts w:ascii="Calibri" w:hAnsi="Calibri" w:cs="Calibri"/>
        </w:rPr>
        <w:t>. London: The Law Society at 14.4 and Appendix D.</w:t>
      </w:r>
    </w:p>
  </w:footnote>
  <w:footnote w:id="12">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the </w:t>
      </w:r>
      <w:r w:rsidRPr="00124778">
        <w:rPr>
          <w:rFonts w:ascii="Calibri" w:hAnsi="Calibri" w:cs="Calibri"/>
          <w:i/>
          <w:iCs/>
        </w:rPr>
        <w:t>Data Protection (Fundamental Rights and Freedoms)(Amendment) Regulations</w:t>
      </w:r>
      <w:r w:rsidRPr="00124778">
        <w:rPr>
          <w:rFonts w:ascii="Calibri" w:hAnsi="Calibri" w:cs="Calibri"/>
        </w:rPr>
        <w:t xml:space="preserve"> </w:t>
      </w:r>
      <w:r w:rsidRPr="00124778">
        <w:rPr>
          <w:rFonts w:ascii="Calibri" w:hAnsi="Calibri" w:cs="Calibri"/>
          <w:i/>
          <w:iCs/>
        </w:rPr>
        <w:t>2023</w:t>
      </w:r>
      <w:r w:rsidRPr="00124778">
        <w:rPr>
          <w:rFonts w:ascii="Calibri" w:hAnsi="Calibri" w:cs="Calibri"/>
        </w:rPr>
        <w:t>. SI 2023/1417.  London:  the Stationary Office, Regulation 2 and 3.</w:t>
      </w:r>
    </w:p>
  </w:footnote>
  <w:footnote w:id="13">
    <w:p w:rsidR="001526AD" w:rsidRPr="007E79CA" w:rsidP="007E79CA">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This includes references in both the recitals and the operative text</w:t>
      </w:r>
      <w:r>
        <w:rPr>
          <w:rFonts w:ascii="Calibri" w:hAnsi="Calibri" w:cs="Calibri"/>
        </w:rPr>
        <w:t xml:space="preserve">.  The recitals are part of the UK GDPR following the UK’s departure from the EU.  They are there to explain the legislation.  For further information see </w:t>
      </w:r>
      <w:r w:rsidRPr="007E79CA">
        <w:rPr>
          <w:rFonts w:ascii="Calibri" w:hAnsi="Calibri" w:cs="Calibri"/>
        </w:rPr>
        <w:t>Duhs, E. and Rao, I. (2021). </w:t>
      </w:r>
      <w:r w:rsidRPr="007E79CA">
        <w:rPr>
          <w:rFonts w:ascii="Calibri" w:hAnsi="Calibri" w:cs="Calibri"/>
          <w:i/>
          <w:iCs/>
        </w:rPr>
        <w:t>Retained EU law : a practical guide</w:t>
      </w:r>
      <w:r w:rsidRPr="007E79CA">
        <w:rPr>
          <w:rFonts w:ascii="Calibri" w:hAnsi="Calibri" w:cs="Calibri"/>
        </w:rPr>
        <w:t>. London: The Law Society</w:t>
      </w:r>
      <w:r>
        <w:rPr>
          <w:rFonts w:ascii="Calibri" w:hAnsi="Calibri" w:cs="Calibri"/>
        </w:rPr>
        <w:t xml:space="preserve"> at 3.2.2 and 12.3.</w:t>
      </w:r>
    </w:p>
    <w:p w:rsidR="001526AD" w:rsidRPr="007E79CA" w:rsidP="007E79CA">
      <w:pPr>
        <w:pStyle w:val="FootnoteText"/>
        <w:jc w:val="both"/>
        <w:rPr>
          <w:rFonts w:ascii="Calibri" w:hAnsi="Calibri" w:cs="Calibri"/>
        </w:rPr>
      </w:pPr>
      <w:r w:rsidRPr="007E79CA">
        <w:rPr>
          <w:rFonts w:ascii="Calibri" w:hAnsi="Calibri" w:cs="Calibri"/>
        </w:rPr>
        <w:t>‌</w:t>
      </w:r>
    </w:p>
    <w:p w:rsidR="001526AD" w:rsidRPr="00124778" w:rsidP="00124778">
      <w:pPr>
        <w:pStyle w:val="FootnoteText"/>
        <w:jc w:val="both"/>
        <w:rPr>
          <w:rFonts w:ascii="Calibri" w:hAnsi="Calibri" w:cs="Calibri"/>
        </w:rPr>
      </w:pPr>
    </w:p>
  </w:footnote>
  <w:footnote w:id="14">
    <w:p w:rsidR="001526AD">
      <w:pPr>
        <w:pStyle w:val="FootnoteText"/>
      </w:pPr>
      <w:r>
        <w:rPr>
          <w:rStyle w:val="FootnoteReference"/>
        </w:rPr>
        <w:footnoteRef/>
      </w:r>
      <w:r>
        <w:t xml:space="preserve"> This includes both recitals and operative text.</w:t>
      </w:r>
    </w:p>
  </w:footnote>
  <w:footnote w:id="15">
    <w:p w:rsidR="001526AD" w:rsidRPr="00124778" w:rsidP="00124778">
      <w:pPr>
        <w:spacing w:before="60" w:after="60" w:line="300" w:lineRule="auto"/>
        <w:jc w:val="both"/>
        <w:rPr>
          <w:rFonts w:ascii="Calibri" w:hAnsi="Calibri" w:cs="Calibri"/>
          <w:sz w:val="20"/>
          <w:szCs w:val="20"/>
        </w:rPr>
      </w:pPr>
      <w:r w:rsidRPr="00124778">
        <w:rPr>
          <w:rStyle w:val="FootnoteReference"/>
          <w:rFonts w:ascii="Calibri" w:hAnsi="Calibri" w:cs="Calibri"/>
          <w:sz w:val="20"/>
          <w:szCs w:val="20"/>
        </w:rPr>
        <w:footnoteRef/>
      </w:r>
      <w:r w:rsidRPr="00124778">
        <w:rPr>
          <w:rFonts w:ascii="Calibri" w:hAnsi="Calibri" w:cs="Calibri"/>
          <w:sz w:val="20"/>
          <w:szCs w:val="20"/>
        </w:rPr>
        <w:t xml:space="preserve"> </w:t>
      </w:r>
      <w:r w:rsidRPr="00124778">
        <w:rPr>
          <w:rFonts w:ascii="Calibri" w:hAnsi="Calibri" w:cs="Calibri"/>
          <w:i/>
          <w:iCs/>
          <w:sz w:val="20"/>
          <w:szCs w:val="20"/>
        </w:rPr>
        <w:t xml:space="preserve">Michael Stone v South East Coast Strategic Health Authority </w:t>
      </w:r>
      <w:r w:rsidRPr="00124778">
        <w:rPr>
          <w:rFonts w:ascii="Calibri" w:hAnsi="Calibri" w:cs="Calibri"/>
          <w:sz w:val="20"/>
          <w:szCs w:val="20"/>
        </w:rPr>
        <w:t>[2006] EWHC 1668 (Admin).  Although this case interprets the concept of necessity under the Data Protection Act 1998, there is no reason to interpret the same concept in the UK GDPR differently.</w:t>
      </w:r>
    </w:p>
  </w:footnote>
  <w:footnote w:id="16">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rsidRPr="00124778">
        <w:rPr>
          <w:rFonts w:ascii="Calibri" w:hAnsi="Calibri" w:cs="Calibri"/>
          <w:i/>
          <w:iCs/>
        </w:rPr>
        <w:t>RTM</w:t>
      </w:r>
      <w:r w:rsidRPr="00124778">
        <w:rPr>
          <w:rFonts w:ascii="Calibri" w:hAnsi="Calibri" w:cs="Calibri"/>
        </w:rPr>
        <w:t xml:space="preserve"> v </w:t>
      </w:r>
      <w:r w:rsidRPr="00124778">
        <w:rPr>
          <w:rFonts w:ascii="Calibri" w:hAnsi="Calibri" w:cs="Calibri"/>
          <w:i/>
          <w:iCs/>
        </w:rPr>
        <w:t>Bonne Terre Let &amp; Anor</w:t>
      </w:r>
      <w:r w:rsidRPr="00124778">
        <w:rPr>
          <w:rFonts w:ascii="Calibri" w:hAnsi="Calibri" w:cs="Calibri"/>
        </w:rPr>
        <w:t xml:space="preserve"> [2025] EWHC (KB) (23 January 2025) at [100].</w:t>
      </w:r>
    </w:p>
  </w:footnote>
  <w:footnote w:id="17">
    <w:p w:rsidR="001526AD">
      <w:pPr>
        <w:pStyle w:val="FootnoteText"/>
      </w:pPr>
      <w:r>
        <w:rPr>
          <w:rStyle w:val="FootnoteReference"/>
        </w:rPr>
        <w:footnoteRef/>
      </w:r>
      <w:r>
        <w:t xml:space="preserve"> See Article 4(1) of the UK GDPR which states:  </w:t>
      </w:r>
      <w:r w:rsidRPr="001C078F">
        <w:t>‘personal data’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t>,</w:t>
      </w:r>
    </w:p>
  </w:footnote>
  <w:footnote w:id="18">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ico.org.uk. (2021). </w:t>
      </w:r>
      <w:r w:rsidRPr="00124778">
        <w:rPr>
          <w:rFonts w:ascii="Calibri" w:hAnsi="Calibri" w:cs="Calibri"/>
          <w:i/>
          <w:iCs/>
        </w:rPr>
        <w:t>Response to DCMS consultation ‘Data: a new direction’ - Foreword from Elizabeth Denham CBE, UK Information Commissioner</w:t>
      </w:r>
      <w:r w:rsidRPr="00124778">
        <w:rPr>
          <w:rFonts w:ascii="Calibri" w:hAnsi="Calibri" w:cs="Calibri"/>
        </w:rPr>
        <w:t>. [online] Available at: https://ico.org.uk/about-the-ico/response-to-dcms-consultation-data-a-new-direction-foreword-from-elizabeth-denham-cbe-uk-information-commissioner/.</w:t>
      </w:r>
    </w:p>
  </w:footnote>
  <w:footnote w:id="19">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recital 15 to the EU GDPR which states: “ </w:t>
      </w:r>
      <w:r w:rsidRPr="00124778">
        <w:rPr>
          <w:rFonts w:ascii="Calibri" w:hAnsi="Calibri" w:cs="Calibri"/>
          <w:i/>
          <w:iCs/>
        </w:rPr>
        <w:t>In order to prevent creating a serious risk of circumvention, the protection of natural persons should be technologically neutral and should not depend on the techniques used</w:t>
      </w:r>
      <w:r w:rsidRPr="00124778">
        <w:rPr>
          <w:rFonts w:ascii="Calibri" w:hAnsi="Calibri" w:cs="Calibri"/>
        </w:rPr>
        <w:t>”.  The recitals were saved into UK domestic law via section 3 of the European Union (Withdrawal) Act 2018 and remain as an aid to interpretation of the regime, where relevant.  See for example Duhs, E. and Rao, I. (2021). </w:t>
      </w:r>
      <w:r w:rsidRPr="00124778">
        <w:rPr>
          <w:rFonts w:ascii="Calibri" w:hAnsi="Calibri" w:cs="Calibri"/>
          <w:i/>
          <w:iCs/>
        </w:rPr>
        <w:t>Retained EU law : a practical guide</w:t>
      </w:r>
      <w:r w:rsidRPr="00124778">
        <w:rPr>
          <w:rFonts w:ascii="Calibri" w:hAnsi="Calibri" w:cs="Calibri"/>
        </w:rPr>
        <w:t>. London: The Law Society at 12.3.</w:t>
      </w:r>
      <w:r w:rsidRPr="00124778">
        <w:rPr>
          <w:rFonts w:ascii="Calibri" w:eastAsia="Arial" w:hAnsi="Calibri" w:cs="Calibri"/>
          <w:color w:val="000000"/>
        </w:rPr>
        <w:t xml:space="preserve"> </w:t>
      </w:r>
    </w:p>
  </w:footnote>
  <w:footnote w:id="20">
    <w:p w:rsidR="001526AD" w:rsidRPr="00124778" w:rsidP="00482EF5">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fldChar w:fldCharType="begin"/>
      </w:r>
      <w:r>
        <w:instrText xml:space="preserve"> HYPERLINK "https://www.oecd.org/en/topics/sub-issues/ai-principles.html" </w:instrText>
      </w:r>
      <w:r>
        <w:fldChar w:fldCharType="separate"/>
      </w:r>
      <w:r w:rsidRPr="00124778">
        <w:rPr>
          <w:rStyle w:val="Hyperlink"/>
          <w:rFonts w:ascii="Calibri" w:hAnsi="Calibri" w:cs="Calibri"/>
        </w:rPr>
        <w:t>AI principles | OECD</w:t>
      </w:r>
      <w:r>
        <w:fldChar w:fldCharType="end"/>
      </w:r>
      <w:r w:rsidRPr="00124778">
        <w:rPr>
          <w:rFonts w:ascii="Calibri" w:hAnsi="Calibri" w:cs="Calibri"/>
        </w:rPr>
        <w:t>.</w:t>
      </w:r>
    </w:p>
  </w:footnote>
  <w:footnote w:id="21">
    <w:p w:rsidR="001526AD" w:rsidRPr="00124778" w:rsidP="00482EF5">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fldChar w:fldCharType="begin"/>
      </w:r>
      <w:r>
        <w:instrText xml:space="preserve"> HYPERLINK "https://www.coe.int/en/web/artificial-intelligence/the-framework-convention-on-artificial-intelligence" </w:instrText>
      </w:r>
      <w:r>
        <w:fldChar w:fldCharType="separate"/>
      </w:r>
      <w:r w:rsidRPr="00124778">
        <w:rPr>
          <w:rStyle w:val="Hyperlink"/>
          <w:rFonts w:ascii="Calibri" w:hAnsi="Calibri" w:cs="Calibri"/>
        </w:rPr>
        <w:t>The Framework Convention on Artificial Intelligence - Artificial Intelligence</w:t>
      </w:r>
      <w:r>
        <w:fldChar w:fldCharType="end"/>
      </w:r>
      <w:r w:rsidRPr="00124778">
        <w:rPr>
          <w:rFonts w:ascii="Calibri" w:hAnsi="Calibri" w:cs="Calibri"/>
        </w:rPr>
        <w:t>.</w:t>
      </w:r>
    </w:p>
  </w:footnote>
  <w:footnote w:id="22">
    <w:p w:rsidR="001526AD" w:rsidP="00CD517A">
      <w:pPr>
        <w:pStyle w:val="FootnoteText"/>
      </w:pPr>
      <w:r>
        <w:rPr>
          <w:rStyle w:val="FootnoteReference"/>
        </w:rPr>
        <w:footnoteRef/>
      </w:r>
      <w:r>
        <w:t xml:space="preserve"> See the discussion in relation to Article 22 of the UK GDPR in Appendix 2 of this submission.  </w:t>
      </w:r>
    </w:p>
  </w:footnote>
  <w:footnote w:id="23">
    <w:p w:rsidR="001526AD" w:rsidRPr="00124778" w:rsidP="00124778">
      <w:pPr>
        <w:pStyle w:val="FootnoteText"/>
        <w:jc w:val="both"/>
        <w:rPr>
          <w:rFonts w:ascii="Calibri" w:hAnsi="Calibri" w:cs="Calibri"/>
          <w:color w:val="0B0C0C"/>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hAnsi="Calibri" w:cs="Calibri"/>
          <w:color w:val="424242"/>
        </w:rPr>
        <w:t xml:space="preserve">Department for Science, Innovation and Technology. (2025). </w:t>
      </w:r>
      <w:r w:rsidRPr="00124778">
        <w:rPr>
          <w:rFonts w:ascii="Calibri" w:hAnsi="Calibri" w:cs="Calibri"/>
          <w:i/>
          <w:iCs/>
          <w:color w:val="424242"/>
        </w:rPr>
        <w:t>AI Opportunities Action Plan: Section 1.4</w:t>
      </w:r>
      <w:r w:rsidRPr="00124778">
        <w:rPr>
          <w:rFonts w:ascii="Calibri" w:hAnsi="Calibri" w:cs="Calibri"/>
          <w:color w:val="424242"/>
        </w:rPr>
        <w:t>. [online] GOV.UK. Available at: https://www.gov.uk/government/publications/ai-opportunities-action-plan/ai-opportunities-action-plan [Accessed 2 Sep. 2025]: ”</w:t>
      </w:r>
      <w:r w:rsidRPr="00124778">
        <w:rPr>
          <w:rFonts w:ascii="Calibri" w:hAnsi="Calibri" w:cs="Calibri"/>
          <w:color w:val="0B0C0C"/>
        </w:rPr>
        <w:t xml:space="preserve"> Regulators themselves have an important role in supporting innovation as part of their Growth Duty.”</w:t>
      </w:r>
    </w:p>
  </w:footnote>
  <w:footnote w:id="24">
    <w:p w:rsidR="001526AD" w:rsidRPr="00124778" w:rsidP="00124778">
      <w:pPr>
        <w:pStyle w:val="FootnoteText"/>
        <w:jc w:val="both"/>
        <w:rPr>
          <w:rFonts w:ascii="Calibri" w:hAnsi="Calibri" w:eastAsiaTheme="majorEastAsia" w:cs="Calibri"/>
          <w:color w:val="0B0C0C"/>
        </w:rPr>
      </w:pPr>
      <w:r w:rsidRPr="00124778">
        <w:rPr>
          <w:rStyle w:val="FootnoteReference"/>
          <w:rFonts w:ascii="Calibri" w:hAnsi="Calibri" w:cs="Calibri"/>
        </w:rPr>
        <w:footnoteRef/>
      </w:r>
      <w:r w:rsidRPr="00124778">
        <w:rPr>
          <w:rFonts w:ascii="Calibri" w:hAnsi="Calibri" w:cs="Calibri"/>
        </w:rPr>
        <w:t xml:space="preserve"> ICO’s dutie</w:t>
      </w:r>
      <w:r w:rsidRPr="00124778">
        <w:rPr>
          <w:rFonts w:ascii="Calibri" w:hAnsi="Calibri" w:eastAsiaTheme="majorEastAsia" w:cs="Calibri"/>
        </w:rPr>
        <w:t>s</w:t>
      </w:r>
      <w:r>
        <w:rPr>
          <w:rFonts w:ascii="Calibri" w:hAnsi="Calibri" w:eastAsiaTheme="majorEastAsia" w:cs="Calibri"/>
        </w:rPr>
        <w:t xml:space="preserve"> principal objective is </w:t>
      </w:r>
      <w:r w:rsidRPr="00124778">
        <w:rPr>
          <w:rFonts w:ascii="Calibri" w:hAnsi="Calibri" w:eastAsiaTheme="majorEastAsia" w:cs="Calibri"/>
        </w:rPr>
        <w:t>set out in section 120A of the Data (Use and Access) Act 2025</w:t>
      </w:r>
      <w:r>
        <w:rPr>
          <w:rFonts w:ascii="Calibri" w:hAnsi="Calibri" w:eastAsiaTheme="majorEastAsia" w:cs="Calibri"/>
        </w:rPr>
        <w:t xml:space="preserve">.  It requires the ICO to secure </w:t>
      </w:r>
      <w:r w:rsidRPr="00124778">
        <w:rPr>
          <w:rFonts w:ascii="Calibri" w:hAnsi="Calibri" w:eastAsiaTheme="majorEastAsia" w:cs="Calibri"/>
          <w:color w:val="0B0C0C"/>
        </w:rPr>
        <w:t xml:space="preserve">an appropriate level of protection for personal data, alongside a new requirement to promote public trust and confidence. </w:t>
      </w:r>
    </w:p>
  </w:footnote>
  <w:footnote w:id="25">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hAnsi="Calibri" w:cs="Calibri"/>
          <w:color w:val="424242"/>
        </w:rPr>
        <w:t xml:space="preserve">Shojaee, P., Mirzadeh, I., Alizadeh, K., Horton, M., Bengio, S. and Farajtabar, M., 2025. </w:t>
      </w:r>
      <w:r w:rsidRPr="00124778">
        <w:rPr>
          <w:rFonts w:ascii="Calibri" w:hAnsi="Calibri" w:cs="Calibri"/>
          <w:i/>
          <w:iCs/>
          <w:color w:val="424242"/>
        </w:rPr>
        <w:t>The Illusion of Thinking: Understanding the Strengths and Limitations of Reasoning Models via the Lens of Problem Complexity</w:t>
      </w:r>
      <w:r w:rsidRPr="00124778">
        <w:rPr>
          <w:rFonts w:ascii="Calibri" w:hAnsi="Calibri" w:cs="Calibri"/>
          <w:color w:val="424242"/>
        </w:rPr>
        <w:t>. [online] Apple Machine Learning Research. Available at: https://machinelearning.apple.com/research/illusion-of-thinking [Accessed 2 Sep. 2025]. p.3.</w:t>
      </w:r>
    </w:p>
  </w:footnote>
  <w:footnote w:id="26">
    <w:p w:rsidR="001526AD" w:rsidRPr="00124778" w:rsidP="00124778">
      <w:pPr>
        <w:pStyle w:val="FootnoteText"/>
        <w:shd w:val="clear" w:color="auto" w:fill="FAFAFA"/>
        <w:spacing w:before="120" w:after="60"/>
        <w:jc w:val="both"/>
        <w:rPr>
          <w:rFonts w:ascii="Calibri" w:eastAsia="Segoe UI" w:hAnsi="Calibri" w:cs="Calibri"/>
          <w:color w:val="424242"/>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Khan, M.S., Alghamdi, M.A., Alzahrani, A.I., Alshamrani, S.S., Alzahrani, M.Y. &amp; Alzahrani, A.A. (2023) ‘A novel hybrid deep learning model for COVID-19 detection based on chest X-ray images’, </w:t>
      </w:r>
      <w:r w:rsidRPr="00124778">
        <w:rPr>
          <w:rFonts w:ascii="Calibri" w:eastAsia="Segoe UI" w:hAnsi="Calibri" w:cs="Calibri"/>
          <w:i/>
          <w:iCs/>
          <w:color w:val="424242"/>
        </w:rPr>
        <w:t>Intelligent Medicine</w:t>
      </w:r>
      <w:r w:rsidRPr="00124778">
        <w:rPr>
          <w:rFonts w:ascii="Calibri" w:eastAsia="Segoe UI" w:hAnsi="Calibri" w:cs="Calibri"/>
          <w:color w:val="424242"/>
        </w:rPr>
        <w:t xml:space="preserve">, 6, 100104. Available at: </w:t>
      </w:r>
      <w:r>
        <w:fldChar w:fldCharType="begin"/>
      </w:r>
      <w:r>
        <w:instrText xml:space="preserve"> HYPERLINK "https://doi.org/10.1016/j.imed.2023.100104" </w:instrText>
      </w:r>
      <w:r>
        <w:fldChar w:fldCharType="separate"/>
      </w:r>
      <w:r w:rsidRPr="00124778">
        <w:rPr>
          <w:rStyle w:val="Hyperlink"/>
          <w:rFonts w:ascii="Calibri" w:eastAsia="Segoe UI" w:hAnsi="Calibri" w:cs="Calibri"/>
        </w:rPr>
        <w:t>https://doi.org/10.1016/j.imed.2023.100104</w:t>
      </w:r>
      <w:r>
        <w:fldChar w:fldCharType="end"/>
      </w:r>
      <w:r w:rsidRPr="00124778">
        <w:rPr>
          <w:rFonts w:ascii="Calibri" w:eastAsia="Segoe UI" w:hAnsi="Calibri" w:cs="Calibri"/>
          <w:color w:val="424242"/>
        </w:rPr>
        <w:t xml:space="preserve"> (Accessed: 3 September 2025)</w:t>
      </w:r>
    </w:p>
  </w:footnote>
  <w:footnote w:id="27">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Challapally, A., Pease, C., Raskar, R. &amp; Chari, P. (2025) </w:t>
      </w:r>
      <w:r w:rsidRPr="00124778">
        <w:rPr>
          <w:rFonts w:ascii="Calibri" w:eastAsia="Segoe UI" w:hAnsi="Calibri" w:cs="Calibri"/>
          <w:i/>
          <w:iCs/>
          <w:color w:val="424242"/>
        </w:rPr>
        <w:t>The GenAI Divide: State of AI in Business 2025</w:t>
      </w:r>
      <w:r w:rsidRPr="00124778">
        <w:rPr>
          <w:rFonts w:ascii="Calibri" w:eastAsia="Segoe UI" w:hAnsi="Calibri" w:cs="Calibri"/>
          <w:color w:val="424242"/>
        </w:rPr>
        <w:t>. MIT Project NANDA. Available at: https://mlq.ai/media/quarterly_decks/v0.1_State_of_AI_in_Business_2025_Report.pdf (Accessed: 3 September 2025).</w:t>
      </w:r>
    </w:p>
  </w:footnote>
  <w:footnote w:id="28">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fldChar w:fldCharType="begin"/>
      </w:r>
      <w:r>
        <w:instrText xml:space="preserve"> HYPERLINK "https://www.gartner.com/en/research/methodologies/gartner-hype-cycle" </w:instrText>
      </w:r>
      <w:r>
        <w:fldChar w:fldCharType="separate"/>
      </w:r>
      <w:r w:rsidRPr="00124778">
        <w:rPr>
          <w:rStyle w:val="Hyperlink"/>
          <w:rFonts w:ascii="Calibri" w:hAnsi="Calibri" w:cs="Calibri"/>
        </w:rPr>
        <w:t>Gartner Hype Cycle Research Methodology | Gartner</w:t>
      </w:r>
      <w:r>
        <w:fldChar w:fldCharType="end"/>
      </w:r>
    </w:p>
  </w:footnote>
  <w:footnote w:id="29">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quotes from Gartner shared in this article: </w:t>
      </w:r>
      <w:r>
        <w:fldChar w:fldCharType="begin"/>
      </w:r>
      <w:r>
        <w:instrText xml:space="preserve"> HYPERLINK "https://www.cio.com/article/4046443/gen-ai-descends-into-disillusionment.html" </w:instrText>
      </w:r>
      <w:r>
        <w:fldChar w:fldCharType="separate"/>
      </w:r>
      <w:r w:rsidRPr="00124778">
        <w:rPr>
          <w:rStyle w:val="Hyperlink"/>
          <w:rFonts w:ascii="Calibri" w:hAnsi="Calibri" w:cs="Calibri"/>
        </w:rPr>
        <w:t>Gen AI descends into disillusionment | CIO</w:t>
      </w:r>
      <w:r>
        <w:fldChar w:fldCharType="end"/>
      </w:r>
    </w:p>
  </w:footnote>
  <w:footnote w:id="30">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rsidRPr="00124778">
        <w:rPr>
          <w:rFonts w:ascii="Calibri" w:hAnsi="Calibri" w:cs="Calibri"/>
          <w:color w:val="424242"/>
        </w:rPr>
        <w:t xml:space="preserve">Zewe, A., 2025. </w:t>
      </w:r>
      <w:r w:rsidRPr="00124778">
        <w:rPr>
          <w:rFonts w:ascii="Calibri" w:hAnsi="Calibri" w:cs="Calibri"/>
          <w:i/>
          <w:iCs/>
          <w:color w:val="424242"/>
        </w:rPr>
        <w:t>Explained: Generative AI’s environmental impact</w:t>
      </w:r>
      <w:r w:rsidRPr="00124778">
        <w:rPr>
          <w:rFonts w:ascii="Calibri" w:hAnsi="Calibri" w:cs="Calibri"/>
          <w:color w:val="424242"/>
        </w:rPr>
        <w:t>. MIT News, 17 January. [online] Available at: https://news.mit.edu/2025/explained-generative-ai-environmental-impact-0117 [Accessed 2 Sep. 2025].</w:t>
      </w:r>
    </w:p>
  </w:footnote>
  <w:footnote w:id="31">
    <w:p w:rsidR="001526AD" w:rsidRPr="00124778" w:rsidP="00AD30D0">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Council of Europe, n.d. </w:t>
      </w:r>
      <w:r w:rsidRPr="00124778">
        <w:rPr>
          <w:rFonts w:ascii="Calibri" w:eastAsia="Segoe UI" w:hAnsi="Calibri" w:cs="Calibri"/>
          <w:i/>
          <w:iCs/>
          <w:color w:val="424242"/>
        </w:rPr>
        <w:t>Human rights and the environment</w:t>
      </w:r>
      <w:r w:rsidRPr="00124778">
        <w:rPr>
          <w:rFonts w:ascii="Calibri" w:eastAsia="Segoe UI" w:hAnsi="Calibri" w:cs="Calibri"/>
          <w:color w:val="424242"/>
        </w:rPr>
        <w:t>. https://www.coe.int/en/web/portal/human-rights-environment#:~:text=Europe%27s%20human%20rights%20system%20is,to%20boost%20environmental%20protection%20efforts [Accessed 2 Sep. 2025].</w:t>
      </w:r>
    </w:p>
  </w:footnote>
  <w:footnote w:id="32">
    <w:p w:rsidR="001526AD">
      <w:pPr>
        <w:pStyle w:val="FootnoteText"/>
      </w:pPr>
      <w:r>
        <w:rPr>
          <w:rStyle w:val="FootnoteReference"/>
        </w:rPr>
        <w:footnoteRef/>
      </w:r>
      <w:r>
        <w:t xml:space="preserve"> </w:t>
      </w:r>
      <w:r w:rsidRPr="00220420">
        <w:t>Jones, K. (2023). </w:t>
      </w:r>
      <w:r w:rsidRPr="00220420">
        <w:rPr>
          <w:i/>
          <w:iCs/>
        </w:rPr>
        <w:t>AI governance and human rights | Chatham House – International Affairs Think Tank</w:t>
      </w:r>
      <w:r w:rsidRPr="00220420">
        <w:t>. [online] www.chathamhouse.org. Available at: https://www.chathamhouse.org/2023/01/ai-governance-and-human-rights.</w:t>
      </w:r>
    </w:p>
  </w:footnote>
  <w:footnote w:id="33">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Lord Thomas of Cwmgiedd. (2024) ‘Speech during the second reading of the Bill’, </w:t>
      </w:r>
      <w:r w:rsidRPr="00124778">
        <w:rPr>
          <w:rFonts w:ascii="Calibri" w:eastAsia="Segoe UI" w:hAnsi="Calibri" w:cs="Calibri"/>
          <w:i/>
          <w:iCs/>
          <w:color w:val="424242"/>
        </w:rPr>
        <w:t>Hansard</w:t>
      </w:r>
      <w:r w:rsidRPr="00124778">
        <w:rPr>
          <w:rFonts w:ascii="Calibri" w:eastAsia="Segoe UI" w:hAnsi="Calibri" w:cs="Calibri"/>
          <w:color w:val="424242"/>
        </w:rPr>
        <w:t>, House of Lords, 19 November. Available at: https://members.parliament.uk/member/4309/contributions (Accessed: 2 September 2025)</w:t>
      </w:r>
    </w:p>
  </w:footnote>
  <w:footnote w:id="34">
    <w:p w:rsidR="001526AD">
      <w:pPr>
        <w:pStyle w:val="FootnoteText"/>
      </w:pPr>
      <w:r>
        <w:rPr>
          <w:rStyle w:val="FootnoteReference"/>
        </w:rPr>
        <w:footnoteRef/>
      </w:r>
      <w:r>
        <w:t xml:space="preserve"> </w:t>
      </w:r>
      <w:r w:rsidRPr="002B3E1E">
        <w:t>Koops, B.-J. (2014). The trouble with European data protection law. </w:t>
      </w:r>
      <w:r w:rsidRPr="002B3E1E">
        <w:rPr>
          <w:i/>
          <w:iCs/>
        </w:rPr>
        <w:t>International Data Privacy Law</w:t>
      </w:r>
      <w:r w:rsidRPr="002B3E1E">
        <w:t>, 4(4), pp.250–261. doi:https://doi.org/10.1093/idpl/ipu023.</w:t>
      </w:r>
    </w:p>
  </w:footnote>
  <w:footnote w:id="35">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Department for Science, Innovation &amp; Technology. (2025). </w:t>
      </w:r>
      <w:r w:rsidRPr="00124778">
        <w:rPr>
          <w:rFonts w:ascii="Calibri" w:eastAsia="Segoe UI" w:hAnsi="Calibri" w:cs="Calibri"/>
          <w:i/>
          <w:iCs/>
          <w:color w:val="424242"/>
        </w:rPr>
        <w:t>Safety and security risks of generative artificial intelligence to 2025 (</w:t>
      </w:r>
      <w:r>
        <w:rPr>
          <w:rFonts w:ascii="Calibri" w:eastAsia="Segoe UI" w:hAnsi="Calibri" w:cs="Calibri"/>
          <w:i/>
          <w:iCs/>
          <w:color w:val="424242"/>
        </w:rPr>
        <w:t xml:space="preserve">Appendix </w:t>
      </w:r>
      <w:r w:rsidRPr="00124778">
        <w:rPr>
          <w:rFonts w:ascii="Calibri" w:eastAsia="Segoe UI" w:hAnsi="Calibri" w:cs="Calibri"/>
          <w:i/>
          <w:iCs/>
          <w:color w:val="424242"/>
        </w:rPr>
        <w:t>B)</w:t>
      </w:r>
      <w:r w:rsidRPr="00124778">
        <w:rPr>
          <w:rFonts w:ascii="Calibri" w:eastAsia="Segoe UI" w:hAnsi="Calibri" w:cs="Calibri"/>
          <w:color w:val="424242"/>
        </w:rPr>
        <w:t>. GOV.UK. Available at: https://www.gov.uk/government/publications/frontier-ai-capabilities-and-risks-discussion-paper/safety-and-security-risks-of-generative-artificial-intelligence-to-2025-annex-b [Accessed 2 Sep. 2025].</w:t>
      </w:r>
    </w:p>
  </w:footnote>
  <w:footnote w:id="36">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House of Commons Committee of Public Accounts. (2024). </w:t>
      </w:r>
      <w:r w:rsidRPr="00124778">
        <w:rPr>
          <w:rFonts w:ascii="Calibri" w:eastAsia="Segoe UI" w:hAnsi="Calibri" w:cs="Calibri"/>
          <w:i/>
          <w:iCs/>
          <w:color w:val="424242"/>
        </w:rPr>
        <w:t xml:space="preserve">Safety and security risks of generative artificial intelligence to 2025: </w:t>
      </w:r>
      <w:r>
        <w:rPr>
          <w:rFonts w:ascii="Calibri" w:eastAsia="Segoe UI" w:hAnsi="Calibri" w:cs="Calibri"/>
          <w:i/>
          <w:iCs/>
          <w:color w:val="424242"/>
        </w:rPr>
        <w:t xml:space="preserve">Appendix </w:t>
      </w:r>
      <w:r w:rsidRPr="00124778">
        <w:rPr>
          <w:rFonts w:ascii="Calibri" w:eastAsia="Segoe UI" w:hAnsi="Calibri" w:cs="Calibri"/>
          <w:i/>
          <w:iCs/>
          <w:color w:val="424242"/>
        </w:rPr>
        <w:t>B</w:t>
      </w:r>
      <w:r w:rsidRPr="00124778">
        <w:rPr>
          <w:rFonts w:ascii="Calibri" w:eastAsia="Segoe UI" w:hAnsi="Calibri" w:cs="Calibri"/>
          <w:color w:val="424242"/>
        </w:rPr>
        <w:t>. https://publications.parliament.uk/pa/cm5901/cmselect/cmpubacc/356/report.html [Accessed 2 Sep. 2025].</w:t>
      </w:r>
    </w:p>
  </w:footnote>
  <w:footnote w:id="37">
    <w:p w:rsidR="001526AD" w:rsidP="00A7651D">
      <w:pPr>
        <w:pStyle w:val="FootnoteText"/>
      </w:pPr>
      <w:r>
        <w:rPr>
          <w:rStyle w:val="FootnoteReference"/>
        </w:rPr>
        <w:footnoteRef/>
      </w:r>
      <w:r>
        <w:t xml:space="preserve"> See for example </w:t>
      </w:r>
      <w:r w:rsidRPr="00315407">
        <w:t> </w:t>
      </w:r>
      <w:r>
        <w:fldChar w:fldCharType="begin"/>
      </w:r>
      <w:r>
        <w:instrText xml:space="preserve"> HYPERLINK "http://www.bailii.org/ew/cases/EWCA/Civ/2015/311.html" \t "_blank" </w:instrText>
      </w:r>
      <w:r>
        <w:fldChar w:fldCharType="separate"/>
      </w:r>
      <w:r w:rsidRPr="00315407">
        <w:rPr>
          <w:rStyle w:val="Hyperlink"/>
          <w:i/>
          <w:iCs/>
        </w:rPr>
        <w:t>Vidal-Hall v Google Inc </w:t>
      </w:r>
      <w:r w:rsidRPr="00315407">
        <w:rPr>
          <w:rStyle w:val="Hyperlink"/>
        </w:rPr>
        <w:t>[2015] EWCA Civ 311</w:t>
      </w:r>
      <w:r>
        <w:fldChar w:fldCharType="end"/>
      </w:r>
      <w:r w:rsidRPr="00315407">
        <w:t>.</w:t>
      </w:r>
      <w:r>
        <w:t xml:space="preserve">  For further discussion see </w:t>
      </w:r>
      <w:r w:rsidRPr="001017E9">
        <w:t>UK Constitutional Law Association. (2015). </w:t>
      </w:r>
      <w:r w:rsidRPr="001017E9">
        <w:rPr>
          <w:i/>
          <w:iCs/>
        </w:rPr>
        <w:t>Joshua Folkard: Horizontal Direct Effect of the EU Charter of Fundamental Rights in the English Courts</w:t>
      </w:r>
      <w:r w:rsidRPr="001017E9">
        <w:t>. [online] Available at: https://ukconstitutionallaw.org/2015/09/23/joshua-folkard-horizontal-direct-effect-of-the-eu-charter-of-fundamental-rights-in-the-english-courts/ [Accessed 5 Sep. 2025].</w:t>
      </w:r>
    </w:p>
  </w:footnote>
  <w:footnote w:id="38">
    <w:p w:rsidR="001526AD">
      <w:pPr>
        <w:pStyle w:val="FootnoteText"/>
      </w:pPr>
      <w:r>
        <w:rPr>
          <w:rStyle w:val="FootnoteReference"/>
        </w:rPr>
        <w:footnoteRef/>
      </w:r>
      <w:r>
        <w:t xml:space="preserve"> See the judgment at [80].</w:t>
      </w:r>
    </w:p>
  </w:footnote>
  <w:footnote w:id="39">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hAnsi="Calibri" w:cs="Calibri"/>
          <w:color w:val="424242"/>
        </w:rPr>
        <w:t xml:space="preserve">Rodrigues, R., 2020. Legal and human rights issues of AI: Gaps, challenges and vulnerabilities. </w:t>
      </w:r>
      <w:r w:rsidRPr="00124778">
        <w:rPr>
          <w:rFonts w:ascii="Calibri" w:hAnsi="Calibri" w:cs="Calibri"/>
          <w:i/>
          <w:iCs/>
          <w:color w:val="424242"/>
        </w:rPr>
        <w:t>Journal of Responsible Technology</w:t>
      </w:r>
      <w:r w:rsidRPr="00124778">
        <w:rPr>
          <w:rFonts w:ascii="Calibri" w:hAnsi="Calibri" w:cs="Calibri"/>
          <w:color w:val="424242"/>
        </w:rPr>
        <w:t>, 4, p.100005. Available at: https://www.sciencedirect.com/science/article/pii/S2666659620300056 [Accessed 2 Sep. 2025].</w:t>
      </w:r>
    </w:p>
  </w:footnote>
  <w:footnote w:id="40">
    <w:p w:rsidR="001526AD">
      <w:pPr>
        <w:pStyle w:val="FootnoteText"/>
      </w:pPr>
      <w:r>
        <w:rPr>
          <w:rStyle w:val="FootnoteReference"/>
        </w:rPr>
        <w:footnoteRef/>
      </w:r>
      <w:r>
        <w:t xml:space="preserve"> </w:t>
      </w:r>
      <w:r w:rsidRPr="001B39BA">
        <w:t>Ico.org.uk. (2025). </w:t>
      </w:r>
      <w:r w:rsidRPr="001B39BA">
        <w:rPr>
          <w:i/>
          <w:iCs/>
        </w:rPr>
        <w:t>Statement on the public sector approach</w:t>
      </w:r>
      <w:r w:rsidRPr="001B39BA">
        <w:t>. [online] Available at: https://ico.org.uk/about-the-ico/media-centre/news-and-blogs/2024/12/statement-on-the-public-sector-approach/ [Accessed 5 Sep. 2025].</w:t>
      </w:r>
    </w:p>
  </w:footnote>
  <w:footnote w:id="41">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The Open Rights Group’s analysis of the ICO’s 2023/24 Annual Report (which shows a similar enforcement trend as the one in the 2024/25 Annual Report) shows that </w:t>
      </w:r>
      <w:r>
        <w:rPr>
          <w:rFonts w:ascii="Calibri" w:hAnsi="Calibri" w:cs="Calibri"/>
        </w:rPr>
        <w:t xml:space="preserve">the </w:t>
      </w:r>
      <w:r w:rsidRPr="00124778">
        <w:rPr>
          <w:rFonts w:ascii="Calibri" w:hAnsi="Calibri" w:cs="Calibri"/>
        </w:rPr>
        <w:t xml:space="preserve">ICO’s enforcement rates in the private sector </w:t>
      </w:r>
      <w:r>
        <w:rPr>
          <w:rFonts w:ascii="Calibri" w:hAnsi="Calibri" w:cs="Calibri"/>
        </w:rPr>
        <w:t>are</w:t>
      </w:r>
      <w:r w:rsidRPr="00124778">
        <w:rPr>
          <w:rFonts w:ascii="Calibri" w:hAnsi="Calibri" w:cs="Calibri"/>
        </w:rPr>
        <w:t xml:space="preserve"> lower th</w:t>
      </w:r>
      <w:r>
        <w:rPr>
          <w:rFonts w:ascii="Calibri" w:hAnsi="Calibri" w:cs="Calibri"/>
        </w:rPr>
        <w:t>ose of the</w:t>
      </w:r>
      <w:r w:rsidRPr="00124778">
        <w:rPr>
          <w:rFonts w:ascii="Calibri" w:hAnsi="Calibri" w:cs="Calibri"/>
        </w:rPr>
        <w:t xml:space="preserve"> ICO’s international counterparts. See: </w:t>
      </w:r>
      <w:r>
        <w:fldChar w:fldCharType="begin"/>
      </w:r>
      <w:r>
        <w:instrText xml:space="preserve"> HYPERLINK "https://www.openrightsgroup.org/publications/ico-alternative-annual-report-2023-24/" </w:instrText>
      </w:r>
      <w:r>
        <w:fldChar w:fldCharType="separate"/>
      </w:r>
      <w:r w:rsidRPr="00124778">
        <w:rPr>
          <w:rStyle w:val="Hyperlink"/>
          <w:rFonts w:ascii="Calibri" w:hAnsi="Calibri" w:cs="Calibri"/>
        </w:rPr>
        <w:t>ICO Alternative Annual Report 2023-24 | Open Rights Group</w:t>
      </w:r>
      <w:r>
        <w:fldChar w:fldCharType="end"/>
      </w:r>
    </w:p>
  </w:footnote>
  <w:footnote w:id="42">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Ibid. </w:t>
      </w:r>
    </w:p>
  </w:footnote>
  <w:footnote w:id="43">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fldChar w:fldCharType="begin"/>
      </w:r>
      <w:r>
        <w:instrText xml:space="preserve"> HYPERLINK "https://www.bbc.co.uk/news/articles/cp8950pyy1vo" </w:instrText>
      </w:r>
      <w:r>
        <w:fldChar w:fldCharType="separate"/>
      </w:r>
      <w:r w:rsidRPr="00124778">
        <w:rPr>
          <w:rStyle w:val="Hyperlink"/>
          <w:rFonts w:ascii="Calibri" w:hAnsi="Calibri" w:cs="Calibri"/>
        </w:rPr>
        <w:t>Dozens more Afghan relocation data breaches uncovered by BBC - BBC News</w:t>
      </w:r>
      <w:r>
        <w:fldChar w:fldCharType="end"/>
      </w:r>
    </w:p>
  </w:footnote>
  <w:footnote w:id="44">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Open Rights Group n (52) </w:t>
      </w:r>
    </w:p>
  </w:footnote>
  <w:footnote w:id="45">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egoe UI" w:hAnsi="Calibri" w:cs="Calibri"/>
          <w:color w:val="424242"/>
        </w:rPr>
        <w:t xml:space="preserve">Zenner, K., 2025. </w:t>
      </w:r>
      <w:r w:rsidRPr="00124778">
        <w:rPr>
          <w:rFonts w:ascii="Calibri" w:eastAsia="Segoe UI" w:hAnsi="Calibri" w:cs="Calibri"/>
          <w:i/>
          <w:iCs/>
          <w:color w:val="424242"/>
        </w:rPr>
        <w:t>Digital factsheet Vol. 3: A dataset on EU legislation for the digital world</w:t>
      </w:r>
      <w:r w:rsidRPr="00124778">
        <w:rPr>
          <w:rFonts w:ascii="Calibri" w:eastAsia="Segoe UI" w:hAnsi="Calibri" w:cs="Calibri"/>
          <w:color w:val="424242"/>
        </w:rPr>
        <w:t>. [online] Digitizing Europe. Available at: https://www.kaizenner.eu/post/digital-factsheet-vol-3 [Accessed 3 Sep. 2025].</w:t>
      </w:r>
    </w:p>
  </w:footnote>
  <w:footnote w:id="46">
    <w:p w:rsidR="001526AD">
      <w:pPr>
        <w:pStyle w:val="FootnoteText"/>
      </w:pPr>
      <w:r>
        <w:rPr>
          <w:rStyle w:val="FootnoteReference"/>
        </w:rPr>
        <w:footnoteRef/>
      </w:r>
      <w:r>
        <w:t xml:space="preserve"> </w:t>
      </w:r>
      <w:r w:rsidRPr="00C21D23">
        <w:t>Haeck, P. (2025). </w:t>
      </w:r>
      <w:r w:rsidRPr="00C21D23">
        <w:rPr>
          <w:i/>
          <w:iCs/>
        </w:rPr>
        <w:t>Swedish PM calls for a pause of the EU’s AI rules</w:t>
      </w:r>
      <w:r w:rsidRPr="00C21D23">
        <w:t>. [online] POLITICO. Available at: https://www.politico.eu/article/swedish-pm-calls-to-pause-eu-ai-rules/ [Accessed 26 Jun. 2025].</w:t>
      </w:r>
    </w:p>
  </w:footnote>
  <w:footnote w:id="47">
    <w:p w:rsidR="001526AD" w:rsidRPr="00124778" w:rsidP="0012477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For example, see </w:t>
      </w:r>
      <w:r>
        <w:fldChar w:fldCharType="begin"/>
      </w:r>
      <w:r>
        <w:instrText xml:space="preserve"> HYPERLINK "https://www.theguardian.com/technology/2025/aug/07/the-unintended-consequences-of-the-online-safety-act?utm_source=chatgpt.com" </w:instrText>
      </w:r>
      <w:r>
        <w:fldChar w:fldCharType="separate"/>
      </w:r>
      <w:r w:rsidRPr="00124778">
        <w:rPr>
          <w:rStyle w:val="Hyperlink"/>
          <w:rFonts w:ascii="Calibri" w:hAnsi="Calibri" w:cs="Calibri"/>
        </w:rPr>
        <w:t>The unintended consequences of the Online Safety Act | Internet safety | The Guardian</w:t>
      </w:r>
      <w:r>
        <w:fldChar w:fldCharType="end"/>
      </w:r>
    </w:p>
  </w:footnote>
  <w:footnote w:id="48">
    <w:p w:rsidR="001526AD">
      <w:pPr>
        <w:pStyle w:val="FootnoteText"/>
      </w:pPr>
      <w:r>
        <w:rPr>
          <w:rStyle w:val="FootnoteReference"/>
        </w:rPr>
        <w:footnoteRef/>
      </w:r>
      <w:r>
        <w:t xml:space="preserve"> These examples were used in a speech for an event at Congress House, Russell Street, London on 18</w:t>
      </w:r>
      <w:r w:rsidRPr="00897BD1">
        <w:rPr>
          <w:vertAlign w:val="superscript"/>
        </w:rPr>
        <w:t>th</w:t>
      </w:r>
      <w:r>
        <w:t xml:space="preserve"> April 2024 to mark the publication of the TUC’s draft Artificial Intelligence (Employment and Regulation) Bill.  We are grateful to the Communication Workers Union for allowing us to use these examples.</w:t>
      </w:r>
    </w:p>
  </w:footnote>
  <w:footnote w:id="49">
    <w:p w:rsidR="001526AD" w:rsidP="001D0918">
      <w:pPr>
        <w:pStyle w:val="FootnoteText"/>
      </w:pPr>
      <w:r>
        <w:rPr>
          <w:rStyle w:val="FootnoteReference"/>
        </w:rPr>
        <w:footnoteRef/>
      </w:r>
      <w:r>
        <w:t xml:space="preserve"> Article 4(7) of the UK GDPR states: </w:t>
      </w:r>
      <w:r w:rsidRPr="00003DC1">
        <w:t>‘controller’ means the natural or legal person, public authority, agency or other body which, alone or jointly with others, determines the purposes and means of the processing of personal data</w:t>
      </w:r>
    </w:p>
  </w:footnote>
  <w:footnote w:id="50">
    <w:p w:rsidR="001526AD" w:rsidP="001D0918">
      <w:pPr>
        <w:pStyle w:val="FootnoteText"/>
      </w:pPr>
      <w:r>
        <w:rPr>
          <w:rStyle w:val="FootnoteReference"/>
        </w:rPr>
        <w:footnoteRef/>
      </w:r>
      <w:r>
        <w:t xml:space="preserve"> See Article 4(8) of the UK GDPR which states: </w:t>
      </w:r>
      <w:r w:rsidRPr="00A952DD">
        <w:t>‘processor’ means a natural or legal person, public authority, agency or other body which processes personal data on behalf of the controlle</w:t>
      </w:r>
      <w:r>
        <w:t xml:space="preserve">r. </w:t>
      </w:r>
    </w:p>
  </w:footnote>
  <w:footnote w:id="51">
    <w:p w:rsidR="001526AD" w:rsidP="001D0918">
      <w:r>
        <w:rPr>
          <w:rStyle w:val="FootnoteReference"/>
        </w:rPr>
        <w:footnoteRef/>
      </w:r>
      <w:r>
        <w:t xml:space="preserve"> </w:t>
      </w:r>
      <w:r w:rsidRPr="006C5619">
        <w:rPr>
          <w:rFonts w:ascii="Calibri" w:hAnsi="Calibri" w:cs="Calibri"/>
          <w:sz w:val="20"/>
          <w:szCs w:val="20"/>
        </w:rPr>
        <w:t>In reality it is</w:t>
      </w:r>
      <w:r>
        <w:rPr>
          <w:rFonts w:ascii="Calibri" w:hAnsi="Calibri" w:cs="Calibri"/>
          <w:sz w:val="20"/>
          <w:szCs w:val="20"/>
        </w:rPr>
        <w:t xml:space="preserve"> often the case that the more credible analysis is that </w:t>
      </w:r>
      <w:r w:rsidRPr="006C5619">
        <w:rPr>
          <w:rFonts w:ascii="Calibri" w:hAnsi="Calibri" w:cs="Calibri"/>
          <w:sz w:val="20"/>
          <w:szCs w:val="20"/>
        </w:rPr>
        <w:t>these organisations would be deemed by the regulator to be joint controllers with the organisation buying the technology (see for example the Clearview case (</w:t>
      </w:r>
      <w:r w:rsidRPr="006C5619">
        <w:rPr>
          <w:rFonts w:ascii="Calibri" w:hAnsi="Calibri" w:cs="Calibri"/>
          <w:i/>
          <w:iCs/>
          <w:sz w:val="20"/>
          <w:szCs w:val="20"/>
        </w:rPr>
        <w:t>Clearview AI Inc</w:t>
      </w:r>
      <w:r w:rsidRPr="006C5619">
        <w:rPr>
          <w:rFonts w:ascii="Calibri" w:hAnsi="Calibri" w:cs="Calibri"/>
          <w:sz w:val="20"/>
          <w:szCs w:val="20"/>
        </w:rPr>
        <w:t xml:space="preserve"> v </w:t>
      </w:r>
      <w:r w:rsidRPr="006C5619">
        <w:rPr>
          <w:rFonts w:ascii="Calibri" w:hAnsi="Calibri" w:cs="Calibri"/>
          <w:i/>
          <w:iCs/>
          <w:sz w:val="20"/>
          <w:szCs w:val="20"/>
        </w:rPr>
        <w:t>The Information Commissioner [2023] UKFTT 819 (GRC)</w:t>
      </w:r>
      <w:r w:rsidRPr="006C5619">
        <w:rPr>
          <w:rFonts w:ascii="Calibri" w:hAnsi="Calibri" w:cs="Calibri"/>
          <w:sz w:val="20"/>
          <w:szCs w:val="20"/>
        </w:rPr>
        <w:t xml:space="preserve">).  </w:t>
      </w:r>
      <w:r>
        <w:rPr>
          <w:rFonts w:ascii="Calibri" w:hAnsi="Calibri" w:cs="Calibri"/>
          <w:sz w:val="20"/>
          <w:szCs w:val="20"/>
        </w:rPr>
        <w:t xml:space="preserve">In this case </w:t>
      </w:r>
      <w:r w:rsidRPr="006C5619">
        <w:rPr>
          <w:rFonts w:ascii="Calibri" w:hAnsi="Calibri" w:cs="Calibri"/>
          <w:sz w:val="20"/>
          <w:szCs w:val="20"/>
        </w:rPr>
        <w:t xml:space="preserve">the providers of facial recognition technology and the police </w:t>
      </w:r>
      <w:r w:rsidRPr="00CF7401">
        <w:rPr>
          <w:rFonts w:ascii="Calibri" w:hAnsi="Calibri" w:cs="Calibri"/>
          <w:sz w:val="20"/>
          <w:szCs w:val="20"/>
        </w:rPr>
        <w:t xml:space="preserve">were deemed to be joint controllers.  See the judgment at [136].  The courts tend to interpret concepts under data protection law broadly where this provides greater protection for individuals.  See for example </w:t>
      </w:r>
      <w:r w:rsidRPr="00CF7401">
        <w:rPr>
          <w:rFonts w:ascii="Calibri" w:hAnsi="Calibri" w:cs="Calibri"/>
          <w:i/>
          <w:iCs/>
          <w:sz w:val="20"/>
          <w:szCs w:val="20"/>
        </w:rPr>
        <w:t>Google Spain SL, Google Inc</w:t>
      </w:r>
      <w:r w:rsidRPr="00CF7401">
        <w:rPr>
          <w:rFonts w:ascii="Calibri" w:hAnsi="Calibri" w:cs="Calibri"/>
          <w:sz w:val="20"/>
          <w:szCs w:val="20"/>
        </w:rPr>
        <w:t xml:space="preserve">. v </w:t>
      </w:r>
      <w:r w:rsidRPr="00CF7401">
        <w:rPr>
          <w:rFonts w:ascii="Calibri" w:hAnsi="Calibri" w:cs="Calibri"/>
          <w:i/>
          <w:iCs/>
          <w:sz w:val="20"/>
          <w:szCs w:val="20"/>
        </w:rPr>
        <w:t>Agencia Española de Protección de Datos (AEPD), Mario Costeja González</w:t>
      </w:r>
      <w:r w:rsidRPr="00CF7401">
        <w:rPr>
          <w:rFonts w:ascii="Calibri" w:hAnsi="Calibri" w:cs="Calibri"/>
          <w:sz w:val="20"/>
          <w:szCs w:val="20"/>
        </w:rPr>
        <w:t>, Case C</w:t>
      </w:r>
      <w:r w:rsidRPr="00CF7401">
        <w:rPr>
          <w:rFonts w:ascii="Calibri" w:hAnsi="Calibri" w:cs="Calibri"/>
          <w:sz w:val="20"/>
          <w:szCs w:val="20"/>
        </w:rPr>
        <w:noBreakHyphen/>
        <w:t>131/12, Judgment of the Court (Grand Chamber), 13 May 2014, ECLI:EU:C:2014:317</w:t>
      </w:r>
      <w:r w:rsidRPr="00CF7401">
        <w:rPr>
          <w:sz w:val="20"/>
          <w:szCs w:val="20"/>
        </w:rPr>
        <w:t xml:space="preserve"> at [34] and </w:t>
      </w:r>
      <w:r w:rsidRPr="00CF7401">
        <w:rPr>
          <w:i/>
          <w:iCs/>
          <w:sz w:val="20"/>
          <w:szCs w:val="20"/>
        </w:rPr>
        <w:t>OQ</w:t>
      </w:r>
      <w:r w:rsidRPr="00CF7401">
        <w:rPr>
          <w:b/>
          <w:bCs/>
          <w:sz w:val="20"/>
          <w:szCs w:val="20"/>
        </w:rPr>
        <w:t xml:space="preserve"> </w:t>
      </w:r>
      <w:r w:rsidRPr="00CF7401">
        <w:rPr>
          <w:sz w:val="20"/>
          <w:szCs w:val="20"/>
        </w:rPr>
        <w:t>v</w:t>
      </w:r>
      <w:r w:rsidRPr="00CF7401">
        <w:rPr>
          <w:b/>
          <w:bCs/>
          <w:sz w:val="20"/>
          <w:szCs w:val="20"/>
        </w:rPr>
        <w:t xml:space="preserve"> </w:t>
      </w:r>
      <w:r w:rsidRPr="00CF7401">
        <w:rPr>
          <w:i/>
          <w:iCs/>
          <w:sz w:val="20"/>
          <w:szCs w:val="20"/>
        </w:rPr>
        <w:t>Land Hessen</w:t>
      </w:r>
      <w:r w:rsidRPr="00CF7401">
        <w:rPr>
          <w:sz w:val="20"/>
          <w:szCs w:val="20"/>
        </w:rPr>
        <w:t>, Case C</w:t>
      </w:r>
      <w:r w:rsidRPr="00CF7401">
        <w:rPr>
          <w:sz w:val="20"/>
          <w:szCs w:val="20"/>
        </w:rPr>
        <w:noBreakHyphen/>
        <w:t xml:space="preserve">634/21, Judgment of the Court (First Chamber), 7 December 2023, ECLI:EU:C:2023:957 at [61]. </w:t>
      </w:r>
    </w:p>
  </w:footnote>
  <w:footnote w:id="52">
    <w:p w:rsidR="001526AD" w:rsidP="001D0918">
      <w:pPr>
        <w:pStyle w:val="FootnoteText"/>
      </w:pPr>
      <w:r>
        <w:rPr>
          <w:rStyle w:val="FootnoteReference"/>
        </w:rPr>
        <w:footnoteRef/>
      </w:r>
      <w:r>
        <w:t xml:space="preserve"> It should be noted that Article 28(1) of the UK GDPR requires the controller only to use </w:t>
      </w:r>
      <w:r w:rsidRPr="00F012B3">
        <w:t xml:space="preserve">processors </w:t>
      </w:r>
      <w:r>
        <w:t>“</w:t>
      </w:r>
      <w:r w:rsidRPr="00F012B3">
        <w:t>providing sufficient guarantees to implement appropriate technical and organisational measures in such a manner that processing will meet the requirements of this Regulation and ensure the protection of the rights of the data subject</w:t>
      </w:r>
      <w:r>
        <w:t>”</w:t>
      </w:r>
      <w:r w:rsidRPr="00F012B3">
        <w:t>.</w:t>
      </w:r>
      <w:r>
        <w:t xml:space="preserve">  However, our experience is that organisations are not taking all the steps which are needed to ensure that organisations offering AI systems comply with the relevant technical and organisational measures.</w:t>
      </w:r>
    </w:p>
  </w:footnote>
  <w:footnote w:id="53">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Jay, R. (2020). </w:t>
      </w:r>
      <w:r w:rsidRPr="00124778">
        <w:rPr>
          <w:rFonts w:ascii="Calibri" w:hAnsi="Calibri" w:cs="Calibri"/>
          <w:i/>
          <w:iCs/>
        </w:rPr>
        <w:t>Data protection : law and practice</w:t>
      </w:r>
      <w:r w:rsidRPr="00124778">
        <w:rPr>
          <w:rFonts w:ascii="Calibri" w:hAnsi="Calibri" w:cs="Calibri"/>
        </w:rPr>
        <w:t>. London: Sweet &amp; Maxwell/Thomson Reuters at 6-018.‌</w:t>
      </w:r>
    </w:p>
  </w:footnote>
  <w:footnote w:id="54">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w:t>
      </w:r>
      <w:r>
        <w:rPr>
          <w:rFonts w:ascii="Calibri" w:hAnsi="Calibri" w:cs="Calibri"/>
        </w:rPr>
        <w:t xml:space="preserve"> for example</w:t>
      </w:r>
      <w:r w:rsidRPr="00124778">
        <w:rPr>
          <w:rFonts w:ascii="Calibri" w:hAnsi="Calibri" w:cs="Calibri"/>
        </w:rPr>
        <w:t xml:space="preserve"> </w:t>
      </w:r>
      <w:r>
        <w:fldChar w:fldCharType="begin"/>
      </w:r>
      <w:r>
        <w:instrText xml:space="preserve"> HYPERLINK "C:\\Users\\duhse\\AppData\\Local\\Microsoft\\Windows\\INetCache\\Content.Outlook\\O2MOCH27\\Algorithmic Decision-making A Guide For Lawyers (004).pdf" </w:instrText>
      </w:r>
      <w:r>
        <w:fldChar w:fldCharType="separate"/>
      </w:r>
      <w:r w:rsidRPr="00124778">
        <w:rPr>
          <w:rStyle w:val="Hyperlink"/>
          <w:rFonts w:ascii="Calibri" w:hAnsi="Calibri" w:cs="Calibri"/>
        </w:rPr>
        <w:t>Reuben Binns (2020) Algorithmic Decision-making: A Guide For Lawyers, Judicial Review,</w:t>
      </w:r>
      <w:r>
        <w:fldChar w:fldCharType="end"/>
      </w:r>
      <w:r w:rsidRPr="00124778">
        <w:rPr>
          <w:rFonts w:ascii="Calibri" w:hAnsi="Calibri" w:cs="Calibri"/>
        </w:rPr>
        <w:t xml:space="preserve"> 25:1, 2-7, DOI: 10.1080/10854681.2020.1732739 at paragraph 10-12.</w:t>
      </w:r>
    </w:p>
  </w:footnote>
  <w:footnote w:id="55">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Ibid, at paragraph 16-18.  Professor Binns points out that there is “always” a balance to be struck between false positives and false negatives.</w:t>
      </w:r>
    </w:p>
  </w:footnote>
  <w:footnote w:id="56">
    <w:p w:rsidR="001526AD" w:rsidP="001D0918">
      <w:pPr>
        <w:pStyle w:val="FootnoteText"/>
      </w:pPr>
      <w:r>
        <w:rPr>
          <w:rStyle w:val="FootnoteReference"/>
        </w:rPr>
        <w:footnoteRef/>
      </w:r>
      <w:r>
        <w:t xml:space="preserve"> See recital 58.</w:t>
      </w:r>
    </w:p>
  </w:footnote>
  <w:footnote w:id="57">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Ibid at paragraph 18.</w:t>
      </w:r>
    </w:p>
  </w:footnote>
  <w:footnote w:id="58">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Ibid at paragraph 18.</w:t>
      </w:r>
    </w:p>
  </w:footnote>
  <w:footnote w:id="59">
    <w:p w:rsidR="001526AD"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the following websites for an overview of a typical AI lifecycle: </w:t>
      </w:r>
    </w:p>
    <w:p w:rsidR="001526AD" w:rsidP="001D0918">
      <w:pPr>
        <w:pStyle w:val="FootnoteText"/>
        <w:numPr>
          <w:ilvl w:val="0"/>
          <w:numId w:val="11"/>
        </w:numPr>
        <w:jc w:val="both"/>
        <w:rPr>
          <w:rFonts w:ascii="Calibri" w:hAnsi="Calibri" w:cs="Calibri"/>
        </w:rPr>
      </w:pPr>
      <w:r w:rsidRPr="00124778">
        <w:rPr>
          <w:rFonts w:ascii="Calibri" w:hAnsi="Calibri" w:cs="Calibri"/>
        </w:rPr>
        <w:t xml:space="preserve">coe.gsa.gov. (n.d.). </w:t>
      </w:r>
      <w:r w:rsidRPr="00124778">
        <w:rPr>
          <w:rFonts w:ascii="Calibri" w:hAnsi="Calibri" w:cs="Calibri"/>
          <w:i/>
          <w:iCs/>
        </w:rPr>
        <w:t>Understanding and managing the AI lifecycle – AI Guide for Government</w:t>
      </w:r>
      <w:r w:rsidRPr="00124778">
        <w:rPr>
          <w:rFonts w:ascii="Calibri" w:hAnsi="Calibri" w:cs="Calibri"/>
        </w:rPr>
        <w:t xml:space="preserve">. [online] Available at: </w:t>
      </w:r>
      <w:r>
        <w:fldChar w:fldCharType="begin"/>
      </w:r>
      <w:r>
        <w:instrText xml:space="preserve"> HYPERLINK "https://coe.gsa.gov/coe/ai-guide-for-government/understanding-managing-ai-lifecycle/index.html" </w:instrText>
      </w:r>
      <w:r>
        <w:fldChar w:fldCharType="separate"/>
      </w:r>
      <w:r w:rsidRPr="00124778">
        <w:rPr>
          <w:rStyle w:val="Hyperlink"/>
          <w:rFonts w:ascii="Calibri" w:hAnsi="Calibri" w:cs="Calibri"/>
        </w:rPr>
        <w:t>https://coe.gsa.gov/coe/ai-guide-for-government/understanding-managing-ai-lifecycle/index.html</w:t>
      </w:r>
      <w:r>
        <w:fldChar w:fldCharType="end"/>
      </w:r>
      <w:r w:rsidRPr="00124778">
        <w:rPr>
          <w:rFonts w:ascii="Calibri" w:hAnsi="Calibri" w:cs="Calibri"/>
        </w:rPr>
        <w:t xml:space="preserve">; and </w:t>
      </w:r>
    </w:p>
    <w:p w:rsidR="001526AD" w:rsidRPr="00124778" w:rsidP="001D0918">
      <w:pPr>
        <w:pStyle w:val="FootnoteText"/>
        <w:numPr>
          <w:ilvl w:val="0"/>
          <w:numId w:val="11"/>
        </w:numPr>
        <w:jc w:val="both"/>
        <w:rPr>
          <w:rFonts w:ascii="Calibri" w:hAnsi="Calibri" w:cs="Calibri"/>
        </w:rPr>
      </w:pPr>
      <w:r w:rsidRPr="00124778">
        <w:rPr>
          <w:rFonts w:ascii="Calibri" w:hAnsi="Calibri" w:cs="Calibri"/>
          <w:color w:val="424242"/>
        </w:rPr>
        <w:t xml:space="preserve">paloaltonetworks.co.uk. (n.d.). </w:t>
      </w:r>
      <w:r w:rsidRPr="00124778">
        <w:rPr>
          <w:rFonts w:ascii="Calibri" w:hAnsi="Calibri" w:cs="Calibri"/>
          <w:i/>
          <w:iCs/>
          <w:color w:val="424242"/>
        </w:rPr>
        <w:t>What Is the AI Development Lifecycle?</w:t>
      </w:r>
      <w:r w:rsidRPr="00124778">
        <w:rPr>
          <w:rFonts w:ascii="Calibri" w:hAnsi="Calibri" w:cs="Calibri"/>
          <w:color w:val="424242"/>
        </w:rPr>
        <w:t>. [online] Available at: https://www.paloaltonetworks.co.uk/cyberpedia/ai-development-lifecycle</w:t>
      </w:r>
    </w:p>
  </w:footnote>
  <w:footnote w:id="60">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37160">
        <w:rPr>
          <w:rFonts w:ascii="Calibri" w:hAnsi="Calibri" w:cs="Calibri"/>
          <w:color w:val="424242"/>
        </w:rPr>
        <w:t>European Parliamentary Research Service. (2020). </w:t>
      </w:r>
      <w:r w:rsidRPr="00137160">
        <w:rPr>
          <w:rFonts w:ascii="Calibri" w:hAnsi="Calibri" w:cs="Calibri"/>
          <w:i/>
          <w:iCs/>
          <w:color w:val="424242"/>
        </w:rPr>
        <w:t>The impact of the General Data Protection Regulation (GDPR) on artificial intelligence</w:t>
      </w:r>
      <w:r w:rsidRPr="00137160">
        <w:rPr>
          <w:rFonts w:ascii="Calibri" w:hAnsi="Calibri" w:cs="Calibri"/>
          <w:color w:val="424242"/>
        </w:rPr>
        <w:t>, p. 45–47. [online] Available at: https://www.europarl.europa.eu/RegData/etudes/STUD/2020/641530/EPRS_STU(2020)641530_EN.pdf641530_EN.pdf)641530_EN.pdf)</w:t>
      </w:r>
    </w:p>
  </w:footnote>
  <w:footnote w:id="61">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hAnsi="Calibri" w:cs="Calibri"/>
          <w:color w:val="424242"/>
        </w:rPr>
        <w:t xml:space="preserve">Ruschemeier, H. (2025) ‘Generative AI and data protection’, </w:t>
      </w:r>
      <w:r w:rsidRPr="00124778">
        <w:rPr>
          <w:rFonts w:ascii="Calibri" w:hAnsi="Calibri" w:cs="Calibri"/>
          <w:i/>
          <w:iCs/>
          <w:color w:val="424242"/>
        </w:rPr>
        <w:t>Cambridge Forum on AI: Law and Governance</w:t>
      </w:r>
      <w:r w:rsidRPr="00124778">
        <w:rPr>
          <w:rFonts w:ascii="Calibri" w:hAnsi="Calibri" w:cs="Calibri"/>
          <w:color w:val="424242"/>
        </w:rPr>
        <w:t>, 1, e6. doi:10.1017/cfl.2024.2. Available at: https://www.cambridge.org/core/journals/cambridge-forum-on-ai-law-and-governance/article/generative-ai-and-data-protection/201F37EBCB407697A4249D74CF9F1204 (Accessed: 2 September 2025)</w:t>
      </w:r>
    </w:p>
  </w:footnote>
  <w:footnote w:id="62">
    <w:p w:rsidR="001526AD" w:rsidRPr="00124778" w:rsidP="001D0918">
      <w:pPr>
        <w:pStyle w:val="BWBBullet1"/>
        <w:numPr>
          <w:ilvl w:val="0"/>
          <w:numId w:val="0"/>
        </w:numPr>
        <w:jc w:val="both"/>
        <w:rPr>
          <w:rFonts w:ascii="Calibri" w:hAnsi="Calibri" w:cs="Calibri"/>
          <w:szCs w:val="20"/>
        </w:rPr>
      </w:pPr>
      <w:r w:rsidRPr="00124778">
        <w:rPr>
          <w:rStyle w:val="FootnoteReference"/>
          <w:rFonts w:ascii="Calibri" w:hAnsi="Calibri" w:cs="Calibri"/>
          <w:szCs w:val="20"/>
        </w:rPr>
        <w:footnoteRef/>
      </w:r>
      <w:r w:rsidRPr="00124778">
        <w:rPr>
          <w:rFonts w:ascii="Calibri" w:hAnsi="Calibri" w:cs="Calibri"/>
          <w:szCs w:val="20"/>
        </w:rPr>
        <w:t xml:space="preserve"> </w:t>
      </w:r>
      <w:r>
        <w:fldChar w:fldCharType="begin"/>
      </w:r>
      <w:r>
        <w:instrText xml:space="preserve"> HYPERLINK "https://ico.org.uk/for-organisations/uk-gdpr-guidance-and-resources/accountability-and-governance/guide-to-accountability-and-governance/" </w:instrText>
      </w:r>
      <w:r>
        <w:fldChar w:fldCharType="separate"/>
      </w:r>
      <w:r w:rsidRPr="00124778">
        <w:rPr>
          <w:rStyle w:val="Hyperlink"/>
          <w:rFonts w:ascii="Calibri" w:hAnsi="Calibri" w:cs="Calibri"/>
          <w:szCs w:val="20"/>
        </w:rPr>
        <w:t>Guide to accountability and governance | ICO</w:t>
      </w:r>
      <w:r>
        <w:fldChar w:fldCharType="end"/>
      </w:r>
      <w:r w:rsidRPr="00124778">
        <w:rPr>
          <w:rFonts w:ascii="Calibri" w:hAnsi="Calibri" w:cs="Calibri"/>
          <w:szCs w:val="20"/>
        </w:rPr>
        <w:t>.</w:t>
      </w:r>
    </w:p>
  </w:footnote>
  <w:footnote w:id="63">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w:t>
      </w:r>
      <w:r>
        <w:fldChar w:fldCharType="begin"/>
      </w:r>
      <w:r>
        <w:instrText xml:space="preserve"> HYPERLINK "https://view.officeapps.live.com/op/view.aspx?src=https%3A%2F%2Fico.org.uk%2Fmedia2%2Fkr3mveig%2Fai_and_data_protection_risk_toolkit_v11.xlsx&amp;wdOrigin=BROWSELINK" </w:instrText>
      </w:r>
      <w:r>
        <w:fldChar w:fldCharType="separate"/>
      </w:r>
      <w:r w:rsidRPr="00124778">
        <w:rPr>
          <w:rStyle w:val="Hyperlink"/>
          <w:rFonts w:ascii="Calibri" w:hAnsi="Calibri" w:cs="Calibri"/>
        </w:rPr>
        <w:t>ai_and_data_protection_risk_toolkit_v11.xlsx</w:t>
      </w:r>
      <w:r>
        <w:fldChar w:fldCharType="end"/>
      </w:r>
      <w:r>
        <w:t>.</w:t>
      </w:r>
    </w:p>
  </w:footnote>
  <w:footnote w:id="64">
    <w:p w:rsidR="001526AD" w:rsidP="001D0918">
      <w:pPr>
        <w:pStyle w:val="FootnoteText"/>
      </w:pPr>
      <w:r>
        <w:rPr>
          <w:rStyle w:val="FootnoteReference"/>
        </w:rPr>
        <w:footnoteRef/>
      </w:r>
      <w:r>
        <w:t xml:space="preserve"> Article 4(4) of the UK GDPR defines “profiling” as “</w:t>
      </w:r>
      <w:r w:rsidRPr="00E3434D">
        <w:rPr>
          <w:i/>
          <w:iCs/>
        </w:rPr>
        <w:t>any form of automated processing of personal data consisting of the use of personal data to evaluate certain personal aspects relating to a natural person, in particular to analyse or predict aspects concerning that natural person's performance at work, economic situation, health, personal preferences, interests, reliability, behaviour, location or movements</w:t>
      </w:r>
      <w:r>
        <w:t xml:space="preserve">”. </w:t>
      </w:r>
    </w:p>
  </w:footnote>
  <w:footnote w:id="65">
    <w:p w:rsidR="001526AD" w:rsidP="00E52E71">
      <w:pPr>
        <w:spacing w:line="240" w:lineRule="auto"/>
        <w:jc w:val="both"/>
      </w:pPr>
      <w:r>
        <w:rPr>
          <w:rStyle w:val="FootnoteReference"/>
        </w:rPr>
        <w:footnoteRef/>
      </w:r>
      <w:r>
        <w:t xml:space="preserve"> </w:t>
      </w:r>
      <w:r w:rsidRPr="00124778">
        <w:rPr>
          <w:rFonts w:ascii="Calibri" w:hAnsi="Calibri" w:cs="Calibri"/>
          <w:sz w:val="20"/>
          <w:szCs w:val="20"/>
        </w:rPr>
        <w:t>T</w:t>
      </w:r>
      <w:r w:rsidRPr="00124778">
        <w:rPr>
          <w:rFonts w:ascii="Calibri" w:eastAsia="Calibri" w:hAnsi="Calibri" w:cs="Calibri"/>
          <w:sz w:val="20"/>
          <w:szCs w:val="20"/>
        </w:rPr>
        <w:t xml:space="preserve">he strength of the protections under Article 22 in the EU regime and current UK GDPR are considerable.  Rosemary Jay says of Article 22 ““One of the strongest restrictive provisions in the Regulation” (see Jay, R. (2020). Data protection: law and practice. London: Sweet &amp; Maxwell/Thomson Reuters at [14-082]).  The European Data Protection Board </w:t>
      </w:r>
      <w:r w:rsidRPr="00124778">
        <w:rPr>
          <w:rFonts w:ascii="Calibri" w:hAnsi="Calibri" w:cs="Calibri"/>
          <w:sz w:val="20"/>
          <w:szCs w:val="20"/>
        </w:rPr>
        <w:t xml:space="preserve">describes this as a “general prohibition for decision-making based solely on automated processing” and “interpreting this as a prohibition rather than as a right to be invoked means that individuals are automatically protected from the potential effects this type of processing may have.”  The CJEU case of </w:t>
      </w:r>
      <w:r>
        <w:fldChar w:fldCharType="begin"/>
      </w:r>
      <w:r>
        <w:instrText xml:space="preserve"> HYPERLINK "https://curia.europa.eu/juris/document/document.jsf?text=&amp;docid=280426&amp;pageIndex=0&amp;doclang=en&amp;mode=lst&amp;dir=&amp;occ=first&amp;part=1&amp;cid=4390508" </w:instrText>
      </w:r>
      <w:r>
        <w:fldChar w:fldCharType="separate"/>
      </w:r>
      <w:r w:rsidRPr="00124778">
        <w:rPr>
          <w:rStyle w:val="Hyperlink"/>
          <w:rFonts w:ascii="Calibri" w:hAnsi="Calibri" w:cs="Calibri"/>
          <w:i/>
          <w:iCs/>
          <w:sz w:val="20"/>
          <w:szCs w:val="20"/>
        </w:rPr>
        <w:t>Shufa</w:t>
      </w:r>
      <w:r>
        <w:fldChar w:fldCharType="end"/>
      </w:r>
      <w:r w:rsidRPr="00124778">
        <w:rPr>
          <w:rFonts w:ascii="Calibri" w:hAnsi="Calibri" w:cs="Calibri"/>
          <w:sz w:val="20"/>
          <w:szCs w:val="20"/>
        </w:rPr>
        <w:t xml:space="preserve"> Case C</w:t>
      </w:r>
      <w:r w:rsidRPr="00124778">
        <w:rPr>
          <w:rFonts w:ascii="Calibri" w:hAnsi="Calibri" w:cs="Calibri"/>
          <w:sz w:val="20"/>
          <w:szCs w:val="20"/>
        </w:rPr>
        <w:noBreakHyphen/>
        <w:t>634/21</w:t>
      </w:r>
      <w:r w:rsidRPr="00124778">
        <w:rPr>
          <w:rFonts w:ascii="Calibri" w:hAnsi="Calibri" w:cs="Calibri"/>
          <w:color w:val="000000"/>
          <w:sz w:val="20"/>
          <w:szCs w:val="20"/>
        </w:rPr>
        <w:t xml:space="preserve"> </w:t>
      </w:r>
      <w:r w:rsidRPr="00124778">
        <w:rPr>
          <w:rFonts w:ascii="Calibri" w:hAnsi="Calibri" w:cs="Calibri"/>
          <w:sz w:val="20"/>
          <w:szCs w:val="20"/>
        </w:rPr>
        <w:t xml:space="preserve">interprets the wording of this provision broadly to ensure that the protections in Article 22 are effective (see [42] – [50]).   See further commentary </w:t>
      </w:r>
      <w:r>
        <w:fldChar w:fldCharType="begin"/>
      </w:r>
      <w:r>
        <w:instrText xml:space="preserve"> HYPERLINK "https://iapp.org/news/a/key-takeaways-from-the-cjeus-recent-automated-decision-making-rulings/" </w:instrText>
      </w:r>
      <w:r>
        <w:fldChar w:fldCharType="separate"/>
      </w:r>
      <w:r w:rsidRPr="00124778">
        <w:rPr>
          <w:rStyle w:val="Hyperlink"/>
          <w:rFonts w:ascii="Calibri" w:hAnsi="Calibri" w:cs="Calibri"/>
          <w:sz w:val="20"/>
          <w:szCs w:val="20"/>
        </w:rPr>
        <w:t>here</w:t>
      </w:r>
      <w:r>
        <w:fldChar w:fldCharType="end"/>
      </w:r>
      <w:r w:rsidRPr="00124778">
        <w:rPr>
          <w:rFonts w:ascii="Calibri" w:hAnsi="Calibri" w:cs="Calibri"/>
          <w:sz w:val="20"/>
          <w:szCs w:val="20"/>
        </w:rPr>
        <w:t>.</w:t>
      </w:r>
    </w:p>
  </w:footnote>
  <w:footnote w:id="66">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Pr>
          <w:rFonts w:ascii="Calibri" w:hAnsi="Calibri" w:cs="Calibri"/>
        </w:rPr>
        <w:t xml:space="preserve"> The language in the GDPR refers to legal or significant decisions.  The Data (Use and Access) Act 2025 does not change these definitions in a substantive way.  </w:t>
      </w:r>
    </w:p>
  </w:footnote>
  <w:footnote w:id="67">
    <w:p w:rsidR="001526AD" w:rsidP="001D0918">
      <w:pPr>
        <w:pStyle w:val="FootnoteText"/>
      </w:pPr>
      <w:r>
        <w:rPr>
          <w:rStyle w:val="FootnoteReference"/>
        </w:rPr>
        <w:footnoteRef/>
      </w:r>
      <w:r>
        <w:t xml:space="preserve"> Recital 43 to the UK GDPR states: “ </w:t>
      </w:r>
      <w:r w:rsidRPr="003B7BAF">
        <w:t>In order to ensure that consent is freely given, consent should not provide a valid legal ground for the processing of personal data in a specific case where there is a clear imbalance between the data subject and the controller</w:t>
      </w:r>
      <w:r>
        <w:t xml:space="preserve">”.  For further discussion see </w:t>
      </w:r>
      <w:r>
        <w:fldChar w:fldCharType="begin"/>
      </w:r>
      <w:r>
        <w:instrText xml:space="preserve"> HYPERLINK "https://ico.org.uk/for-organisations/uk-gdpr-guidance-and-resources/employment/monitoring-workers/data-protection-and-monitoring-workers/?search=imbalance" \l "dp4" </w:instrText>
      </w:r>
      <w:r>
        <w:fldChar w:fldCharType="separate"/>
      </w:r>
      <w:r w:rsidRPr="00DD7556">
        <w:rPr>
          <w:rStyle w:val="Hyperlink"/>
        </w:rPr>
        <w:t>Data protection and monitoring workers | ICO</w:t>
      </w:r>
      <w:r>
        <w:fldChar w:fldCharType="end"/>
      </w:r>
      <w:r>
        <w:t>.</w:t>
      </w:r>
    </w:p>
  </w:footnote>
  <w:footnote w:id="68">
    <w:p w:rsidR="001526AD" w:rsidP="001D0918">
      <w:pPr>
        <w:pStyle w:val="FootnoteText"/>
      </w:pPr>
      <w:r>
        <w:rPr>
          <w:rStyle w:val="FootnoteReference"/>
        </w:rPr>
        <w:footnoteRef/>
      </w:r>
      <w:r>
        <w:t xml:space="preserve"> See the discussion above regarding the necessity test above.</w:t>
      </w:r>
    </w:p>
  </w:footnote>
  <w:footnote w:id="69">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EU Member States will be acting within the scope of EU law when they provide exceptions from EU law in national legislation.  Those exceptions must themselves be drafted so as to comply with fundamental rights (see for example </w:t>
      </w:r>
      <w:r w:rsidRPr="00124778">
        <w:rPr>
          <w:rFonts w:ascii="Calibri" w:hAnsi="Calibri" w:cs="Calibri"/>
          <w:i/>
          <w:iCs/>
        </w:rPr>
        <w:t>R (on the application of Zagorski</w:t>
      </w:r>
      <w:r w:rsidRPr="00124778">
        <w:rPr>
          <w:rFonts w:ascii="Calibri" w:hAnsi="Calibri" w:cs="Calibri"/>
        </w:rPr>
        <w:t xml:space="preserve"> v </w:t>
      </w:r>
      <w:r w:rsidRPr="00124778">
        <w:rPr>
          <w:rFonts w:ascii="Calibri" w:hAnsi="Calibri" w:cs="Calibri"/>
          <w:i/>
          <w:iCs/>
        </w:rPr>
        <w:t>Secretary of State for Business, Innovation and Skills</w:t>
      </w:r>
      <w:r w:rsidRPr="00124778">
        <w:rPr>
          <w:rFonts w:ascii="Calibri" w:hAnsi="Calibri" w:cs="Calibri"/>
        </w:rPr>
        <w:t xml:space="preserve"> [2010] EWHC (Admin) (29 November 2010) at [70].  In the same way, UK secondary legislation must comply with human rights principles (see section 3 of the Human Rights Act 1998). </w:t>
      </w:r>
    </w:p>
  </w:footnote>
  <w:footnote w:id="70">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See the ICO guide to accountability and governance here: </w:t>
      </w:r>
      <w:r>
        <w:fldChar w:fldCharType="begin"/>
      </w:r>
      <w:r>
        <w:instrText xml:space="preserve"> HYPERLINK "https://ico.org.uk/for-organisations/uk-gdpr-guidance-and-resources/accountability-and-governance/guide-to-accountability-and-governance/data-protection-by-design-and-default/?utm_source=chatgpt.com" </w:instrText>
      </w:r>
      <w:r>
        <w:fldChar w:fldCharType="separate"/>
      </w:r>
      <w:r w:rsidRPr="00124778">
        <w:rPr>
          <w:rStyle w:val="Hyperlink"/>
          <w:rFonts w:ascii="Calibri" w:hAnsi="Calibri" w:cs="Calibri"/>
        </w:rPr>
        <w:t>Data protection by design and default | ICO</w:t>
      </w:r>
      <w:r>
        <w:fldChar w:fldCharType="end"/>
      </w:r>
    </w:p>
  </w:footnote>
  <w:footnote w:id="71">
    <w:p w:rsidR="001526AD" w:rsidP="00A25E5D">
      <w:pPr>
        <w:pStyle w:val="FootnoteText"/>
      </w:pPr>
      <w:r>
        <w:rPr>
          <w:rStyle w:val="FootnoteReference"/>
        </w:rPr>
        <w:footnoteRef/>
      </w:r>
      <w:r>
        <w:t xml:space="preserve"> See </w:t>
      </w:r>
      <w:r>
        <w:fldChar w:fldCharType="begin"/>
      </w:r>
      <w:r>
        <w:instrText xml:space="preserve"> HYPERLINK "https://ico.org.uk/for-organisations/uk-gdpr-guidance-and-resources/artificial-intelligence/guidance-on-ai-and-data-protection/how-should-we-assess-security-and-data-minimisation-in-ai/" </w:instrText>
      </w:r>
      <w:r>
        <w:fldChar w:fldCharType="separate"/>
      </w:r>
      <w:r w:rsidRPr="00A86EC1">
        <w:rPr>
          <w:rStyle w:val="Hyperlink"/>
        </w:rPr>
        <w:t>How should we assess security and data minimisation in AI? | ICO</w:t>
      </w:r>
      <w:r>
        <w:fldChar w:fldCharType="end"/>
      </w:r>
      <w:r>
        <w:t>.</w:t>
      </w:r>
    </w:p>
  </w:footnote>
  <w:footnote w:id="72">
    <w:p w:rsidR="001526AD">
      <w:pPr>
        <w:pStyle w:val="FootnoteText"/>
      </w:pPr>
      <w:r>
        <w:rPr>
          <w:rStyle w:val="FootnoteReference"/>
        </w:rPr>
        <w:footnoteRef/>
      </w:r>
      <w:r>
        <w:t xml:space="preserve"> See Article 35 of the UK GDPR.</w:t>
      </w:r>
    </w:p>
  </w:footnote>
  <w:footnote w:id="73">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fldChar w:fldCharType="begin"/>
      </w:r>
      <w:r>
        <w:instrText xml:space="preserve"> HYPERLINK "https://ico.org.uk/for-organisations/uk-gdpr-guidance-and-resources/artificial-intelligence/guidance-on-ai-and-data-protection/what-are-the-accountability-and-governance-implications-of-ai/" \l ":~:text=In%20the%20vast%20majority%20of,you%20have%20made%20this%20assessment" </w:instrText>
      </w:r>
      <w:r>
        <w:fldChar w:fldCharType="separate"/>
      </w:r>
      <w:r w:rsidRPr="00124778">
        <w:rPr>
          <w:rStyle w:val="Hyperlink"/>
          <w:rFonts w:ascii="Calibri" w:hAnsi="Calibri" w:cs="Calibri"/>
        </w:rPr>
        <w:t>What are the accountability and governance implications of AI? | ICO</w:t>
      </w:r>
      <w:r>
        <w:fldChar w:fldCharType="end"/>
      </w:r>
    </w:p>
  </w:footnote>
  <w:footnote w:id="74">
    <w:p w:rsidR="001526AD" w:rsidRPr="00124778" w:rsidP="001D0918">
      <w:pPr>
        <w:pStyle w:val="FootnoteText"/>
        <w:jc w:val="both"/>
        <w:rPr>
          <w:rFonts w:ascii="Calibri" w:hAnsi="Calibri" w:cs="Calibri"/>
        </w:rPr>
      </w:pPr>
      <w:r w:rsidRPr="00124778">
        <w:rPr>
          <w:rStyle w:val="FootnoteReference"/>
          <w:rFonts w:ascii="Calibri" w:hAnsi="Calibri" w:cs="Calibri"/>
        </w:rPr>
        <w:footnoteRef/>
      </w:r>
      <w:r w:rsidRPr="00124778">
        <w:rPr>
          <w:rFonts w:ascii="Calibri" w:hAnsi="Calibri" w:cs="Calibri"/>
        </w:rPr>
        <w:t xml:space="preserve"> </w:t>
      </w:r>
      <w:r w:rsidRPr="00124778">
        <w:rPr>
          <w:rFonts w:ascii="Calibri" w:eastAsia="Source Sans Pro" w:hAnsi="Calibri" w:cs="Calibri"/>
          <w:color w:val="2A2A2A"/>
        </w:rPr>
        <w:t xml:space="preserve">Heleen Janssen, Michelle Seng Ah Lee, Jatinder Singh, Practical fundamental rights impact assessments, </w:t>
      </w:r>
      <w:r w:rsidRPr="00124778">
        <w:rPr>
          <w:rFonts w:ascii="Calibri" w:eastAsia="Source Sans Pro" w:hAnsi="Calibri" w:cs="Calibri"/>
          <w:i/>
          <w:iCs/>
          <w:color w:val="2A2A2A"/>
        </w:rPr>
        <w:t>International Journal of Law and Information Technology</w:t>
      </w:r>
      <w:r w:rsidRPr="00124778">
        <w:rPr>
          <w:rFonts w:ascii="Calibri" w:eastAsia="Source Sans Pro" w:hAnsi="Calibri" w:cs="Calibri"/>
          <w:color w:val="2A2A2A"/>
        </w:rPr>
        <w:t xml:space="preserve">, Volume 30, Issue 2, Summer 2022, Pages 200–232, </w:t>
      </w:r>
      <w:r>
        <w:fldChar w:fldCharType="begin"/>
      </w:r>
      <w:r>
        <w:instrText xml:space="preserve"> HYPERLINK "https://doi.org/10.1093/ijlit/eaac018" </w:instrText>
      </w:r>
      <w:r>
        <w:fldChar w:fldCharType="separate"/>
      </w:r>
      <w:r w:rsidRPr="00124778">
        <w:rPr>
          <w:rStyle w:val="Hyperlink"/>
          <w:rFonts w:ascii="Calibri" w:eastAsia="Source Sans Pro" w:hAnsi="Calibri" w:cs="Calibri"/>
          <w:color w:val="006FB7"/>
          <w:u w:val="none"/>
        </w:rPr>
        <w:t>https://doi.org/10.1093/ijlit/eaac018</w:t>
      </w:r>
      <w:r>
        <w:fldChar w:fldCharType="end"/>
      </w:r>
    </w:p>
  </w:footnote>
  <w:footnote w:id="75">
    <w:p w:rsidR="001526AD">
      <w:pPr>
        <w:pStyle w:val="FootnoteText"/>
      </w:pPr>
      <w:r>
        <w:rPr>
          <w:rStyle w:val="FootnoteReference"/>
        </w:rPr>
        <w:footnoteRef/>
      </w:r>
      <w:r>
        <w:t xml:space="preserve"> </w:t>
      </w:r>
      <w:r>
        <w:rPr>
          <w:rFonts w:ascii="Calibri" w:eastAsia="Source Sans Pro" w:hAnsi="Calibri" w:cs="Calibri"/>
          <w:color w:val="2A2A2A"/>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7C50D8"/>
    <w:multiLevelType w:val="singleLevel"/>
    <w:tmpl w:val="F828C652"/>
    <w:lvl w:ilvl="0">
      <w:start w:val="1"/>
      <w:numFmt w:val="upperLetter"/>
      <w:pStyle w:val="BWBRecitals"/>
      <w:lvlText w:val="(%1)"/>
      <w:lvlJc w:val="left"/>
      <w:pPr>
        <w:ind w:left="879" w:hanging="879"/>
      </w:pPr>
      <w:rPr>
        <w:b w:val="0"/>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1">
    <w:nsid w:val="2939314D"/>
    <w:multiLevelType w:val="multilevel"/>
    <w:tmpl w:val="8F2E6556"/>
    <w:lvl w:ilvl="0">
      <w:start w:val="1"/>
      <w:numFmt w:val="decimal"/>
      <w:pStyle w:val="BWBAppendix"/>
      <w:suff w:val="space"/>
      <w:lvlText w:val="Appendix %1"/>
      <w:lvlJc w:val="left"/>
      <w:pPr>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1">
      <w:start w:val="1"/>
      <w:numFmt w:val="none"/>
      <w:pStyle w:val="BWBAppHeading"/>
      <w:suff w:val="nothing"/>
      <w:lvlJc w:val="left"/>
      <w:pPr>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2">
      <w:start w:val="1"/>
      <w:numFmt w:val="decimal"/>
      <w:pStyle w:val="BWBAppPart"/>
      <w:suff w:val="space"/>
      <w:lvlText w:val="Part %3"/>
      <w:lvlJc w:val="left"/>
      <w:pPr>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3">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4">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5">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6">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7">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lvl w:ilvl="8">
      <w:start w:val="1"/>
      <w:numFmt w:val="decimal"/>
      <w:lvlJc w:val="left"/>
      <w:pPr>
        <w:tabs>
          <w:tab w:val="num" w:pos="0"/>
        </w:tabs>
        <w:ind w:left="0" w:firstLine="0"/>
      </w:pPr>
      <w:rPr>
        <w:rFonts w:hint="default"/>
        <w:b/>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2">
    <w:nsid w:val="2FC96DA4"/>
    <w:multiLevelType w:val="hybridMultilevel"/>
    <w:tmpl w:val="0658ADC4"/>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3">
    <w:nsid w:val="3E94047E"/>
    <w:multiLevelType w:val="hybridMultilevel"/>
    <w:tmpl w:val="C4A0AD12"/>
    <w:lvl w:ilvl="0">
      <w:start w:val="5"/>
      <w:numFmt w:val="bullet"/>
      <w:lvlText w:val=""/>
      <w:lvlJc w:val="left"/>
      <w:pPr>
        <w:ind w:left="720" w:hanging="360"/>
      </w:pPr>
      <w:rPr>
        <w:rFonts w:ascii="Symbol" w:hAnsi="Symbol"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A7B2663"/>
    <w:multiLevelType w:val="multilevel"/>
    <w:tmpl w:val="870C7CD8"/>
    <w:lvl w:ilvl="0">
      <w:start w:val="1"/>
      <w:numFmt w:val="bullet"/>
      <w:pStyle w:val="BWBBullet1"/>
      <w:lvlText w:val=""/>
      <w:lvlJc w:val="left"/>
      <w:pPr>
        <w:tabs>
          <w:tab w:val="num" w:pos="879"/>
        </w:tabs>
        <w:ind w:left="879" w:hanging="879"/>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1">
      <w:start w:val="1"/>
      <w:numFmt w:val="bullet"/>
      <w:pStyle w:val="BWBBullet2"/>
      <w:lvlText w:val=""/>
      <w:lvlJc w:val="left"/>
      <w:pPr>
        <w:tabs>
          <w:tab w:val="num" w:pos="879"/>
        </w:tabs>
        <w:ind w:left="879" w:hanging="879"/>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2">
      <w:start w:val="1"/>
      <w:numFmt w:val="bullet"/>
      <w:pStyle w:val="BWBBullet3"/>
      <w:lvlText w:val=""/>
      <w:lvlJc w:val="left"/>
      <w:pPr>
        <w:tabs>
          <w:tab w:val="num" w:pos="879"/>
        </w:tabs>
        <w:ind w:left="879" w:hanging="879"/>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3">
      <w:start w:val="1"/>
      <w:numFmt w:val="bullet"/>
      <w:pStyle w:val="BWBBullet4"/>
      <w:lvlText w:val=""/>
      <w:lvlJc w:val="left"/>
      <w:pPr>
        <w:tabs>
          <w:tab w:val="num" w:pos="1599"/>
        </w:tabs>
        <w:ind w:left="1599" w:hanging="720"/>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4">
      <w:start w:val="1"/>
      <w:numFmt w:val="bullet"/>
      <w:pStyle w:val="BWBBullet5"/>
      <w:lvlText w:val=""/>
      <w:lvlJc w:val="left"/>
      <w:pPr>
        <w:tabs>
          <w:tab w:val="num" w:pos="2319"/>
        </w:tabs>
        <w:ind w:left="2319" w:hanging="720"/>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5">
      <w:start w:val="1"/>
      <w:numFmt w:val="bullet"/>
      <w:pStyle w:val="BWBBullet6"/>
      <w:lvlText w:val=""/>
      <w:lvlJc w:val="left"/>
      <w:pPr>
        <w:tabs>
          <w:tab w:val="num" w:pos="3039"/>
        </w:tabs>
        <w:ind w:left="3039" w:hanging="720"/>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6">
      <w:start w:val="27"/>
      <w:numFmt w:val="bullet"/>
      <w:pStyle w:val="BWBBullet7"/>
      <w:lvlText w:val=""/>
      <w:lvlJc w:val="left"/>
      <w:pPr>
        <w:tabs>
          <w:tab w:val="num" w:pos="3759"/>
        </w:tabs>
        <w:ind w:left="3759" w:hanging="720"/>
      </w:pPr>
      <w:rPr>
        <w:rFonts w:ascii="Symbol" w:hAnsi="Symbol" w:hint="default"/>
        <w:b w:val="0"/>
        <w:i w:val="0"/>
        <w:caps w:val="0"/>
        <w:smallCaps w:val="0"/>
        <w:strike w:val="0"/>
        <w:dstrike w:val="0"/>
        <w:outline w:val="0"/>
        <w:shadow w:val="0"/>
        <w:emboss w:val="0"/>
        <w:imprint w:val="0"/>
        <w:vanish w:val="0"/>
        <w:color w:val="auto"/>
        <w:w w:val="100"/>
        <w:kern w:val="0"/>
        <w:u w:val="none"/>
        <w:effect w:val="none"/>
        <w:vertAlign w:val="baseline"/>
      </w:rPr>
    </w:lvl>
    <w:lvl w:ilvl="7">
      <w:start w:val="1"/>
      <w:numFmt w:val="none"/>
      <w:pStyle w:val="BWBBullet8"/>
      <w:lvlText w:val="NONE"/>
      <w:lvlJc w:val="left"/>
      <w:pPr>
        <w:tabs>
          <w:tab w:val="num" w:pos="720"/>
        </w:tabs>
        <w:ind w:left="720"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8">
      <w:start w:val="1"/>
      <w:numFmt w:val="none"/>
      <w:pStyle w:val="BWBBullet9"/>
      <w:lvlText w:val="NONE"/>
      <w:lvlJc w:val="left"/>
      <w:pPr>
        <w:tabs>
          <w:tab w:val="num" w:pos="720"/>
        </w:tabs>
        <w:ind w:left="720"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5">
    <w:nsid w:val="5BE23117"/>
    <w:multiLevelType w:val="multilevel"/>
    <w:tmpl w:val="80D276FE"/>
    <w:lvl w:ilvl="0">
      <w:start w:val="1"/>
      <w:numFmt w:val="decimal"/>
      <w:pStyle w:val="BWBLevel1"/>
      <w:lvlText w:val="%1."/>
      <w:lvlJc w:val="left"/>
      <w:pPr>
        <w:tabs>
          <w:tab w:val="num" w:pos="879"/>
        </w:tabs>
        <w:ind w:left="879" w:hanging="879"/>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1">
      <w:start w:val="1"/>
      <w:numFmt w:val="decimal"/>
      <w:pStyle w:val="BWBLevel2"/>
      <w:isLgl/>
      <w:lvlText w:val="%1.%2"/>
      <w:lvlJc w:val="left"/>
      <w:pPr>
        <w:tabs>
          <w:tab w:val="num" w:pos="879"/>
        </w:tabs>
        <w:ind w:left="879" w:hanging="879"/>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2">
      <w:start w:val="1"/>
      <w:numFmt w:val="decimal"/>
      <w:pStyle w:val="BWBLevel3"/>
      <w:isLgl/>
      <w:lvlText w:val="%1.%2.%3"/>
      <w:lvlJc w:val="left"/>
      <w:pPr>
        <w:tabs>
          <w:tab w:val="num" w:pos="879"/>
        </w:tabs>
        <w:ind w:left="879" w:hanging="879"/>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3">
      <w:start w:val="1"/>
      <w:numFmt w:val="lowerLetter"/>
      <w:pStyle w:val="BWBLevel4"/>
      <w:lvlText w:val="(%4)"/>
      <w:lvlJc w:val="left"/>
      <w:pPr>
        <w:tabs>
          <w:tab w:val="num" w:pos="1599"/>
        </w:tabs>
        <w:ind w:left="1599"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4">
      <w:start w:val="1"/>
      <w:numFmt w:val="lowerRoman"/>
      <w:pStyle w:val="BWBLevel5"/>
      <w:lvlText w:val="(%5)"/>
      <w:lvlJc w:val="left"/>
      <w:pPr>
        <w:tabs>
          <w:tab w:val="num" w:pos="2319"/>
        </w:tabs>
        <w:ind w:left="2319"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5">
      <w:start w:val="1"/>
      <w:numFmt w:val="upperLetter"/>
      <w:pStyle w:val="BWBLevel6"/>
      <w:lvlText w:val="(%6)"/>
      <w:lvlJc w:val="left"/>
      <w:pPr>
        <w:tabs>
          <w:tab w:val="num" w:pos="3039"/>
        </w:tabs>
        <w:ind w:left="3039"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6">
      <w:start w:val="27"/>
      <w:numFmt w:val="lowerLetter"/>
      <w:pStyle w:val="BWBLevel7"/>
      <w:lvlText w:val="(%7)"/>
      <w:lvlJc w:val="left"/>
      <w:pPr>
        <w:tabs>
          <w:tab w:val="num" w:pos="3759"/>
        </w:tabs>
        <w:ind w:left="3759"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7">
      <w:start w:val="1"/>
      <w:numFmt w:val="none"/>
      <w:pStyle w:val="BWBLevel8"/>
      <w:lvlText w:val="NONE"/>
      <w:lvlJc w:val="left"/>
      <w:pPr>
        <w:tabs>
          <w:tab w:val="num" w:pos="720"/>
        </w:tabs>
        <w:ind w:left="720"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lvl w:ilvl="8">
      <w:start w:val="1"/>
      <w:numFmt w:val="none"/>
      <w:pStyle w:val="BWBLevel9"/>
      <w:lvlText w:val="NONE"/>
      <w:lvlJc w:val="left"/>
      <w:pPr>
        <w:tabs>
          <w:tab w:val="num" w:pos="720"/>
        </w:tabs>
        <w:ind w:left="720" w:hanging="720"/>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6">
    <w:nsid w:val="74731F7F"/>
    <w:multiLevelType w:val="hybridMultilevel"/>
    <w:tmpl w:val="A872CD06"/>
    <w:lvl w:ilvl="0">
      <w:start w:val="1"/>
      <w:numFmt w:val="decimal"/>
      <w:lvlText w:val="%1."/>
      <w:lvlJc w:val="left"/>
      <w:pPr>
        <w:ind w:left="720" w:hanging="360"/>
      </w:pPr>
      <w:rPr>
        <w:rFonts w:asciiTheme="majorHAnsi" w:eastAsiaTheme="minorEastAsia" w:hAnsiTheme="majorHAnsi" w:cstheme="majorHAns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70B4184"/>
    <w:multiLevelType w:val="multilevel"/>
    <w:tmpl w:val="39ACE45A"/>
    <w:lvl w:ilvl="0">
      <w:start w:val="1"/>
      <w:numFmt w:val="decimal"/>
      <w:pStyle w:val="BWBAppendix1"/>
      <w:isLgl/>
      <w:lvlText w:val="%1."/>
      <w:lvlJc w:val="left"/>
      <w:pPr>
        <w:tabs>
          <w:tab w:val="num" w:pos="879"/>
        </w:tabs>
        <w:ind w:left="879" w:hanging="879"/>
      </w:pPr>
      <w:rPr>
        <w:b w:val="0"/>
        <w:i w:val="0"/>
        <w:caps w:val="0"/>
        <w:smallCaps w:val="0"/>
        <w:strike w:val="0"/>
        <w:dstrike w:val="0"/>
        <w:outline w:val="0"/>
        <w:shadow w:val="0"/>
        <w:emboss w:val="0"/>
        <w:imprint w:val="0"/>
        <w:vanish w:val="0"/>
        <w:color w:val="auto"/>
        <w:w w:val="100"/>
        <w:kern w:val="0"/>
        <w:u w:val="none"/>
        <w:effect w:val="none"/>
        <w:vertAlign w:val="baseline"/>
      </w:rPr>
    </w:lvl>
    <w:lvl w:ilvl="1">
      <w:start w:val="1"/>
      <w:numFmt w:val="decimal"/>
      <w:pStyle w:val="BWBAppendix2"/>
      <w:isLgl/>
      <w:lvlText w:val="%1.%2"/>
      <w:lvlJc w:val="left"/>
      <w:pPr>
        <w:tabs>
          <w:tab w:val="num" w:pos="879"/>
        </w:tabs>
        <w:ind w:left="879" w:hanging="879"/>
      </w:pPr>
      <w:rPr>
        <w:b w:val="0"/>
        <w:i w:val="0"/>
        <w:caps w:val="0"/>
        <w:smallCaps w:val="0"/>
        <w:strike w:val="0"/>
        <w:dstrike w:val="0"/>
        <w:outline w:val="0"/>
        <w:shadow w:val="0"/>
        <w:emboss w:val="0"/>
        <w:imprint w:val="0"/>
        <w:vanish w:val="0"/>
        <w:color w:val="auto"/>
        <w:w w:val="100"/>
        <w:kern w:val="0"/>
        <w:u w:val="none"/>
        <w:effect w:val="none"/>
        <w:vertAlign w:val="baseline"/>
      </w:rPr>
    </w:lvl>
    <w:lvl w:ilvl="2">
      <w:start w:val="1"/>
      <w:numFmt w:val="decimal"/>
      <w:pStyle w:val="BWBAppendix3"/>
      <w:isLgl/>
      <w:lvlText w:val="%1.%2.%3"/>
      <w:lvlJc w:val="left"/>
      <w:pPr>
        <w:tabs>
          <w:tab w:val="num" w:pos="879"/>
        </w:tabs>
        <w:ind w:left="879" w:hanging="879"/>
      </w:pPr>
      <w:rPr>
        <w:b w:val="0"/>
        <w:i w:val="0"/>
        <w:caps w:val="0"/>
        <w:smallCaps w:val="0"/>
        <w:strike w:val="0"/>
        <w:dstrike w:val="0"/>
        <w:outline w:val="0"/>
        <w:shadow w:val="0"/>
        <w:emboss w:val="0"/>
        <w:imprint w:val="0"/>
        <w:vanish w:val="0"/>
        <w:color w:val="auto"/>
        <w:w w:val="100"/>
        <w:kern w:val="0"/>
        <w:u w:val="none"/>
        <w:effect w:val="none"/>
        <w:vertAlign w:val="baseline"/>
      </w:rPr>
    </w:lvl>
    <w:lvl w:ilvl="3">
      <w:start w:val="1"/>
      <w:numFmt w:val="lowerLetter"/>
      <w:pStyle w:val="BWBAppendix4"/>
      <w:lvlText w:val="(%4)"/>
      <w:lvlJc w:val="left"/>
      <w:pPr>
        <w:tabs>
          <w:tab w:val="num" w:pos="1599"/>
        </w:tabs>
        <w:ind w:left="1599" w:hanging="720"/>
      </w:pPr>
      <w:rPr>
        <w:b w:val="0"/>
        <w:i w:val="0"/>
        <w:caps w:val="0"/>
        <w:smallCaps w:val="0"/>
        <w:strike w:val="0"/>
        <w:dstrike w:val="0"/>
        <w:outline w:val="0"/>
        <w:shadow w:val="0"/>
        <w:emboss w:val="0"/>
        <w:imprint w:val="0"/>
        <w:vanish w:val="0"/>
        <w:color w:val="auto"/>
        <w:w w:val="100"/>
        <w:kern w:val="0"/>
        <w:u w:val="none"/>
        <w:effect w:val="none"/>
        <w:vertAlign w:val="baseline"/>
      </w:rPr>
    </w:lvl>
    <w:lvl w:ilvl="4">
      <w:start w:val="1"/>
      <w:numFmt w:val="lowerRoman"/>
      <w:pStyle w:val="BWBAppendix5"/>
      <w:lvlText w:val="(%5)"/>
      <w:lvlJc w:val="left"/>
      <w:pPr>
        <w:tabs>
          <w:tab w:val="num" w:pos="2319"/>
        </w:tabs>
        <w:ind w:left="2319" w:hanging="720"/>
      </w:pPr>
      <w:rPr>
        <w:b w:val="0"/>
        <w:i w:val="0"/>
        <w:caps w:val="0"/>
        <w:smallCaps w:val="0"/>
        <w:strike w:val="0"/>
        <w:dstrike w:val="0"/>
        <w:outline w:val="0"/>
        <w:shadow w:val="0"/>
        <w:emboss w:val="0"/>
        <w:imprint w:val="0"/>
        <w:vanish w:val="0"/>
        <w:color w:val="auto"/>
        <w:w w:val="100"/>
        <w:kern w:val="0"/>
        <w:u w:val="none"/>
        <w:effect w:val="none"/>
        <w:vertAlign w:val="baseline"/>
      </w:rPr>
    </w:lvl>
    <w:lvl w:ilvl="5">
      <w:start w:val="1"/>
      <w:numFmt w:val="upperLetter"/>
      <w:pStyle w:val="BWBAppendix6"/>
      <w:lvlText w:val="(%6)"/>
      <w:lvlJc w:val="left"/>
      <w:pPr>
        <w:tabs>
          <w:tab w:val="num" w:pos="3039"/>
        </w:tabs>
        <w:ind w:left="3039" w:hanging="720"/>
      </w:pPr>
      <w:rPr>
        <w:b w:val="0"/>
        <w:i w:val="0"/>
        <w:caps w:val="0"/>
        <w:smallCaps w:val="0"/>
        <w:strike w:val="0"/>
        <w:dstrike w:val="0"/>
        <w:outline w:val="0"/>
        <w:shadow w:val="0"/>
        <w:emboss w:val="0"/>
        <w:imprint w:val="0"/>
        <w:vanish w:val="0"/>
        <w:color w:val="auto"/>
        <w:w w:val="100"/>
        <w:kern w:val="0"/>
        <w:u w:val="none"/>
        <w:effect w:val="none"/>
        <w:vertAlign w:val="baseline"/>
      </w:rPr>
    </w:lvl>
    <w:lvl w:ilvl="6">
      <w:start w:val="27"/>
      <w:numFmt w:val="lowerLetter"/>
      <w:pStyle w:val="BWBAppendix7"/>
      <w:lvlText w:val="(%7)"/>
      <w:lvlJc w:val="left"/>
      <w:pPr>
        <w:tabs>
          <w:tab w:val="num" w:pos="3759"/>
        </w:tabs>
        <w:ind w:left="3759" w:hanging="720"/>
      </w:pPr>
      <w:rPr>
        <w:b w:val="0"/>
        <w:i w:val="0"/>
        <w:caps w:val="0"/>
        <w:smallCaps w:val="0"/>
        <w:strike w:val="0"/>
        <w:dstrike w:val="0"/>
        <w:outline w:val="0"/>
        <w:shadow w:val="0"/>
        <w:emboss w:val="0"/>
        <w:imprint w:val="0"/>
        <w:vanish w:val="0"/>
        <w:color w:val="auto"/>
        <w:w w:val="100"/>
        <w:kern w:val="0"/>
        <w:u w:val="none"/>
        <w:effect w:val="none"/>
        <w:vertAlign w:val="baseline"/>
      </w:rPr>
    </w:lvl>
    <w:lvl w:ilvl="7">
      <w:start w:val="1"/>
      <w:numFmt w:val="none"/>
      <w:pStyle w:val="BWBAppendix8"/>
      <w:lvlText w:val="NONE"/>
      <w:lvlJc w:val="left"/>
      <w:pPr>
        <w:tabs>
          <w:tab w:val="num" w:pos="720"/>
        </w:tabs>
        <w:ind w:left="720" w:hanging="720"/>
      </w:pPr>
      <w:rPr>
        <w:b w:val="0"/>
        <w:i w:val="0"/>
        <w:caps w:val="0"/>
        <w:smallCaps w:val="0"/>
        <w:strike w:val="0"/>
        <w:dstrike w:val="0"/>
        <w:outline w:val="0"/>
        <w:shadow w:val="0"/>
        <w:emboss w:val="0"/>
        <w:imprint w:val="0"/>
        <w:vanish w:val="0"/>
        <w:color w:val="auto"/>
        <w:w w:val="100"/>
        <w:kern w:val="0"/>
        <w:u w:val="none"/>
        <w:effect w:val="none"/>
        <w:vertAlign w:val="baseline"/>
      </w:rPr>
    </w:lvl>
    <w:lvl w:ilvl="8">
      <w:start w:val="1"/>
      <w:numFmt w:val="none"/>
      <w:pStyle w:val="BWBAppendix9"/>
      <w:lvlText w:val="NONE"/>
      <w:lvlJc w:val="left"/>
      <w:pPr>
        <w:tabs>
          <w:tab w:val="num" w:pos="720"/>
        </w:tabs>
        <w:ind w:left="720" w:hanging="720"/>
      </w:pPr>
      <w:rPr>
        <w:b w:val="0"/>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8">
    <w:nsid w:val="77744088"/>
    <w:multiLevelType w:val="hybridMultilevel"/>
    <w:tmpl w:val="D58849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7CA21509"/>
    <w:multiLevelType w:val="singleLevel"/>
    <w:tmpl w:val="F57406B8"/>
    <w:lvl w:ilvl="0">
      <w:start w:val="1"/>
      <w:numFmt w:val="decimal"/>
      <w:pStyle w:val="BWBParties"/>
      <w:lvlText w:val="(%1)"/>
      <w:lvlJc w:val="left"/>
      <w:pPr>
        <w:ind w:left="879" w:hanging="879"/>
      </w:pPr>
      <w:rPr>
        <w:rFonts w:hint="default"/>
        <w:b w:val="0"/>
        <w:i w:val="0"/>
        <w:caps w:val="0"/>
        <w:smallCaps w:val="0"/>
        <w:strike w:val="0"/>
        <w:dstrike w:val="0"/>
        <w:outline w:val="0"/>
        <w:shadow w:val="0"/>
        <w:emboss w:val="0"/>
        <w:imprint w:val="0"/>
        <w:vanish w:val="0"/>
        <w:color w:val="auto"/>
        <w:w w:val="100"/>
        <w:kern w:val="0"/>
        <w:u w:val="none"/>
        <w:effect w:val="none"/>
        <w:vertAlign w:val="baseline"/>
      </w:rPr>
    </w:lvl>
  </w:abstractNum>
  <w:abstractNum w:abstractNumId="10">
    <w:nsid w:val="7D6A10A7"/>
    <w:multiLevelType w:val="hybridMultilevel"/>
    <w:tmpl w:val="C088CB72"/>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0"/>
  </w:num>
  <w:num w:numId="5">
    <w:abstractNumId w:val="5"/>
  </w:num>
  <w:num w:numId="6">
    <w:abstractNumId w:val="4"/>
  </w:num>
  <w:num w:numId="7">
    <w:abstractNumId w:val="1"/>
  </w:num>
  <w:num w:numId="8">
    <w:abstractNumId w:val="7"/>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0">
    <w:abstractNumId w:val="10"/>
  </w:num>
  <w:num w:numId="11">
    <w:abstractNumId w:val="3"/>
  </w:num>
  <w:num w:numId="12">
    <w:abstractNumId w:val="5"/>
  </w:num>
  <w:num w:numId="13">
    <w:abstractNumId w:val="5"/>
  </w:num>
  <w:num w:numId="14">
    <w:abstractNumId w:val="2"/>
  </w:num>
  <w:num w:numId="15">
    <w:abstractNumId w:val="5"/>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9">
    <w:abstractNumId w:val="5"/>
  </w:num>
  <w:num w:numId="20">
    <w:abstractNumId w:val="4"/>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ko-K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37A8"/>
    <w:pPr>
      <w:spacing w:after="160" w:line="259" w:lineRule="auto"/>
    </w:pPr>
    <w:rPr>
      <w:rFonts w:eastAsiaTheme="minorEastAsia"/>
      <w:kern w:val="0"/>
      <w:lang w:eastAsia="zh-CN"/>
    </w:rPr>
  </w:style>
  <w:style w:type="paragraph" w:styleId="Heading1">
    <w:name w:val="heading 1"/>
    <w:basedOn w:val="Normal"/>
    <w:next w:val="Normal"/>
    <w:link w:val="Heading1Char"/>
    <w:uiPriority w:val="9"/>
    <w:qFormat/>
    <w:rsid w:val="00B837A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837A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837A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837A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837A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837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7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7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7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7A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837A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837A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837A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837A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83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7A8"/>
    <w:rPr>
      <w:rFonts w:eastAsiaTheme="majorEastAsia" w:cstheme="majorBidi"/>
      <w:color w:val="272727" w:themeColor="text1" w:themeTint="D8"/>
    </w:rPr>
  </w:style>
  <w:style w:type="paragraph" w:styleId="Title">
    <w:name w:val="Title"/>
    <w:basedOn w:val="Normal"/>
    <w:next w:val="Normal"/>
    <w:link w:val="TitleChar"/>
    <w:uiPriority w:val="10"/>
    <w:qFormat/>
    <w:rsid w:val="00B83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7A8"/>
    <w:pPr>
      <w:spacing w:before="160"/>
      <w:jc w:val="center"/>
    </w:pPr>
    <w:rPr>
      <w:i/>
      <w:iCs/>
      <w:color w:val="404040" w:themeColor="text1" w:themeTint="BF"/>
    </w:rPr>
  </w:style>
  <w:style w:type="character" w:customStyle="1" w:styleId="QuoteChar">
    <w:name w:val="Quote Char"/>
    <w:basedOn w:val="DefaultParagraphFont"/>
    <w:link w:val="Quote"/>
    <w:uiPriority w:val="29"/>
    <w:rsid w:val="00B837A8"/>
    <w:rPr>
      <w:i/>
      <w:iCs/>
      <w:color w:val="404040" w:themeColor="text1" w:themeTint="BF"/>
    </w:rPr>
  </w:style>
  <w:style w:type="paragraph" w:styleId="ListParagraph">
    <w:name w:val="List Paragraph"/>
    <w:basedOn w:val="Normal"/>
    <w:uiPriority w:val="34"/>
    <w:qFormat/>
    <w:rsid w:val="00B837A8"/>
    <w:pPr>
      <w:ind w:left="720"/>
      <w:contextualSpacing/>
    </w:pPr>
  </w:style>
  <w:style w:type="character" w:styleId="IntenseEmphasis">
    <w:name w:val="Intense Emphasis"/>
    <w:basedOn w:val="DefaultParagraphFont"/>
    <w:uiPriority w:val="21"/>
    <w:qFormat/>
    <w:rsid w:val="00B837A8"/>
    <w:rPr>
      <w:i/>
      <w:iCs/>
      <w:color w:val="365F91" w:themeColor="accent1" w:themeShade="BF"/>
    </w:rPr>
  </w:style>
  <w:style w:type="paragraph" w:styleId="IntenseQuote">
    <w:name w:val="Intense Quote"/>
    <w:basedOn w:val="Normal"/>
    <w:next w:val="Normal"/>
    <w:link w:val="IntenseQuoteChar"/>
    <w:uiPriority w:val="30"/>
    <w:qFormat/>
    <w:rsid w:val="00B837A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837A8"/>
    <w:rPr>
      <w:i/>
      <w:iCs/>
      <w:color w:val="365F91" w:themeColor="accent1" w:themeShade="BF"/>
    </w:rPr>
  </w:style>
  <w:style w:type="character" w:styleId="IntenseReference">
    <w:name w:val="Intense Reference"/>
    <w:basedOn w:val="DefaultParagraphFont"/>
    <w:uiPriority w:val="32"/>
    <w:qFormat/>
    <w:rsid w:val="00B837A8"/>
    <w:rPr>
      <w:b/>
      <w:bCs/>
      <w:smallCaps/>
      <w:color w:val="365F91" w:themeColor="accent1" w:themeShade="BF"/>
      <w:spacing w:val="5"/>
    </w:rPr>
  </w:style>
  <w:style w:type="character" w:styleId="Hyperlink">
    <w:name w:val="Hyperlink"/>
    <w:basedOn w:val="DefaultParagraphFont"/>
    <w:uiPriority w:val="99"/>
    <w:unhideWhenUsed/>
    <w:rsid w:val="00B837A8"/>
    <w:rPr>
      <w:color w:val="0000FF" w:themeColor="hyperlink"/>
      <w:u w:val="single"/>
    </w:rPr>
  </w:style>
  <w:style w:type="paragraph" w:styleId="Header">
    <w:name w:val="header"/>
    <w:basedOn w:val="Normal"/>
    <w:link w:val="HeaderChar"/>
    <w:uiPriority w:val="99"/>
    <w:unhideWhenUsed/>
    <w:rsid w:val="00AF5E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EA5"/>
    <w:rPr>
      <w:rFonts w:eastAsiaTheme="minorEastAsia"/>
      <w:kern w:val="0"/>
      <w:lang w:eastAsia="zh-CN"/>
    </w:rPr>
  </w:style>
  <w:style w:type="paragraph" w:styleId="Footer">
    <w:name w:val="footer"/>
    <w:basedOn w:val="Normal"/>
    <w:link w:val="FooterChar"/>
    <w:uiPriority w:val="99"/>
    <w:unhideWhenUsed/>
    <w:rsid w:val="00AF5E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EA5"/>
    <w:rPr>
      <w:rFonts w:eastAsiaTheme="minorEastAsia"/>
      <w:kern w:val="0"/>
      <w:lang w:eastAsia="zh-CN"/>
    </w:rPr>
  </w:style>
  <w:style w:type="character" w:customStyle="1" w:styleId="UnresolvedMention1">
    <w:name w:val="Unresolved Mention1"/>
    <w:basedOn w:val="DefaultParagraphFont"/>
    <w:uiPriority w:val="99"/>
    <w:semiHidden/>
    <w:unhideWhenUsed/>
    <w:rsid w:val="00AF5EA5"/>
    <w:rPr>
      <w:color w:val="605E5C"/>
      <w:shd w:val="clear" w:color="auto" w:fill="E1DFDD"/>
    </w:rPr>
  </w:style>
  <w:style w:type="paragraph" w:styleId="FootnoteText">
    <w:name w:val="footnote text"/>
    <w:basedOn w:val="Normal"/>
    <w:link w:val="FootnoteTextChar"/>
    <w:uiPriority w:val="99"/>
    <w:semiHidden/>
    <w:unhideWhenUsed/>
    <w:rsid w:val="00CC00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003F"/>
    <w:rPr>
      <w:rFonts w:eastAsiaTheme="minorEastAsia"/>
      <w:kern w:val="0"/>
      <w:sz w:val="20"/>
      <w:szCs w:val="20"/>
      <w:lang w:eastAsia="zh-CN"/>
    </w:rPr>
  </w:style>
  <w:style w:type="character" w:styleId="FootnoteReference">
    <w:name w:val="footnote reference"/>
    <w:basedOn w:val="DefaultParagraphFont"/>
    <w:uiPriority w:val="99"/>
    <w:semiHidden/>
    <w:unhideWhenUsed/>
    <w:rsid w:val="00CC003F"/>
    <w:rPr>
      <w:vertAlign w:val="superscript"/>
    </w:rPr>
  </w:style>
  <w:style w:type="paragraph" w:styleId="NormalWeb">
    <w:name w:val="Normal (Web)"/>
    <w:basedOn w:val="Normal"/>
    <w:uiPriority w:val="99"/>
    <w:semiHidden/>
    <w:unhideWhenUsed/>
    <w:rsid w:val="007044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WBBullet1">
    <w:name w:val="BWBBullet1"/>
    <w:basedOn w:val="Normal"/>
    <w:link w:val="BWBBullet1Char"/>
    <w:rsid w:val="004A3FD5"/>
    <w:pPr>
      <w:numPr>
        <w:numId w:val="6"/>
      </w:numPr>
      <w:spacing w:after="240" w:line="288" w:lineRule="auto"/>
      <w:outlineLvl w:val="0"/>
    </w:pPr>
    <w:rPr>
      <w:rFonts w:ascii="Arial" w:hAnsi="Arial" w:eastAsiaTheme="minorHAnsi" w:cs="Arial"/>
      <w:sz w:val="20"/>
      <w:lang w:eastAsia="en-US"/>
    </w:rPr>
  </w:style>
  <w:style w:type="character" w:customStyle="1" w:styleId="BWBBullet1Char">
    <w:name w:val="BWBBullet1 Char"/>
    <w:basedOn w:val="DefaultParagraphFont"/>
    <w:link w:val="BWBBullet1"/>
    <w:rsid w:val="004A3FD5"/>
    <w:rPr>
      <w:rFonts w:ascii="Arial" w:hAnsi="Arial" w:cs="Arial"/>
      <w:kern w:val="0"/>
      <w:sz w:val="20"/>
    </w:rPr>
  </w:style>
  <w:style w:type="paragraph" w:customStyle="1" w:styleId="BWBBullet2">
    <w:name w:val="BWBBullet2"/>
    <w:basedOn w:val="Normal"/>
    <w:link w:val="BWBBullet2Char"/>
    <w:rsid w:val="004A3FD5"/>
    <w:pPr>
      <w:numPr>
        <w:ilvl w:val="1"/>
        <w:numId w:val="6"/>
      </w:numPr>
      <w:spacing w:after="240" w:line="288" w:lineRule="auto"/>
      <w:outlineLvl w:val="1"/>
    </w:pPr>
    <w:rPr>
      <w:rFonts w:ascii="Arial" w:hAnsi="Arial" w:eastAsiaTheme="minorHAnsi" w:cs="Arial"/>
      <w:sz w:val="20"/>
      <w:lang w:eastAsia="en-US"/>
    </w:rPr>
  </w:style>
  <w:style w:type="paragraph" w:customStyle="1" w:styleId="BWBBullet3">
    <w:name w:val="BWBBullet3"/>
    <w:basedOn w:val="Normal"/>
    <w:link w:val="BWBBullet3Char"/>
    <w:rsid w:val="004A3FD5"/>
    <w:pPr>
      <w:numPr>
        <w:ilvl w:val="2"/>
        <w:numId w:val="6"/>
      </w:numPr>
      <w:spacing w:after="240" w:line="288" w:lineRule="auto"/>
      <w:outlineLvl w:val="2"/>
    </w:pPr>
    <w:rPr>
      <w:rFonts w:ascii="Arial" w:hAnsi="Arial" w:eastAsiaTheme="minorHAnsi" w:cs="Arial"/>
      <w:sz w:val="20"/>
      <w:lang w:eastAsia="en-US"/>
    </w:rPr>
  </w:style>
  <w:style w:type="paragraph" w:customStyle="1" w:styleId="BWBBullet4">
    <w:name w:val="BWBBullet4"/>
    <w:basedOn w:val="Normal"/>
    <w:link w:val="BWBBullet4Char"/>
    <w:rsid w:val="004A3FD5"/>
    <w:pPr>
      <w:numPr>
        <w:ilvl w:val="3"/>
        <w:numId w:val="6"/>
      </w:numPr>
      <w:spacing w:after="240" w:line="288" w:lineRule="auto"/>
      <w:outlineLvl w:val="3"/>
    </w:pPr>
    <w:rPr>
      <w:rFonts w:ascii="Arial" w:hAnsi="Arial" w:eastAsiaTheme="minorHAnsi" w:cs="Arial"/>
      <w:sz w:val="20"/>
      <w:lang w:eastAsia="en-US"/>
    </w:rPr>
  </w:style>
  <w:style w:type="paragraph" w:customStyle="1" w:styleId="BWBBullet5">
    <w:name w:val="BWBBullet5"/>
    <w:basedOn w:val="Normal"/>
    <w:link w:val="BWBBullet5Char"/>
    <w:rsid w:val="004A3FD5"/>
    <w:pPr>
      <w:numPr>
        <w:ilvl w:val="4"/>
        <w:numId w:val="6"/>
      </w:numPr>
      <w:spacing w:after="240" w:line="288" w:lineRule="auto"/>
      <w:outlineLvl w:val="4"/>
    </w:pPr>
    <w:rPr>
      <w:rFonts w:ascii="Arial" w:hAnsi="Arial" w:eastAsiaTheme="minorHAnsi" w:cs="Arial"/>
      <w:sz w:val="20"/>
      <w:lang w:eastAsia="en-US"/>
    </w:rPr>
  </w:style>
  <w:style w:type="paragraph" w:customStyle="1" w:styleId="BWBBullet6">
    <w:name w:val="BWBBullet6"/>
    <w:basedOn w:val="Normal"/>
    <w:link w:val="BWBBullet6Char"/>
    <w:rsid w:val="004A3FD5"/>
    <w:pPr>
      <w:numPr>
        <w:ilvl w:val="5"/>
        <w:numId w:val="6"/>
      </w:numPr>
      <w:spacing w:after="240" w:line="288" w:lineRule="auto"/>
      <w:outlineLvl w:val="5"/>
    </w:pPr>
    <w:rPr>
      <w:rFonts w:ascii="Arial" w:hAnsi="Arial" w:eastAsiaTheme="minorHAnsi" w:cs="Arial"/>
      <w:sz w:val="20"/>
      <w:lang w:eastAsia="en-US"/>
    </w:rPr>
  </w:style>
  <w:style w:type="paragraph" w:customStyle="1" w:styleId="BWBBullet7">
    <w:name w:val="BWBBullet7"/>
    <w:basedOn w:val="Normal"/>
    <w:link w:val="BWBBullet7Char"/>
    <w:rsid w:val="004A3FD5"/>
    <w:pPr>
      <w:numPr>
        <w:ilvl w:val="6"/>
        <w:numId w:val="6"/>
      </w:numPr>
      <w:spacing w:after="240" w:line="288" w:lineRule="auto"/>
      <w:outlineLvl w:val="6"/>
    </w:pPr>
    <w:rPr>
      <w:rFonts w:ascii="Arial" w:hAnsi="Arial" w:eastAsiaTheme="minorHAnsi" w:cs="Arial"/>
      <w:sz w:val="20"/>
      <w:lang w:eastAsia="en-US"/>
    </w:rPr>
  </w:style>
  <w:style w:type="paragraph" w:customStyle="1" w:styleId="BWBBullet8">
    <w:name w:val="BWBBullet8"/>
    <w:basedOn w:val="Normal"/>
    <w:link w:val="BWBBullet8Char"/>
    <w:rsid w:val="004A3FD5"/>
    <w:pPr>
      <w:numPr>
        <w:ilvl w:val="7"/>
        <w:numId w:val="6"/>
      </w:numPr>
      <w:spacing w:after="240" w:line="288" w:lineRule="auto"/>
      <w:outlineLvl w:val="7"/>
    </w:pPr>
    <w:rPr>
      <w:rFonts w:ascii="Arial" w:hAnsi="Arial" w:eastAsiaTheme="minorHAnsi" w:cs="Arial"/>
      <w:sz w:val="20"/>
      <w:lang w:eastAsia="en-US"/>
    </w:rPr>
  </w:style>
  <w:style w:type="paragraph" w:customStyle="1" w:styleId="BWBBullet9">
    <w:name w:val="BWBBullet9"/>
    <w:basedOn w:val="Normal"/>
    <w:link w:val="BWBBullet9Char"/>
    <w:rsid w:val="004A3FD5"/>
    <w:pPr>
      <w:numPr>
        <w:ilvl w:val="8"/>
        <w:numId w:val="6"/>
      </w:numPr>
      <w:spacing w:after="240" w:line="288" w:lineRule="auto"/>
      <w:outlineLvl w:val="8"/>
    </w:pPr>
    <w:rPr>
      <w:rFonts w:ascii="Arial" w:hAnsi="Arial" w:eastAsiaTheme="minorHAnsi" w:cs="Arial"/>
      <w:sz w:val="20"/>
      <w:lang w:eastAsia="en-US"/>
    </w:rPr>
  </w:style>
  <w:style w:type="character" w:customStyle="1" w:styleId="cf01">
    <w:name w:val="cf01"/>
    <w:basedOn w:val="DefaultParagraphFont"/>
    <w:rsid w:val="00E0550A"/>
    <w:rPr>
      <w:rFonts w:ascii="Segoe UI" w:hAnsi="Segoe UI" w:cs="Segoe UI" w:hint="default"/>
      <w:sz w:val="18"/>
      <w:szCs w:val="18"/>
    </w:rPr>
  </w:style>
  <w:style w:type="paragraph" w:customStyle="1" w:styleId="Normal0">
    <w:name w:val="Normal_0"/>
    <w:qFormat/>
    <w:rsid w:val="00F14C5F"/>
    <w:pPr>
      <w:spacing w:after="0" w:line="240" w:lineRule="auto"/>
    </w:pPr>
    <w:rPr>
      <w:rFonts w:ascii="Times New Roman" w:eastAsia="Times New Roman" w:hAnsi="Times New Roman" w:cs="Times New Roman"/>
      <w:kern w:val="0"/>
      <w:sz w:val="24"/>
      <w:szCs w:val="24"/>
      <w:lang w:val="en-US"/>
    </w:rPr>
  </w:style>
  <w:style w:type="character" w:customStyle="1" w:styleId="BWBBullet4Char">
    <w:name w:val="BWBBullet4 Char"/>
    <w:basedOn w:val="DefaultParagraphFont"/>
    <w:link w:val="BWBBullet4"/>
    <w:rsid w:val="004A3FD5"/>
    <w:rPr>
      <w:rFonts w:ascii="Arial" w:hAnsi="Arial" w:cs="Arial"/>
      <w:kern w:val="0"/>
      <w:sz w:val="20"/>
    </w:rPr>
  </w:style>
  <w:style w:type="character" w:styleId="CommentReference">
    <w:name w:val="annotation reference"/>
    <w:basedOn w:val="DefaultParagraphFont"/>
    <w:uiPriority w:val="99"/>
    <w:semiHidden/>
    <w:unhideWhenUsed/>
    <w:rsid w:val="00E22DCB"/>
    <w:rPr>
      <w:sz w:val="16"/>
      <w:szCs w:val="16"/>
    </w:rPr>
  </w:style>
  <w:style w:type="paragraph" w:styleId="CommentText">
    <w:name w:val="annotation text"/>
    <w:basedOn w:val="Normal"/>
    <w:link w:val="CommentTextChar"/>
    <w:uiPriority w:val="99"/>
    <w:unhideWhenUsed/>
    <w:rsid w:val="00E22DCB"/>
    <w:pPr>
      <w:spacing w:line="240" w:lineRule="auto"/>
    </w:pPr>
    <w:rPr>
      <w:sz w:val="20"/>
      <w:szCs w:val="20"/>
    </w:rPr>
  </w:style>
  <w:style w:type="character" w:customStyle="1" w:styleId="CommentTextChar">
    <w:name w:val="Comment Text Char"/>
    <w:basedOn w:val="DefaultParagraphFont"/>
    <w:link w:val="CommentText"/>
    <w:uiPriority w:val="99"/>
    <w:rsid w:val="00E22DCB"/>
    <w:rPr>
      <w:rFonts w:eastAsiaTheme="minorEastAsia"/>
      <w:kern w:val="0"/>
      <w:sz w:val="20"/>
      <w:szCs w:val="20"/>
      <w:lang w:eastAsia="zh-CN"/>
    </w:rPr>
  </w:style>
  <w:style w:type="paragraph" w:styleId="CommentSubject">
    <w:name w:val="annotation subject"/>
    <w:basedOn w:val="CommentText"/>
    <w:next w:val="CommentText"/>
    <w:link w:val="CommentSubjectChar"/>
    <w:uiPriority w:val="99"/>
    <w:semiHidden/>
    <w:unhideWhenUsed/>
    <w:rsid w:val="00E22DCB"/>
    <w:rPr>
      <w:b/>
      <w:bCs/>
    </w:rPr>
  </w:style>
  <w:style w:type="character" w:customStyle="1" w:styleId="CommentSubjectChar">
    <w:name w:val="Comment Subject Char"/>
    <w:basedOn w:val="CommentTextChar"/>
    <w:link w:val="CommentSubject"/>
    <w:uiPriority w:val="99"/>
    <w:semiHidden/>
    <w:rsid w:val="00E22DCB"/>
    <w:rPr>
      <w:rFonts w:eastAsiaTheme="minorEastAsia"/>
      <w:b/>
      <w:bCs/>
      <w:kern w:val="0"/>
      <w:sz w:val="20"/>
      <w:szCs w:val="20"/>
      <w:lang w:eastAsia="zh-CN"/>
    </w:rPr>
  </w:style>
  <w:style w:type="character" w:styleId="FollowedHyperlink">
    <w:name w:val="FollowedHyperlink"/>
    <w:basedOn w:val="DefaultParagraphFont"/>
    <w:uiPriority w:val="99"/>
    <w:semiHidden/>
    <w:unhideWhenUsed/>
    <w:rsid w:val="002057C2"/>
    <w:rPr>
      <w:color w:val="800080" w:themeColor="followedHyperlink"/>
      <w:u w:val="single"/>
    </w:rPr>
  </w:style>
  <w:style w:type="paragraph" w:customStyle="1" w:styleId="BWBParties">
    <w:name w:val="BWBParties"/>
    <w:basedOn w:val="Normal"/>
    <w:link w:val="BWBPartiesChar"/>
    <w:rsid w:val="004A3FD5"/>
    <w:pPr>
      <w:numPr>
        <w:numId w:val="3"/>
      </w:numPr>
      <w:spacing w:after="240" w:line="288" w:lineRule="auto"/>
      <w:jc w:val="both"/>
    </w:pPr>
    <w:rPr>
      <w:rFonts w:ascii="Arial" w:hAnsi="Arial" w:eastAsiaTheme="minorHAnsi" w:cs="Arial"/>
      <w:sz w:val="20"/>
      <w:lang w:eastAsia="en-US"/>
    </w:rPr>
  </w:style>
  <w:style w:type="character" w:customStyle="1" w:styleId="BWBPartiesChar">
    <w:name w:val="BWBParties Char"/>
    <w:basedOn w:val="DefaultParagraphFont"/>
    <w:link w:val="BWBParties"/>
    <w:rsid w:val="004A3FD5"/>
    <w:rPr>
      <w:rFonts w:ascii="Arial" w:hAnsi="Arial" w:cs="Arial"/>
      <w:kern w:val="0"/>
      <w:sz w:val="20"/>
    </w:rPr>
  </w:style>
  <w:style w:type="paragraph" w:customStyle="1" w:styleId="BWBRecitals">
    <w:name w:val="BWBRecitals"/>
    <w:basedOn w:val="Normal"/>
    <w:link w:val="BWBRecitalsChar"/>
    <w:rsid w:val="004A3FD5"/>
    <w:pPr>
      <w:numPr>
        <w:numId w:val="4"/>
      </w:numPr>
      <w:spacing w:after="240" w:line="288" w:lineRule="auto"/>
      <w:jc w:val="both"/>
    </w:pPr>
    <w:rPr>
      <w:rFonts w:ascii="Arial" w:hAnsi="Arial" w:eastAsiaTheme="minorHAnsi" w:cs="Arial"/>
      <w:sz w:val="20"/>
      <w:lang w:eastAsia="en-US"/>
    </w:rPr>
  </w:style>
  <w:style w:type="character" w:customStyle="1" w:styleId="BWBRecitalsChar">
    <w:name w:val="BWBRecitals Char"/>
    <w:basedOn w:val="DefaultParagraphFont"/>
    <w:link w:val="BWBRecitals"/>
    <w:rsid w:val="004A3FD5"/>
    <w:rPr>
      <w:rFonts w:ascii="Arial" w:hAnsi="Arial" w:cs="Arial"/>
      <w:kern w:val="0"/>
      <w:sz w:val="20"/>
    </w:rPr>
  </w:style>
  <w:style w:type="paragraph" w:customStyle="1" w:styleId="BWBLevel1">
    <w:name w:val="BWBLevel1"/>
    <w:basedOn w:val="Normal"/>
    <w:link w:val="BWBLevel1Char"/>
    <w:rsid w:val="004A3FD5"/>
    <w:pPr>
      <w:numPr>
        <w:numId w:val="5"/>
      </w:numPr>
      <w:spacing w:after="240" w:line="288" w:lineRule="auto"/>
      <w:jc w:val="both"/>
      <w:outlineLvl w:val="0"/>
    </w:pPr>
    <w:rPr>
      <w:rFonts w:ascii="Arial" w:hAnsi="Arial" w:eastAsiaTheme="minorHAnsi" w:cs="Arial"/>
      <w:sz w:val="20"/>
      <w:lang w:eastAsia="en-US"/>
    </w:rPr>
  </w:style>
  <w:style w:type="character" w:customStyle="1" w:styleId="BWBLevel1Char">
    <w:name w:val="BWBLevel1 Char"/>
    <w:basedOn w:val="DefaultParagraphFont"/>
    <w:link w:val="BWBLevel1"/>
    <w:rsid w:val="004A3FD5"/>
    <w:rPr>
      <w:rFonts w:ascii="Arial" w:hAnsi="Arial" w:cs="Arial"/>
      <w:kern w:val="0"/>
      <w:sz w:val="20"/>
    </w:rPr>
  </w:style>
  <w:style w:type="paragraph" w:customStyle="1" w:styleId="BWBLevel2">
    <w:name w:val="BWBLevel2"/>
    <w:basedOn w:val="Normal"/>
    <w:link w:val="BWBLevel2Char"/>
    <w:rsid w:val="004A3FD5"/>
    <w:pPr>
      <w:numPr>
        <w:ilvl w:val="1"/>
        <w:numId w:val="5"/>
      </w:numPr>
      <w:spacing w:after="240" w:line="288" w:lineRule="auto"/>
      <w:jc w:val="both"/>
      <w:outlineLvl w:val="1"/>
    </w:pPr>
    <w:rPr>
      <w:rFonts w:ascii="Arial" w:hAnsi="Arial" w:eastAsiaTheme="minorHAnsi" w:cs="Arial"/>
      <w:sz w:val="20"/>
      <w:lang w:eastAsia="en-US"/>
    </w:rPr>
  </w:style>
  <w:style w:type="character" w:customStyle="1" w:styleId="BWBLevel2Char">
    <w:name w:val="BWBLevel2 Char"/>
    <w:basedOn w:val="DefaultParagraphFont"/>
    <w:link w:val="BWBLevel2"/>
    <w:rsid w:val="004A3FD5"/>
    <w:rPr>
      <w:rFonts w:ascii="Arial" w:hAnsi="Arial" w:cs="Arial"/>
      <w:kern w:val="0"/>
      <w:sz w:val="20"/>
    </w:rPr>
  </w:style>
  <w:style w:type="paragraph" w:customStyle="1" w:styleId="BWBLevel3">
    <w:name w:val="BWBLevel3"/>
    <w:basedOn w:val="Normal"/>
    <w:link w:val="BWBLevel3Char"/>
    <w:rsid w:val="004A3FD5"/>
    <w:pPr>
      <w:numPr>
        <w:ilvl w:val="2"/>
        <w:numId w:val="5"/>
      </w:numPr>
      <w:spacing w:after="240" w:line="288" w:lineRule="auto"/>
      <w:jc w:val="both"/>
      <w:outlineLvl w:val="2"/>
    </w:pPr>
    <w:rPr>
      <w:rFonts w:ascii="Arial" w:hAnsi="Arial" w:eastAsiaTheme="minorHAnsi" w:cs="Arial"/>
      <w:sz w:val="20"/>
      <w:lang w:eastAsia="en-US"/>
    </w:rPr>
  </w:style>
  <w:style w:type="character" w:customStyle="1" w:styleId="BWBLevel3Char">
    <w:name w:val="BWBLevel3 Char"/>
    <w:basedOn w:val="DefaultParagraphFont"/>
    <w:link w:val="BWBLevel3"/>
    <w:rsid w:val="004A3FD5"/>
    <w:rPr>
      <w:rFonts w:ascii="Arial" w:hAnsi="Arial" w:cs="Arial"/>
      <w:kern w:val="0"/>
      <w:sz w:val="20"/>
    </w:rPr>
  </w:style>
  <w:style w:type="paragraph" w:customStyle="1" w:styleId="BWBLevel4">
    <w:name w:val="BWBLevel4"/>
    <w:basedOn w:val="Normal"/>
    <w:link w:val="BWBLevel4Char"/>
    <w:rsid w:val="004A3FD5"/>
    <w:pPr>
      <w:numPr>
        <w:ilvl w:val="3"/>
        <w:numId w:val="5"/>
      </w:numPr>
      <w:spacing w:after="240" w:line="288" w:lineRule="auto"/>
      <w:jc w:val="both"/>
      <w:outlineLvl w:val="3"/>
    </w:pPr>
    <w:rPr>
      <w:rFonts w:ascii="Arial" w:hAnsi="Arial" w:eastAsiaTheme="minorHAnsi" w:cs="Arial"/>
      <w:sz w:val="20"/>
      <w:lang w:eastAsia="en-US"/>
    </w:rPr>
  </w:style>
  <w:style w:type="character" w:customStyle="1" w:styleId="BWBLevel4Char">
    <w:name w:val="BWBLevel4 Char"/>
    <w:basedOn w:val="DefaultParagraphFont"/>
    <w:link w:val="BWBLevel4"/>
    <w:rsid w:val="004A3FD5"/>
    <w:rPr>
      <w:rFonts w:ascii="Arial" w:hAnsi="Arial" w:cs="Arial"/>
      <w:kern w:val="0"/>
      <w:sz w:val="20"/>
    </w:rPr>
  </w:style>
  <w:style w:type="paragraph" w:customStyle="1" w:styleId="BWBLevel5">
    <w:name w:val="BWBLevel5"/>
    <w:basedOn w:val="Normal"/>
    <w:link w:val="BWBLevel5Char"/>
    <w:rsid w:val="004A3FD5"/>
    <w:pPr>
      <w:numPr>
        <w:ilvl w:val="4"/>
        <w:numId w:val="5"/>
      </w:numPr>
      <w:spacing w:after="240" w:line="288" w:lineRule="auto"/>
      <w:jc w:val="both"/>
      <w:outlineLvl w:val="4"/>
    </w:pPr>
    <w:rPr>
      <w:rFonts w:ascii="Arial" w:hAnsi="Arial" w:eastAsiaTheme="minorHAnsi" w:cs="Arial"/>
      <w:sz w:val="20"/>
      <w:lang w:eastAsia="en-US"/>
    </w:rPr>
  </w:style>
  <w:style w:type="character" w:customStyle="1" w:styleId="BWBLevel5Char">
    <w:name w:val="BWBLevel5 Char"/>
    <w:basedOn w:val="DefaultParagraphFont"/>
    <w:link w:val="BWBLevel5"/>
    <w:rsid w:val="004A3FD5"/>
    <w:rPr>
      <w:rFonts w:ascii="Arial" w:hAnsi="Arial" w:cs="Arial"/>
      <w:kern w:val="0"/>
      <w:sz w:val="20"/>
    </w:rPr>
  </w:style>
  <w:style w:type="paragraph" w:customStyle="1" w:styleId="BWBLevel6">
    <w:name w:val="BWBLevel6"/>
    <w:basedOn w:val="Normal"/>
    <w:link w:val="BWBLevel6Char"/>
    <w:rsid w:val="004A3FD5"/>
    <w:pPr>
      <w:numPr>
        <w:ilvl w:val="5"/>
        <w:numId w:val="5"/>
      </w:numPr>
      <w:spacing w:after="240" w:line="288" w:lineRule="auto"/>
      <w:jc w:val="both"/>
      <w:outlineLvl w:val="5"/>
    </w:pPr>
    <w:rPr>
      <w:rFonts w:ascii="Arial" w:hAnsi="Arial" w:eastAsiaTheme="minorHAnsi" w:cs="Arial"/>
      <w:sz w:val="20"/>
      <w:lang w:eastAsia="en-US"/>
    </w:rPr>
  </w:style>
  <w:style w:type="character" w:customStyle="1" w:styleId="BWBLevel6Char">
    <w:name w:val="BWBLevel6 Char"/>
    <w:basedOn w:val="DefaultParagraphFont"/>
    <w:link w:val="BWBLevel6"/>
    <w:rsid w:val="004A3FD5"/>
    <w:rPr>
      <w:rFonts w:ascii="Arial" w:hAnsi="Arial" w:cs="Arial"/>
      <w:kern w:val="0"/>
      <w:sz w:val="20"/>
    </w:rPr>
  </w:style>
  <w:style w:type="paragraph" w:customStyle="1" w:styleId="BWBLevel7">
    <w:name w:val="BWBLevel7"/>
    <w:basedOn w:val="Normal"/>
    <w:link w:val="BWBLevel7Char"/>
    <w:rsid w:val="004A3FD5"/>
    <w:pPr>
      <w:numPr>
        <w:ilvl w:val="6"/>
        <w:numId w:val="5"/>
      </w:numPr>
      <w:spacing w:after="240" w:line="288" w:lineRule="auto"/>
      <w:jc w:val="both"/>
      <w:outlineLvl w:val="6"/>
    </w:pPr>
    <w:rPr>
      <w:rFonts w:ascii="Arial" w:hAnsi="Arial" w:eastAsiaTheme="minorHAnsi" w:cs="Arial"/>
      <w:sz w:val="20"/>
      <w:lang w:eastAsia="en-US"/>
    </w:rPr>
  </w:style>
  <w:style w:type="character" w:customStyle="1" w:styleId="BWBLevel7Char">
    <w:name w:val="BWBLevel7 Char"/>
    <w:basedOn w:val="DefaultParagraphFont"/>
    <w:link w:val="BWBLevel7"/>
    <w:rsid w:val="004A3FD5"/>
    <w:rPr>
      <w:rFonts w:ascii="Arial" w:hAnsi="Arial" w:cs="Arial"/>
      <w:kern w:val="0"/>
      <w:sz w:val="20"/>
    </w:rPr>
  </w:style>
  <w:style w:type="paragraph" w:customStyle="1" w:styleId="BWBLevel8">
    <w:name w:val="BWBLevel8"/>
    <w:basedOn w:val="Normal"/>
    <w:link w:val="BWBLevel8Char"/>
    <w:rsid w:val="004A3FD5"/>
    <w:pPr>
      <w:numPr>
        <w:ilvl w:val="7"/>
        <w:numId w:val="5"/>
      </w:numPr>
      <w:spacing w:after="240" w:line="288" w:lineRule="auto"/>
      <w:jc w:val="both"/>
      <w:outlineLvl w:val="7"/>
    </w:pPr>
    <w:rPr>
      <w:rFonts w:ascii="Arial" w:hAnsi="Arial" w:eastAsiaTheme="minorHAnsi" w:cs="Arial"/>
      <w:sz w:val="20"/>
      <w:lang w:eastAsia="en-US"/>
    </w:rPr>
  </w:style>
  <w:style w:type="character" w:customStyle="1" w:styleId="BWBLevel8Char">
    <w:name w:val="BWBLevel8 Char"/>
    <w:basedOn w:val="DefaultParagraphFont"/>
    <w:link w:val="BWBLevel8"/>
    <w:rsid w:val="004A3FD5"/>
    <w:rPr>
      <w:rFonts w:ascii="Arial" w:hAnsi="Arial" w:cs="Arial"/>
      <w:kern w:val="0"/>
      <w:sz w:val="20"/>
    </w:rPr>
  </w:style>
  <w:style w:type="paragraph" w:customStyle="1" w:styleId="BWBLevel9">
    <w:name w:val="BWBLevel9"/>
    <w:basedOn w:val="Normal"/>
    <w:link w:val="BWBLevel9Char"/>
    <w:rsid w:val="004A3FD5"/>
    <w:pPr>
      <w:numPr>
        <w:ilvl w:val="8"/>
        <w:numId w:val="5"/>
      </w:numPr>
      <w:spacing w:after="240" w:line="288" w:lineRule="auto"/>
      <w:jc w:val="both"/>
      <w:outlineLvl w:val="8"/>
    </w:pPr>
    <w:rPr>
      <w:rFonts w:ascii="Arial" w:hAnsi="Arial" w:eastAsiaTheme="minorHAnsi" w:cs="Arial"/>
      <w:sz w:val="20"/>
      <w:lang w:eastAsia="en-US"/>
    </w:rPr>
  </w:style>
  <w:style w:type="character" w:customStyle="1" w:styleId="BWBLevel9Char">
    <w:name w:val="BWBLevel9 Char"/>
    <w:basedOn w:val="DefaultParagraphFont"/>
    <w:link w:val="BWBLevel9"/>
    <w:rsid w:val="004A3FD5"/>
    <w:rPr>
      <w:rFonts w:ascii="Arial" w:hAnsi="Arial" w:cs="Arial"/>
      <w:kern w:val="0"/>
      <w:sz w:val="20"/>
    </w:rPr>
  </w:style>
  <w:style w:type="paragraph" w:customStyle="1" w:styleId="BWBBody">
    <w:name w:val="BWBBody"/>
    <w:basedOn w:val="Normal"/>
    <w:link w:val="BWBBodyChar"/>
    <w:qFormat/>
    <w:rsid w:val="00706579"/>
    <w:pPr>
      <w:spacing w:after="240" w:line="288" w:lineRule="auto"/>
      <w:jc w:val="both"/>
    </w:pPr>
    <w:rPr>
      <w:rFonts w:ascii="Arial" w:hAnsi="Arial" w:eastAsiaTheme="minorHAnsi" w:cs="Arial"/>
      <w:sz w:val="20"/>
      <w:lang w:eastAsia="en-US"/>
    </w:rPr>
  </w:style>
  <w:style w:type="character" w:customStyle="1" w:styleId="BWBBodyChar">
    <w:name w:val="BWBBody Char"/>
    <w:basedOn w:val="DefaultParagraphFont"/>
    <w:link w:val="BWBBody"/>
    <w:rsid w:val="00706579"/>
    <w:rPr>
      <w:rFonts w:ascii="Arial" w:hAnsi="Arial" w:cs="Arial"/>
      <w:kern w:val="0"/>
      <w:sz w:val="20"/>
    </w:rPr>
  </w:style>
  <w:style w:type="paragraph" w:customStyle="1" w:styleId="BWBBody1">
    <w:name w:val="BWBBody1"/>
    <w:basedOn w:val="Normal"/>
    <w:link w:val="BWBBody1Char"/>
    <w:rsid w:val="00706579"/>
    <w:pPr>
      <w:spacing w:after="240" w:line="288" w:lineRule="auto"/>
      <w:ind w:left="879"/>
      <w:jc w:val="both"/>
    </w:pPr>
    <w:rPr>
      <w:rFonts w:ascii="Arial" w:hAnsi="Arial" w:eastAsiaTheme="minorHAnsi" w:cs="Arial"/>
      <w:sz w:val="20"/>
      <w:lang w:eastAsia="en-US"/>
    </w:rPr>
  </w:style>
  <w:style w:type="character" w:customStyle="1" w:styleId="BWBBody1Char">
    <w:name w:val="BWBBody1 Char"/>
    <w:basedOn w:val="DefaultParagraphFont"/>
    <w:link w:val="BWBBody1"/>
    <w:rsid w:val="00706579"/>
    <w:rPr>
      <w:rFonts w:ascii="Arial" w:hAnsi="Arial" w:cs="Arial"/>
      <w:kern w:val="0"/>
      <w:sz w:val="20"/>
    </w:rPr>
  </w:style>
  <w:style w:type="paragraph" w:customStyle="1" w:styleId="BWBBody2">
    <w:name w:val="BWBBody2"/>
    <w:basedOn w:val="Normal"/>
    <w:link w:val="BWBBody2Char"/>
    <w:rsid w:val="00706579"/>
    <w:pPr>
      <w:spacing w:after="240" w:line="288" w:lineRule="auto"/>
      <w:ind w:left="879"/>
      <w:jc w:val="both"/>
    </w:pPr>
    <w:rPr>
      <w:rFonts w:ascii="Arial" w:hAnsi="Arial" w:eastAsiaTheme="minorHAnsi" w:cs="Arial"/>
      <w:sz w:val="20"/>
      <w:lang w:eastAsia="en-US"/>
    </w:rPr>
  </w:style>
  <w:style w:type="character" w:customStyle="1" w:styleId="BWBBody2Char">
    <w:name w:val="BWBBody2 Char"/>
    <w:basedOn w:val="DefaultParagraphFont"/>
    <w:link w:val="BWBBody2"/>
    <w:rsid w:val="00706579"/>
    <w:rPr>
      <w:rFonts w:ascii="Arial" w:hAnsi="Arial" w:cs="Arial"/>
      <w:kern w:val="0"/>
      <w:sz w:val="20"/>
    </w:rPr>
  </w:style>
  <w:style w:type="paragraph" w:customStyle="1" w:styleId="BWBBody3">
    <w:name w:val="BWBBody3"/>
    <w:basedOn w:val="Normal"/>
    <w:link w:val="BWBBody3Char"/>
    <w:rsid w:val="00706579"/>
    <w:pPr>
      <w:spacing w:after="240" w:line="288" w:lineRule="auto"/>
      <w:ind w:left="879"/>
      <w:jc w:val="both"/>
    </w:pPr>
    <w:rPr>
      <w:rFonts w:ascii="Arial" w:hAnsi="Arial" w:eastAsiaTheme="minorHAnsi" w:cs="Arial"/>
      <w:sz w:val="20"/>
      <w:lang w:eastAsia="en-US"/>
    </w:rPr>
  </w:style>
  <w:style w:type="character" w:customStyle="1" w:styleId="BWBBody3Char">
    <w:name w:val="BWBBody3 Char"/>
    <w:basedOn w:val="DefaultParagraphFont"/>
    <w:link w:val="BWBBody3"/>
    <w:rsid w:val="00706579"/>
    <w:rPr>
      <w:rFonts w:ascii="Arial" w:hAnsi="Arial" w:cs="Arial"/>
      <w:kern w:val="0"/>
      <w:sz w:val="20"/>
    </w:rPr>
  </w:style>
  <w:style w:type="paragraph" w:customStyle="1" w:styleId="BWBBody4">
    <w:name w:val="BWBBody4"/>
    <w:basedOn w:val="Normal"/>
    <w:link w:val="BWBBody4Char"/>
    <w:rsid w:val="00706579"/>
    <w:pPr>
      <w:spacing w:after="240" w:line="288" w:lineRule="auto"/>
      <w:ind w:left="1599"/>
      <w:jc w:val="both"/>
    </w:pPr>
    <w:rPr>
      <w:rFonts w:ascii="Arial" w:hAnsi="Arial" w:eastAsiaTheme="minorHAnsi" w:cs="Arial"/>
      <w:sz w:val="20"/>
      <w:lang w:eastAsia="en-US"/>
    </w:rPr>
  </w:style>
  <w:style w:type="character" w:customStyle="1" w:styleId="BWBBody4Char">
    <w:name w:val="BWBBody4 Char"/>
    <w:basedOn w:val="DefaultParagraphFont"/>
    <w:link w:val="BWBBody4"/>
    <w:rsid w:val="00706579"/>
    <w:rPr>
      <w:rFonts w:ascii="Arial" w:hAnsi="Arial" w:cs="Arial"/>
      <w:kern w:val="0"/>
      <w:sz w:val="20"/>
    </w:rPr>
  </w:style>
  <w:style w:type="paragraph" w:customStyle="1" w:styleId="BWBBody5">
    <w:name w:val="BWBBody5"/>
    <w:basedOn w:val="Normal"/>
    <w:link w:val="BWBBody5Char"/>
    <w:rsid w:val="00706579"/>
    <w:pPr>
      <w:spacing w:after="240" w:line="288" w:lineRule="auto"/>
      <w:ind w:left="2319"/>
      <w:jc w:val="both"/>
    </w:pPr>
    <w:rPr>
      <w:rFonts w:ascii="Arial" w:hAnsi="Arial" w:eastAsiaTheme="minorHAnsi" w:cs="Arial"/>
      <w:sz w:val="20"/>
      <w:lang w:eastAsia="en-US"/>
    </w:rPr>
  </w:style>
  <w:style w:type="character" w:customStyle="1" w:styleId="BWBBody5Char">
    <w:name w:val="BWBBody5 Char"/>
    <w:basedOn w:val="DefaultParagraphFont"/>
    <w:link w:val="BWBBody5"/>
    <w:rsid w:val="00706579"/>
    <w:rPr>
      <w:rFonts w:ascii="Arial" w:hAnsi="Arial" w:cs="Arial"/>
      <w:kern w:val="0"/>
      <w:sz w:val="20"/>
    </w:rPr>
  </w:style>
  <w:style w:type="paragraph" w:customStyle="1" w:styleId="BWBBody6">
    <w:name w:val="BWBBody6"/>
    <w:basedOn w:val="Normal"/>
    <w:link w:val="BWBBody6Char"/>
    <w:rsid w:val="00706579"/>
    <w:pPr>
      <w:spacing w:after="240" w:line="288" w:lineRule="auto"/>
      <w:ind w:left="3039"/>
      <w:jc w:val="both"/>
    </w:pPr>
    <w:rPr>
      <w:rFonts w:ascii="Arial" w:hAnsi="Arial" w:eastAsiaTheme="minorHAnsi" w:cs="Arial"/>
      <w:sz w:val="20"/>
      <w:lang w:eastAsia="en-US"/>
    </w:rPr>
  </w:style>
  <w:style w:type="character" w:customStyle="1" w:styleId="BWBBody6Char">
    <w:name w:val="BWBBody6 Char"/>
    <w:basedOn w:val="DefaultParagraphFont"/>
    <w:link w:val="BWBBody6"/>
    <w:rsid w:val="00706579"/>
    <w:rPr>
      <w:rFonts w:ascii="Arial" w:hAnsi="Arial" w:cs="Arial"/>
      <w:kern w:val="0"/>
      <w:sz w:val="20"/>
    </w:rPr>
  </w:style>
  <w:style w:type="paragraph" w:customStyle="1" w:styleId="BWBBody7">
    <w:name w:val="BWBBody7"/>
    <w:basedOn w:val="Normal"/>
    <w:link w:val="BWBBody7Char"/>
    <w:rsid w:val="00706579"/>
    <w:pPr>
      <w:spacing w:after="240" w:line="288" w:lineRule="auto"/>
      <w:ind w:left="3759"/>
      <w:jc w:val="both"/>
    </w:pPr>
    <w:rPr>
      <w:rFonts w:ascii="Arial" w:hAnsi="Arial" w:eastAsiaTheme="minorHAnsi" w:cs="Arial"/>
      <w:sz w:val="20"/>
      <w:lang w:eastAsia="en-US"/>
    </w:rPr>
  </w:style>
  <w:style w:type="character" w:customStyle="1" w:styleId="BWBBody7Char">
    <w:name w:val="BWBBody7 Char"/>
    <w:basedOn w:val="DefaultParagraphFont"/>
    <w:link w:val="BWBBody7"/>
    <w:rsid w:val="00706579"/>
    <w:rPr>
      <w:rFonts w:ascii="Arial" w:hAnsi="Arial" w:cs="Arial"/>
      <w:kern w:val="0"/>
      <w:sz w:val="20"/>
    </w:rPr>
  </w:style>
  <w:style w:type="character" w:customStyle="1" w:styleId="BWBBullet2Char">
    <w:name w:val="BWBBullet2 Char"/>
    <w:basedOn w:val="DefaultParagraphFont"/>
    <w:link w:val="BWBBullet2"/>
    <w:rsid w:val="004A3FD5"/>
    <w:rPr>
      <w:rFonts w:ascii="Arial" w:hAnsi="Arial" w:cs="Arial"/>
      <w:kern w:val="0"/>
      <w:sz w:val="20"/>
    </w:rPr>
  </w:style>
  <w:style w:type="character" w:customStyle="1" w:styleId="BWBBullet3Char">
    <w:name w:val="BWBBullet3 Char"/>
    <w:basedOn w:val="DefaultParagraphFont"/>
    <w:link w:val="BWBBullet3"/>
    <w:rsid w:val="004A3FD5"/>
    <w:rPr>
      <w:rFonts w:ascii="Arial" w:hAnsi="Arial" w:cs="Arial"/>
      <w:kern w:val="0"/>
      <w:sz w:val="20"/>
    </w:rPr>
  </w:style>
  <w:style w:type="character" w:customStyle="1" w:styleId="BWBBullet5Char">
    <w:name w:val="BWBBullet5 Char"/>
    <w:basedOn w:val="DefaultParagraphFont"/>
    <w:link w:val="BWBBullet5"/>
    <w:rsid w:val="004A3FD5"/>
    <w:rPr>
      <w:rFonts w:ascii="Arial" w:hAnsi="Arial" w:cs="Arial"/>
      <w:kern w:val="0"/>
      <w:sz w:val="20"/>
    </w:rPr>
  </w:style>
  <w:style w:type="character" w:customStyle="1" w:styleId="BWBBullet6Char">
    <w:name w:val="BWBBullet6 Char"/>
    <w:basedOn w:val="DefaultParagraphFont"/>
    <w:link w:val="BWBBullet6"/>
    <w:rsid w:val="004A3FD5"/>
    <w:rPr>
      <w:rFonts w:ascii="Arial" w:hAnsi="Arial" w:cs="Arial"/>
      <w:kern w:val="0"/>
      <w:sz w:val="20"/>
    </w:rPr>
  </w:style>
  <w:style w:type="character" w:customStyle="1" w:styleId="BWBBullet7Char">
    <w:name w:val="BWBBullet7 Char"/>
    <w:basedOn w:val="DefaultParagraphFont"/>
    <w:link w:val="BWBBullet7"/>
    <w:rsid w:val="004A3FD5"/>
    <w:rPr>
      <w:rFonts w:ascii="Arial" w:hAnsi="Arial" w:cs="Arial"/>
      <w:kern w:val="0"/>
      <w:sz w:val="20"/>
    </w:rPr>
  </w:style>
  <w:style w:type="character" w:customStyle="1" w:styleId="BWBBullet8Char">
    <w:name w:val="BWBBullet8 Char"/>
    <w:basedOn w:val="DefaultParagraphFont"/>
    <w:link w:val="BWBBullet8"/>
    <w:rsid w:val="004A3FD5"/>
    <w:rPr>
      <w:rFonts w:ascii="Arial" w:hAnsi="Arial" w:cs="Arial"/>
      <w:kern w:val="0"/>
      <w:sz w:val="20"/>
    </w:rPr>
  </w:style>
  <w:style w:type="character" w:customStyle="1" w:styleId="BWBBullet9Char">
    <w:name w:val="BWBBullet9 Char"/>
    <w:basedOn w:val="DefaultParagraphFont"/>
    <w:link w:val="BWBBullet9"/>
    <w:rsid w:val="004A3FD5"/>
    <w:rPr>
      <w:rFonts w:ascii="Arial" w:hAnsi="Arial" w:cs="Arial"/>
      <w:kern w:val="0"/>
      <w:sz w:val="20"/>
    </w:rPr>
  </w:style>
  <w:style w:type="paragraph" w:styleId="EndnoteText">
    <w:name w:val="endnote text"/>
    <w:basedOn w:val="Normal"/>
    <w:uiPriority w:val="99"/>
    <w:semiHidden/>
    <w:unhideWhenUsed/>
    <w:rsid w:val="3F3690A7"/>
    <w:pPr>
      <w:spacing w:after="0"/>
    </w:pPr>
    <w:rPr>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E43E7"/>
    <w:pPr>
      <w:spacing w:after="0" w:line="240" w:lineRule="auto"/>
    </w:pPr>
    <w:rPr>
      <w:rFonts w:eastAsiaTheme="minorEastAsia"/>
      <w:kern w:val="0"/>
      <w:lang w:eastAsia="zh-CN"/>
    </w:rPr>
  </w:style>
  <w:style w:type="paragraph" w:customStyle="1" w:styleId="xmsonormal">
    <w:name w:val="xmsonormal"/>
    <w:basedOn w:val="Normal"/>
    <w:rsid w:val="00C50912"/>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customStyle="1" w:styleId="BWBAppendix">
    <w:name w:val="BWBAppendix"/>
    <w:basedOn w:val="Normal"/>
    <w:next w:val="Normal"/>
    <w:link w:val="BWBAppendixChar"/>
    <w:rsid w:val="00706579"/>
    <w:pPr>
      <w:numPr>
        <w:numId w:val="7"/>
      </w:numPr>
      <w:spacing w:after="240" w:line="288" w:lineRule="auto"/>
    </w:pPr>
    <w:rPr>
      <w:rFonts w:ascii="Arial" w:hAnsi="Arial" w:eastAsiaTheme="minorHAnsi" w:cs="Arial"/>
      <w:b/>
      <w:sz w:val="20"/>
      <w:lang w:eastAsia="en-US"/>
    </w:rPr>
  </w:style>
  <w:style w:type="character" w:customStyle="1" w:styleId="BWBAppendixChar">
    <w:name w:val="BWBAppendix Char"/>
    <w:basedOn w:val="DefaultParagraphFont"/>
    <w:link w:val="BWBAppendix"/>
    <w:rsid w:val="00706579"/>
    <w:rPr>
      <w:rFonts w:ascii="Arial" w:hAnsi="Arial" w:cs="Arial"/>
      <w:b/>
      <w:kern w:val="0"/>
      <w:sz w:val="20"/>
    </w:rPr>
  </w:style>
  <w:style w:type="paragraph" w:customStyle="1" w:styleId="BWBAppHeading">
    <w:name w:val="BWBAppHeading"/>
    <w:basedOn w:val="Normal"/>
    <w:next w:val="Normal"/>
    <w:link w:val="BWBAppHeadingChar"/>
    <w:rsid w:val="00706579"/>
    <w:pPr>
      <w:numPr>
        <w:ilvl w:val="1"/>
        <w:numId w:val="7"/>
      </w:numPr>
      <w:spacing w:after="240" w:line="288" w:lineRule="auto"/>
    </w:pPr>
    <w:rPr>
      <w:rFonts w:ascii="Arial" w:hAnsi="Arial" w:eastAsiaTheme="minorHAnsi" w:cs="Arial"/>
      <w:b/>
      <w:sz w:val="20"/>
      <w:lang w:eastAsia="en-US"/>
    </w:rPr>
  </w:style>
  <w:style w:type="character" w:customStyle="1" w:styleId="BWBAppHeadingChar">
    <w:name w:val="BWBAppHeading Char"/>
    <w:basedOn w:val="DefaultParagraphFont"/>
    <w:link w:val="BWBAppHeading"/>
    <w:rsid w:val="00706579"/>
    <w:rPr>
      <w:rFonts w:ascii="Arial" w:hAnsi="Arial" w:cs="Arial"/>
      <w:b/>
      <w:kern w:val="0"/>
      <w:sz w:val="20"/>
    </w:rPr>
  </w:style>
  <w:style w:type="paragraph" w:customStyle="1" w:styleId="BWBAppPart">
    <w:name w:val="BWBAppPart"/>
    <w:basedOn w:val="Normal"/>
    <w:link w:val="BWBAppPartChar"/>
    <w:rsid w:val="00706579"/>
    <w:pPr>
      <w:numPr>
        <w:ilvl w:val="2"/>
        <w:numId w:val="7"/>
      </w:numPr>
      <w:spacing w:after="240" w:line="288" w:lineRule="auto"/>
    </w:pPr>
    <w:rPr>
      <w:rFonts w:ascii="Arial" w:hAnsi="Arial" w:eastAsiaTheme="minorHAnsi" w:cs="Arial"/>
      <w:b/>
      <w:sz w:val="20"/>
      <w:lang w:eastAsia="en-US"/>
    </w:rPr>
  </w:style>
  <w:style w:type="character" w:customStyle="1" w:styleId="BWBAppPartChar">
    <w:name w:val="BWBAppPart Char"/>
    <w:basedOn w:val="DefaultParagraphFont"/>
    <w:link w:val="BWBAppPart"/>
    <w:rsid w:val="00706579"/>
    <w:rPr>
      <w:rFonts w:ascii="Arial" w:hAnsi="Arial" w:cs="Arial"/>
      <w:b/>
      <w:kern w:val="0"/>
      <w:sz w:val="20"/>
    </w:rPr>
  </w:style>
  <w:style w:type="paragraph" w:customStyle="1" w:styleId="BWBAppendix1">
    <w:name w:val="BWBAppendix1"/>
    <w:basedOn w:val="Normal"/>
    <w:link w:val="BWBAppendix1Char"/>
    <w:rsid w:val="00706579"/>
    <w:pPr>
      <w:numPr>
        <w:numId w:val="8"/>
      </w:numPr>
      <w:spacing w:after="240" w:line="288" w:lineRule="auto"/>
      <w:jc w:val="both"/>
      <w:outlineLvl w:val="0"/>
    </w:pPr>
    <w:rPr>
      <w:rFonts w:ascii="Arial" w:hAnsi="Arial" w:eastAsiaTheme="minorHAnsi" w:cs="Arial"/>
      <w:sz w:val="20"/>
      <w:lang w:eastAsia="en-US"/>
    </w:rPr>
  </w:style>
  <w:style w:type="character" w:customStyle="1" w:styleId="BWBAppendix1Char">
    <w:name w:val="BWBAppendix1 Char"/>
    <w:basedOn w:val="DefaultParagraphFont"/>
    <w:link w:val="BWBAppendix1"/>
    <w:rsid w:val="00706579"/>
    <w:rPr>
      <w:rFonts w:ascii="Arial" w:hAnsi="Arial" w:cs="Arial"/>
      <w:kern w:val="0"/>
      <w:sz w:val="20"/>
    </w:rPr>
  </w:style>
  <w:style w:type="paragraph" w:customStyle="1" w:styleId="BWBAppendix2">
    <w:name w:val="BWBAppendix2"/>
    <w:basedOn w:val="Normal"/>
    <w:link w:val="BWBAppendix2Char"/>
    <w:rsid w:val="00706579"/>
    <w:pPr>
      <w:numPr>
        <w:ilvl w:val="1"/>
        <w:numId w:val="8"/>
      </w:numPr>
      <w:spacing w:after="240" w:line="288" w:lineRule="auto"/>
      <w:jc w:val="both"/>
      <w:outlineLvl w:val="1"/>
    </w:pPr>
    <w:rPr>
      <w:rFonts w:ascii="Arial" w:hAnsi="Arial" w:eastAsiaTheme="minorHAnsi" w:cs="Arial"/>
      <w:sz w:val="20"/>
      <w:lang w:eastAsia="en-US"/>
    </w:rPr>
  </w:style>
  <w:style w:type="character" w:customStyle="1" w:styleId="BWBAppendix2Char">
    <w:name w:val="BWBAppendix2 Char"/>
    <w:basedOn w:val="DefaultParagraphFont"/>
    <w:link w:val="BWBAppendix2"/>
    <w:rsid w:val="00706579"/>
    <w:rPr>
      <w:rFonts w:ascii="Arial" w:hAnsi="Arial" w:cs="Arial"/>
      <w:kern w:val="0"/>
      <w:sz w:val="20"/>
    </w:rPr>
  </w:style>
  <w:style w:type="paragraph" w:customStyle="1" w:styleId="BWBAppendix3">
    <w:name w:val="BWBAppendix3"/>
    <w:basedOn w:val="Normal"/>
    <w:link w:val="BWBAppendix3Char"/>
    <w:rsid w:val="00706579"/>
    <w:pPr>
      <w:numPr>
        <w:ilvl w:val="2"/>
        <w:numId w:val="8"/>
      </w:numPr>
      <w:spacing w:after="240" w:line="288" w:lineRule="auto"/>
      <w:jc w:val="both"/>
      <w:outlineLvl w:val="2"/>
    </w:pPr>
    <w:rPr>
      <w:rFonts w:ascii="Arial" w:hAnsi="Arial" w:eastAsiaTheme="minorHAnsi" w:cs="Arial"/>
      <w:sz w:val="20"/>
      <w:lang w:eastAsia="en-US"/>
    </w:rPr>
  </w:style>
  <w:style w:type="character" w:customStyle="1" w:styleId="BWBAppendix3Char">
    <w:name w:val="BWBAppendix3 Char"/>
    <w:basedOn w:val="DefaultParagraphFont"/>
    <w:link w:val="BWBAppendix3"/>
    <w:rsid w:val="00706579"/>
    <w:rPr>
      <w:rFonts w:ascii="Arial" w:hAnsi="Arial" w:cs="Arial"/>
      <w:kern w:val="0"/>
      <w:sz w:val="20"/>
    </w:rPr>
  </w:style>
  <w:style w:type="paragraph" w:customStyle="1" w:styleId="BWBAppendix4">
    <w:name w:val="BWBAppendix4"/>
    <w:basedOn w:val="Normal"/>
    <w:link w:val="BWBAppendix4Char"/>
    <w:rsid w:val="00706579"/>
    <w:pPr>
      <w:numPr>
        <w:ilvl w:val="3"/>
        <w:numId w:val="8"/>
      </w:numPr>
      <w:spacing w:after="240" w:line="288" w:lineRule="auto"/>
      <w:jc w:val="both"/>
      <w:outlineLvl w:val="3"/>
    </w:pPr>
    <w:rPr>
      <w:rFonts w:ascii="Arial" w:hAnsi="Arial" w:eastAsiaTheme="minorHAnsi" w:cs="Arial"/>
      <w:sz w:val="20"/>
      <w:lang w:eastAsia="en-US"/>
    </w:rPr>
  </w:style>
  <w:style w:type="character" w:customStyle="1" w:styleId="BWBAppendix4Char">
    <w:name w:val="BWBAppendix4 Char"/>
    <w:basedOn w:val="DefaultParagraphFont"/>
    <w:link w:val="BWBAppendix4"/>
    <w:rsid w:val="00706579"/>
    <w:rPr>
      <w:rFonts w:ascii="Arial" w:hAnsi="Arial" w:cs="Arial"/>
      <w:kern w:val="0"/>
      <w:sz w:val="20"/>
    </w:rPr>
  </w:style>
  <w:style w:type="paragraph" w:customStyle="1" w:styleId="BWBAppendix5">
    <w:name w:val="BWBAppendix5"/>
    <w:basedOn w:val="Normal"/>
    <w:link w:val="BWBAppendix5Char"/>
    <w:rsid w:val="00706579"/>
    <w:pPr>
      <w:numPr>
        <w:ilvl w:val="4"/>
        <w:numId w:val="8"/>
      </w:numPr>
      <w:spacing w:after="240" w:line="288" w:lineRule="auto"/>
      <w:jc w:val="both"/>
      <w:outlineLvl w:val="4"/>
    </w:pPr>
    <w:rPr>
      <w:rFonts w:ascii="Arial" w:hAnsi="Arial" w:eastAsiaTheme="minorHAnsi" w:cs="Arial"/>
      <w:sz w:val="20"/>
      <w:lang w:eastAsia="en-US"/>
    </w:rPr>
  </w:style>
  <w:style w:type="character" w:customStyle="1" w:styleId="BWBAppendix5Char">
    <w:name w:val="BWBAppendix5 Char"/>
    <w:basedOn w:val="DefaultParagraphFont"/>
    <w:link w:val="BWBAppendix5"/>
    <w:rsid w:val="00706579"/>
    <w:rPr>
      <w:rFonts w:ascii="Arial" w:hAnsi="Arial" w:cs="Arial"/>
      <w:kern w:val="0"/>
      <w:sz w:val="20"/>
    </w:rPr>
  </w:style>
  <w:style w:type="paragraph" w:customStyle="1" w:styleId="BWBAppendix6">
    <w:name w:val="BWBAppendix6"/>
    <w:basedOn w:val="Normal"/>
    <w:link w:val="BWBAppendix6Char"/>
    <w:rsid w:val="00706579"/>
    <w:pPr>
      <w:numPr>
        <w:ilvl w:val="5"/>
        <w:numId w:val="8"/>
      </w:numPr>
      <w:spacing w:after="240" w:line="288" w:lineRule="auto"/>
      <w:jc w:val="both"/>
      <w:outlineLvl w:val="5"/>
    </w:pPr>
    <w:rPr>
      <w:rFonts w:ascii="Arial" w:hAnsi="Arial" w:eastAsiaTheme="minorHAnsi" w:cs="Arial"/>
      <w:sz w:val="20"/>
      <w:lang w:eastAsia="en-US"/>
    </w:rPr>
  </w:style>
  <w:style w:type="character" w:customStyle="1" w:styleId="BWBAppendix6Char">
    <w:name w:val="BWBAppendix6 Char"/>
    <w:basedOn w:val="DefaultParagraphFont"/>
    <w:link w:val="BWBAppendix6"/>
    <w:rsid w:val="00706579"/>
    <w:rPr>
      <w:rFonts w:ascii="Arial" w:hAnsi="Arial" w:cs="Arial"/>
      <w:kern w:val="0"/>
      <w:sz w:val="20"/>
    </w:rPr>
  </w:style>
  <w:style w:type="paragraph" w:customStyle="1" w:styleId="BWBAppendix7">
    <w:name w:val="BWBAppendix7"/>
    <w:basedOn w:val="Normal"/>
    <w:link w:val="BWBAppendix7Char"/>
    <w:rsid w:val="00706579"/>
    <w:pPr>
      <w:numPr>
        <w:ilvl w:val="6"/>
        <w:numId w:val="8"/>
      </w:numPr>
      <w:spacing w:after="240" w:line="288" w:lineRule="auto"/>
      <w:jc w:val="both"/>
      <w:outlineLvl w:val="6"/>
    </w:pPr>
    <w:rPr>
      <w:rFonts w:ascii="Arial" w:hAnsi="Arial" w:eastAsiaTheme="minorHAnsi" w:cs="Arial"/>
      <w:sz w:val="20"/>
      <w:lang w:eastAsia="en-US"/>
    </w:rPr>
  </w:style>
  <w:style w:type="character" w:customStyle="1" w:styleId="BWBAppendix7Char">
    <w:name w:val="BWBAppendix7 Char"/>
    <w:basedOn w:val="DefaultParagraphFont"/>
    <w:link w:val="BWBAppendix7"/>
    <w:rsid w:val="00706579"/>
    <w:rPr>
      <w:rFonts w:ascii="Arial" w:hAnsi="Arial" w:cs="Arial"/>
      <w:kern w:val="0"/>
      <w:sz w:val="20"/>
    </w:rPr>
  </w:style>
  <w:style w:type="paragraph" w:customStyle="1" w:styleId="BWBAppendix8">
    <w:name w:val="BWBAppendix8"/>
    <w:basedOn w:val="Normal"/>
    <w:link w:val="BWBAppendix8Char"/>
    <w:rsid w:val="00706579"/>
    <w:pPr>
      <w:numPr>
        <w:ilvl w:val="7"/>
        <w:numId w:val="8"/>
      </w:numPr>
      <w:spacing w:after="240" w:line="288" w:lineRule="auto"/>
      <w:jc w:val="both"/>
      <w:outlineLvl w:val="7"/>
    </w:pPr>
    <w:rPr>
      <w:rFonts w:ascii="Arial" w:hAnsi="Arial" w:eastAsiaTheme="minorHAnsi" w:cs="Arial"/>
      <w:sz w:val="20"/>
      <w:lang w:eastAsia="en-US"/>
    </w:rPr>
  </w:style>
  <w:style w:type="character" w:customStyle="1" w:styleId="BWBAppendix8Char">
    <w:name w:val="BWBAppendix8 Char"/>
    <w:basedOn w:val="DefaultParagraphFont"/>
    <w:link w:val="BWBAppendix8"/>
    <w:rsid w:val="00706579"/>
    <w:rPr>
      <w:rFonts w:ascii="Arial" w:hAnsi="Arial" w:cs="Arial"/>
      <w:kern w:val="0"/>
      <w:sz w:val="20"/>
    </w:rPr>
  </w:style>
  <w:style w:type="paragraph" w:customStyle="1" w:styleId="BWBAppendix9">
    <w:name w:val="BWBAppendix9"/>
    <w:basedOn w:val="Normal"/>
    <w:link w:val="BWBAppendix9Char"/>
    <w:rsid w:val="00706579"/>
    <w:pPr>
      <w:numPr>
        <w:ilvl w:val="8"/>
        <w:numId w:val="8"/>
      </w:numPr>
      <w:tabs>
        <w:tab w:val="clear" w:pos="720"/>
      </w:tabs>
      <w:spacing w:after="240" w:line="288" w:lineRule="auto"/>
      <w:jc w:val="both"/>
      <w:outlineLvl w:val="8"/>
    </w:pPr>
    <w:rPr>
      <w:rFonts w:ascii="Arial" w:hAnsi="Arial" w:eastAsiaTheme="minorHAnsi" w:cs="Arial"/>
      <w:sz w:val="20"/>
      <w:lang w:eastAsia="en-US"/>
    </w:rPr>
  </w:style>
  <w:style w:type="character" w:customStyle="1" w:styleId="BWBAppendix9Char">
    <w:name w:val="BWBAppendix9 Char"/>
    <w:basedOn w:val="DefaultParagraphFont"/>
    <w:link w:val="BWBAppendix9"/>
    <w:rsid w:val="00706579"/>
    <w:rPr>
      <w:rFonts w:ascii="Arial" w:hAnsi="Arial" w:cs="Arial"/>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properties xmlns="http://www.imanage.com/work/xmlschema">
  <documentid>WSTA_Live!15569265.1</documentid>
  <senderid>DUHSE</senderid>
  <senderemail>E.DUHS@BATESWELLS.CO.UK</senderemail>
  <lastmodified>2025-09-01T09:51:00.0000000+01:00</lastmodified>
  <database>WSTA_Live</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950D-5F82-44B0-B828-FB47808093B3}">
  <ds:schemaRefs>
    <ds:schemaRef ds:uri="http://www.imanage.com/work/xmlschema"/>
  </ds:schemaRefs>
</ds:datastoreItem>
</file>

<file path=customXml/itemProps2.xml><?xml version="1.0" encoding="utf-8"?>
<ds:datastoreItem xmlns:ds="http://schemas.openxmlformats.org/officeDocument/2006/customXml" ds:itemID="{5343F213-E375-43AE-94B1-83592101DCE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RAI0035</dc:title>
  <cp:revision>0</cp:revision>
</cp:coreProperties>
</file>