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111FC9" w:rsidRPr="00A97A64" w:rsidP="00A97A64">
      <w:pPr>
        <w:ind w:firstLine="0"/>
        <w:jc w:val="center"/>
        <w:rPr>
          <w:rFonts w:ascii="Calibri" w:hAnsi="Calibri" w:cs="Calibri"/>
          <w:b/>
          <w:bCs/>
          <w:color w:val="1C1C1C"/>
          <w:shd w:val="clear" w:color="auto" w:fill="FFFFFF"/>
        </w:rPr>
      </w:pPr>
      <w:r w:rsidRPr="00A97A64">
        <w:rPr>
          <w:rFonts w:ascii="Calibri" w:hAnsi="Calibri" w:cs="Calibri"/>
          <w:b/>
          <w:bCs/>
          <w:color w:val="1C1C1C"/>
          <w:shd w:val="clear" w:color="auto" w:fill="FFFFFF"/>
        </w:rPr>
        <w:t>WRITTEN EVIDENCE SUBMITTED BY ABDULLAH DASHTI</w:t>
      </w:r>
    </w:p>
    <w:p w:rsidR="00111FC9" w:rsidRPr="00A97A64" w:rsidP="00A97A64">
      <w:pPr>
        <w:ind w:firstLine="0"/>
        <w:jc w:val="center"/>
        <w:rPr>
          <w:rFonts w:ascii="Calibri" w:hAnsi="Calibri" w:cs="Calibri"/>
          <w:b/>
          <w:bCs/>
          <w:color w:val="1C1C1C"/>
          <w:shd w:val="clear" w:color="auto" w:fill="FFFFFF"/>
        </w:rPr>
      </w:pPr>
      <w:r w:rsidRPr="00A97A64">
        <w:rPr>
          <w:rFonts w:ascii="Calibri" w:hAnsi="Calibri" w:cs="Calibri"/>
          <w:b/>
          <w:bCs/>
          <w:color w:val="1C1C1C"/>
          <w:shd w:val="clear" w:color="auto" w:fill="FFFFFF"/>
        </w:rPr>
        <w:t>(RAI0025)</w:t>
      </w:r>
    </w:p>
    <w:p w:rsidR="00111FC9">
      <w:pPr>
        <w:ind w:firstLine="0"/>
        <w:rPr>
          <w:rFonts w:ascii="Arial" w:hAnsi="Arial" w:cs="Arial"/>
          <w:color w:val="1C1C1C"/>
          <w:shd w:val="clear" w:color="auto" w:fill="FFFFFF"/>
        </w:rPr>
      </w:pPr>
    </w:p>
    <w:p w:rsidR="00111FC9">
      <w:pPr>
        <w:ind w:firstLine="0"/>
        <w:rPr>
          <w:rFonts w:ascii="Arial" w:hAnsi="Arial" w:cs="Arial"/>
          <w:color w:val="1C1C1C"/>
          <w:shd w:val="clear" w:color="auto" w:fill="FFFFFF"/>
        </w:rPr>
      </w:pPr>
      <w:r w:rsidRPr="00D37FA1">
        <w:rPr>
          <w:rFonts w:ascii="Arial" w:hAnsi="Arial" w:cs="Arial"/>
          <w:color w:val="1C1C1C"/>
          <w:shd w:val="clear" w:color="auto" w:fill="FFFFFF"/>
        </w:rPr>
        <w:t>My name is Abdullah Dashti,</w:t>
      </w:r>
      <w:r>
        <w:rPr>
          <w:rFonts w:ascii="Arial" w:hAnsi="Arial" w:cs="Arial"/>
          <w:color w:val="1C1C1C"/>
          <w:shd w:val="clear" w:color="auto" w:fill="FFFFFF"/>
        </w:rPr>
        <w:t xml:space="preserve"> and </w:t>
      </w:r>
      <w:r w:rsidRPr="00D37FA1">
        <w:rPr>
          <w:rFonts w:ascii="Arial" w:hAnsi="Arial" w:cs="Arial"/>
          <w:color w:val="1C1C1C"/>
          <w:shd w:val="clear" w:color="auto" w:fill="FFFFFF"/>
        </w:rPr>
        <w:t xml:space="preserve">I </w:t>
      </w:r>
      <w:r>
        <w:rPr>
          <w:rFonts w:ascii="Arial" w:hAnsi="Arial" w:cs="Arial"/>
          <w:color w:val="1C1C1C"/>
          <w:shd w:val="clear" w:color="auto" w:fill="FFFFFF"/>
        </w:rPr>
        <w:t>studied</w:t>
      </w:r>
      <w:r w:rsidRPr="00D37FA1">
        <w:rPr>
          <w:rFonts w:ascii="Arial" w:hAnsi="Arial" w:cs="Arial"/>
          <w:color w:val="1C1C1C"/>
          <w:shd w:val="clear" w:color="auto" w:fill="FFFFFF"/>
        </w:rPr>
        <w:t xml:space="preserve"> Technology, Media, and Telecommunications Law</w:t>
      </w:r>
      <w:r>
        <w:rPr>
          <w:rFonts w:ascii="Arial" w:hAnsi="Arial" w:cs="Arial"/>
          <w:color w:val="1C1C1C"/>
          <w:shd w:val="clear" w:color="auto" w:fill="FFFFFF"/>
        </w:rPr>
        <w:t xml:space="preserve"> Master</w:t>
      </w:r>
      <w:r w:rsidRPr="00D37FA1">
        <w:rPr>
          <w:rFonts w:ascii="Arial" w:hAnsi="Arial" w:cs="Arial"/>
          <w:color w:val="1C1C1C"/>
          <w:shd w:val="clear" w:color="auto" w:fill="FFFFFF"/>
        </w:rPr>
        <w:t xml:space="preserve"> from Queen Mary University. I am writing this to enhance my CV and, more broadly, to serve the public interest.</w:t>
      </w:r>
      <w:r>
        <w:rPr>
          <w:rFonts w:ascii="Arial" w:hAnsi="Arial" w:cs="Arial"/>
          <w:color w:val="1C1C1C"/>
          <w:shd w:val="clear" w:color="auto" w:fill="FFFFFF"/>
        </w:rPr>
        <w:br w:type="page"/>
      </w:r>
    </w:p>
    <w:p w:rsidR="00111FC9" w:rsidP="00705477">
      <w:pPr>
        <w:rPr>
          <w:rFonts w:ascii="Arial" w:hAnsi="Arial" w:cs="Arial"/>
          <w:color w:val="1C1C1C"/>
          <w:shd w:val="clear" w:color="auto" w:fill="FFFFFF"/>
        </w:rPr>
      </w:pPr>
      <w:r w:rsidRPr="00281BCE">
        <w:rPr>
          <w:rFonts w:ascii="Arial" w:hAnsi="Arial" w:cs="Arial"/>
          <w:color w:val="1C1C1C"/>
          <w:shd w:val="clear" w:color="auto" w:fill="FFFFFF"/>
        </w:rPr>
        <w:t>The rapid development and deployment of AI necessitate a thorough examination and the establishment of new regulations to manage and mitigate its associated risks. The significant influence of AI on human rights underscores the need for updated regulations to address current legal gaps. This paper will explore the necessity for new AI regulations aimed at mitigating risks related to data usage, privacy, discrimination, and bias. While the UK government’s AI white paper promotes the advancement and implement</w:t>
      </w:r>
      <w:r w:rsidRPr="00281BCE">
        <w:rPr>
          <w:rFonts w:ascii="Arial" w:hAnsi="Arial" w:cs="Arial"/>
          <w:color w:val="1C1C1C"/>
          <w:shd w:val="clear" w:color="auto" w:fill="FFFFFF"/>
        </w:rPr>
        <w:t>ation of AI, it should also consider the approach of the EU AI Act in order to effectively govern AI and safeguard human rights.</w:t>
      </w:r>
    </w:p>
    <w:p w:rsidR="00111FC9" w:rsidP="00705477">
      <w:pPr>
        <w:rPr>
          <w:rFonts w:ascii="Arial" w:hAnsi="Arial" w:cs="Arial"/>
          <w:color w:val="1C1C1C"/>
          <w:highlight w:val="yellow"/>
          <w:shd w:val="clear" w:color="auto" w:fill="FFFFFF"/>
        </w:rPr>
      </w:pPr>
    </w:p>
    <w:p w:rsidR="00111FC9" w:rsidRPr="00281BCE" w:rsidP="00705477">
      <w:r w:rsidRPr="00281BCE">
        <w:rPr>
          <w:rFonts w:ascii="Arial" w:hAnsi="Arial" w:cs="Arial"/>
          <w:color w:val="1C1C1C"/>
          <w:shd w:val="clear" w:color="auto" w:fill="FFFFFF"/>
        </w:rPr>
        <w:t xml:space="preserve">AI clearly impacts on individuals’ human rights negatively in terms of data usage because it often process personal data without data subjects’ consent. </w:t>
      </w:r>
      <w:r w:rsidRPr="00281BCE">
        <w:t xml:space="preserve">To demonstrate, users can ask LLMs any personal question about any individual, for example, a question can be about the profession of an X who is not a public figure. The AI will search </w:t>
      </w:r>
      <w:r w:rsidRPr="00281BCE">
        <w:rPr>
          <w:kern w:val="0"/>
        </w:rPr>
        <w:t>the internet for all content published on websites mentioning X, including those to which X has granted exclusive permission to</w:t>
      </w:r>
      <w:r w:rsidRPr="00281BCE">
        <w:t xml:space="preserve"> process his/her personal data, and will answer the question as a human. For instance, ChatGPT, DeepSeek and Gemini answered this question by searching through the internet. These AI models did not o</w:t>
      </w:r>
      <w:r w:rsidRPr="00281BCE">
        <w:t>btain X’s consent to process his information for the user’s question. The UK General Data Protection Regulation (UK GDPR) requires obtaining data subjects’ consent for processing their personal data to consider the processing lawful,</w:t>
      </w:r>
      <w:r>
        <w:rPr>
          <w:rStyle w:val="FootnoteReference"/>
        </w:rPr>
        <w:footnoteReference w:id="2"/>
      </w:r>
      <w:r w:rsidRPr="00281BCE">
        <w:t xml:space="preserve"> and the processing must be processed for a determined, unambiguous and </w:t>
      </w:r>
      <w:r w:rsidRPr="00281BCE">
        <w:t>legal purpose.</w:t>
      </w:r>
      <w:r>
        <w:rPr>
          <w:rStyle w:val="FootnoteReference"/>
        </w:rPr>
        <w:footnoteReference w:id="3"/>
      </w:r>
      <w:r w:rsidRPr="00281BCE">
        <w:t xml:space="preserve"> Hence, the LLMs’ answer violates the personal data right of X because AI collected and processed X’s personal data without his/her consent. </w:t>
      </w:r>
    </w:p>
    <w:p w:rsidR="00111FC9" w:rsidRPr="00281BCE" w:rsidP="00440486">
      <w:pPr>
        <w:rPr>
          <w:rFonts w:ascii="Arial" w:hAnsi="Arial" w:cs="Arial"/>
          <w:color w:val="1C1C1C"/>
          <w:shd w:val="clear" w:color="auto" w:fill="FFFFFF"/>
        </w:rPr>
      </w:pPr>
    </w:p>
    <w:p w:rsidR="00111FC9" w:rsidRPr="00281BCE" w:rsidP="00347399">
      <w:r w:rsidRPr="00281BCE">
        <w:t xml:space="preserve">Furthermore, </w:t>
      </w:r>
      <w:r w:rsidRPr="00281BCE">
        <w:t>LLMs may infringe on privacy rights through profiling, which is prohibited under the UK GDPR.</w:t>
      </w:r>
      <w:r w:rsidRPr="00281BCE">
        <w:rPr>
          <w:color w:val="1C1C1C"/>
          <w:shd w:val="clear" w:color="auto" w:fill="FFFFFF"/>
        </w:rPr>
        <w:t xml:space="preserve"> Profiling involves automated processing of personal data to predict behaviour, location, or health and is banned if it significantly impacts individuals or serves third-party interests. It is banned if it significantly impacts individuals or serves third-party interests.</w:t>
      </w:r>
      <w:r>
        <w:rPr>
          <w:rStyle w:val="FootnoteReference"/>
        </w:rPr>
        <w:footnoteReference w:id="4"/>
      </w:r>
      <w:r w:rsidRPr="00281BCE">
        <w:t xml:space="preserve"> AI can affect individual privacy by analysing data subjects’ information. For instance, DeepSeek acknowledged using public information patterns in its responses, while ChatGPT noted that its answers might fall under profiling and could impact privacy if misused.</w:t>
      </w:r>
      <w:r>
        <w:rPr>
          <w:rStyle w:val="FootnoteReference"/>
        </w:rPr>
        <w:footnoteReference w:id="5"/>
      </w:r>
      <w:r w:rsidRPr="00281BCE">
        <w:t xml:space="preserve"> Controllers must inform data subjects about data usage.</w:t>
      </w:r>
      <w:r>
        <w:rPr>
          <w:rStyle w:val="FootnoteReference"/>
        </w:rPr>
        <w:footnoteReference w:id="6"/>
      </w:r>
      <w:r w:rsidRPr="00281BCE">
        <w:t xml:space="preserve"> Unfortunately, LLM providers often fail to meet these obligations, lacking transparency on data acquisition while mentioning the right to complain or request data removal.</w:t>
      </w:r>
      <w:bookmarkStart w:id="0" w:name="_Ref206838141"/>
      <w:r>
        <w:rPr>
          <w:rStyle w:val="FootnoteReference"/>
        </w:rPr>
        <w:footnoteReference w:id="7"/>
      </w:r>
      <w:bookmarkEnd w:id="0"/>
      <w:r w:rsidRPr="00281BCE">
        <w:t xml:space="preserve"> </w:t>
      </w:r>
    </w:p>
    <w:p w:rsidR="00111FC9" w:rsidRPr="00281BCE" w:rsidP="00440486">
      <w:pPr>
        <w:rPr>
          <w:rFonts w:ascii="Arial" w:hAnsi="Arial" w:cs="Arial"/>
          <w:color w:val="1C1C1C"/>
          <w:shd w:val="clear" w:color="auto" w:fill="FFFFFF"/>
        </w:rPr>
      </w:pPr>
    </w:p>
    <w:p w:rsidR="00111FC9" w:rsidRPr="00281BCE" w:rsidP="00FF2AF5">
      <w:r w:rsidRPr="00281BCE">
        <w:t xml:space="preserve">An additional violation of data subjects’ privacy rights is the use of personal data for training AI. LLMs collect personal data from users’ chats to train the AI. For example, ChatGPT, Gemini, and DeepSeek collect personal data included in chats to provide and improve their services. Moreover, while ChatGPT and Gemini provide </w:t>
      </w:r>
      <w:r w:rsidRPr="00281BCE">
        <w:t xml:space="preserve">users with the option to opt out of having their conversations used for AI training, these platforms still </w:t>
      </w:r>
      <w:r w:rsidRPr="00281BCE">
        <w:rPr>
          <w:rFonts w:ascii="Arial" w:hAnsi="Arial" w:cs="Arial"/>
          <w:color w:val="1C1C1C"/>
          <w:shd w:val="clear" w:color="auto" w:fill="FFFFFF"/>
        </w:rPr>
        <w:t>incorporate user feedback from these interactions for training purposes</w:t>
      </w:r>
      <w:r w:rsidRPr="00281BCE">
        <w:t>.</w:t>
      </w:r>
      <w:r>
        <w:rPr>
          <w:rStyle w:val="FootnoteReference"/>
        </w:rPr>
        <w:footnoteReference w:id="8"/>
      </w:r>
      <w:r w:rsidRPr="00281BCE">
        <w:t xml:space="preserve"> Regrettably, </w:t>
      </w:r>
      <w:r w:rsidRPr="00281BCE">
        <w:rPr>
          <w:rFonts w:ascii="Arial" w:hAnsi="Arial" w:cs="Arial"/>
          <w:color w:val="1C1C1C"/>
          <w:shd w:val="clear" w:color="auto" w:fill="FFFFFF"/>
        </w:rPr>
        <w:t>there is no specific legislation that directly addresses the use of training data for AI</w:t>
      </w:r>
      <w:r w:rsidRPr="00281BCE">
        <w:t>. Therefore, EU and UK laws refer to the GDPR, which is the cornerstone of data regulation. Under the UK GDPR, using AI training data could be considered a breach of individuals' data rights, which include the right to be informed, the right to access their data, the right to restrict processing, the right not to be subjected to profiling, and the right to privacy. The GDPR mandates performing a Data Protec</w:t>
      </w:r>
      <w:r w:rsidRPr="00281BCE">
        <w:t>tion Impact Assessment (DIPA) for processing operations of personal data that present high risks to data subjects’ freedoms and rights.</w:t>
      </w:r>
      <w:r>
        <w:rPr>
          <w:rStyle w:val="FootnoteReference"/>
        </w:rPr>
        <w:footnoteReference w:id="9"/>
      </w:r>
      <w:r w:rsidRPr="00281BCE">
        <w:t xml:space="preserve"> One of these risks is data subjects’ loss of control over personal data.</w:t>
      </w:r>
      <w:r>
        <w:rPr>
          <w:rStyle w:val="FootnoteReference"/>
        </w:rPr>
        <w:footnoteReference w:id="10"/>
      </w:r>
      <w:r w:rsidRPr="00281BCE">
        <w:t xml:space="preserve"> Consequently, if LLM providers answer the questions of DPIA templates of the ICO, their responses may be significantly detrimental to individuals' freedoms and data rights.</w:t>
      </w:r>
    </w:p>
    <w:p w:rsidR="00111FC9" w:rsidRPr="00281BCE" w:rsidP="00FF2AF5"/>
    <w:p w:rsidR="00111FC9" w:rsidRPr="00281BCE" w:rsidP="00FF2AF5">
      <w:pPr>
        <w:rPr>
          <w:rFonts w:ascii="Arial" w:hAnsi="Arial" w:cs="Arial"/>
          <w:color w:val="1C1C1C"/>
          <w:shd w:val="clear" w:color="auto" w:fill="FFFFFF"/>
        </w:rPr>
      </w:pPr>
      <w:r w:rsidRPr="00281BCE">
        <w:rPr>
          <w:rFonts w:ascii="Arial" w:hAnsi="Arial" w:cs="Arial"/>
          <w:color w:val="1C1C1C"/>
          <w:shd w:val="clear" w:color="auto" w:fill="FFFFFF"/>
        </w:rPr>
        <w:t>To illustrate, the ICO’s DPIA model inquiries about the volume of personal data collected and the frequency of its processing, aspects that LLMs are unable to disclose. It also considers the number of affected data subjects and the geographical scope of the processed data, which can often be extensive.</w:t>
      </w:r>
      <w:r w:rsidRPr="00281BCE">
        <w:t xml:space="preserve"> Furthermore, </w:t>
      </w:r>
      <w:r w:rsidRPr="00281BCE">
        <w:rPr>
          <w:rFonts w:ascii="Arial" w:hAnsi="Arial" w:cs="Arial"/>
          <w:color w:val="1C1C1C"/>
          <w:shd w:val="clear" w:color="auto" w:fill="FFFFFF"/>
        </w:rPr>
        <w:t>LLM providers cannot ascertain the level of control that data subjects have over their personal data, as this data is processed without their consent. It is highly unlikely that data subjects are aware that their personal data is being processed</w:t>
      </w:r>
      <w:r w:rsidRPr="00281BCE">
        <w:t xml:space="preserve">. </w:t>
      </w:r>
      <w:r w:rsidRPr="00281BCE">
        <w:rPr>
          <w:rFonts w:ascii="Arial" w:hAnsi="Arial" w:cs="Arial"/>
          <w:color w:val="1C1C1C"/>
          <w:shd w:val="clear" w:color="auto" w:fill="FFFFFF"/>
        </w:rPr>
        <w:t>There are significant concerns regarding individuals' awareness prior to the processing of their personal data, alongside public apprehensions about AI processing.</w:t>
      </w:r>
      <w:r w:rsidRPr="00281BCE">
        <w:t xml:space="preserve"> </w:t>
      </w:r>
      <w:r w:rsidRPr="00281BCE">
        <w:rPr>
          <w:rFonts w:ascii="Arial" w:hAnsi="Arial" w:cs="Arial"/>
          <w:color w:val="1C1C1C"/>
          <w:shd w:val="clear" w:color="auto" w:fill="FFFFFF"/>
        </w:rPr>
        <w:t xml:space="preserve">The processing </w:t>
      </w:r>
      <w:r w:rsidRPr="00281BCE">
        <w:rPr>
          <w:rFonts w:ascii="Arial" w:hAnsi="Arial" w:cs="Arial"/>
          <w:color w:val="1C1C1C"/>
          <w:shd w:val="clear" w:color="auto" w:fill="FFFFFF"/>
        </w:rPr>
        <w:t>activities of LLMs tend to exhibit function creep when they collect publ</w:t>
      </w:r>
      <w:r w:rsidRPr="00281BCE">
        <w:rPr>
          <w:rFonts w:ascii="Arial" w:hAnsi="Arial" w:cs="Arial"/>
          <w:color w:val="1C1C1C"/>
          <w:shd w:val="clear" w:color="auto" w:fill="FFFFFF"/>
        </w:rPr>
        <w:t xml:space="preserve">icly available personal data. As a result, these likely are the responses of LLM providers to the ICO DPIA, indicating that they should refrain from processing personal data for training AI. </w:t>
      </w:r>
    </w:p>
    <w:p w:rsidR="00111FC9" w:rsidRPr="00281BCE" w:rsidP="00FF2AF5">
      <w:pPr>
        <w:rPr>
          <w:rFonts w:ascii="Arial" w:hAnsi="Arial" w:cs="Arial"/>
          <w:color w:val="1C1C1C"/>
          <w:shd w:val="clear" w:color="auto" w:fill="FFFFFF"/>
        </w:rPr>
      </w:pPr>
    </w:p>
    <w:p w:rsidR="00111FC9" w:rsidRPr="00281BCE" w:rsidP="00FF2AF5">
      <w:pPr>
        <w:rPr>
          <w:rFonts w:ascii="Arial" w:hAnsi="Arial" w:cs="Arial"/>
          <w:color w:val="1C1C1C"/>
          <w:shd w:val="clear" w:color="auto" w:fill="FFFFFF"/>
        </w:rPr>
      </w:pPr>
      <w:r w:rsidRPr="00281BCE">
        <w:rPr>
          <w:rFonts w:ascii="Arial" w:hAnsi="Arial" w:cs="Arial"/>
          <w:color w:val="1C1C1C"/>
          <w:shd w:val="clear" w:color="auto" w:fill="FFFFFF"/>
        </w:rPr>
        <w:t>Similarly, it is argued that FRT raises important data protection concerns, akin to those associated with LLMs, particularly regarding the collection and processing of personal data without individuals' consent and their right to privacy by preventing them to data control. Retailers and law enforcement utilise FRT to deter shoplifting, identify suspects and arrests criminals, respectively. A warning sign informing the public about the use of FRT is visibly posted at these locations, and CCTV captures facial</w:t>
      </w:r>
      <w:r w:rsidRPr="00281BCE">
        <w:rPr>
          <w:rFonts w:ascii="Arial" w:hAnsi="Arial" w:cs="Arial"/>
          <w:color w:val="1C1C1C"/>
          <w:shd w:val="clear" w:color="auto" w:fill="FFFFFF"/>
        </w:rPr>
        <w:t xml:space="preserve"> images of the public without physical interfering with them. Additionally, FRT poses significant risks of bias and discrimination, particularly for minority groups and people of colour. Minorities and coloured individuals are the most exposed to false identification. For instance, In the UK, a retailer’s FRT mistakenly accused Sara as a shoplifter.</w:t>
      </w:r>
      <w:r>
        <w:rPr>
          <w:rStyle w:val="FootnoteReference"/>
          <w:rFonts w:ascii="Arial" w:hAnsi="Arial" w:cs="Arial"/>
          <w:color w:val="1C1C1C"/>
          <w:shd w:val="clear" w:color="auto" w:fill="FFFFFF"/>
        </w:rPr>
        <w:footnoteReference w:id="11"/>
      </w:r>
      <w:r w:rsidRPr="00281BCE">
        <w:rPr>
          <w:rFonts w:ascii="Arial" w:hAnsi="Arial" w:cs="Arial"/>
          <w:color w:val="1C1C1C"/>
          <w:shd w:val="clear" w:color="auto" w:fill="FFFFFF"/>
        </w:rPr>
        <w:t xml:space="preserve"> Women and dark-skin individuals generally are false identified by the FRT.</w:t>
      </w:r>
      <w:r>
        <w:rPr>
          <w:rStyle w:val="FootnoteReference"/>
          <w:rFonts w:ascii="Arial" w:hAnsi="Arial" w:cs="Arial"/>
          <w:color w:val="1C1C1C"/>
          <w:shd w:val="clear" w:color="auto" w:fill="FFFFFF"/>
        </w:rPr>
        <w:footnoteReference w:id="12"/>
      </w:r>
      <w:r w:rsidRPr="00281BCE">
        <w:rPr>
          <w:rFonts w:ascii="Arial" w:hAnsi="Arial" w:cs="Arial"/>
          <w:color w:val="1C1C1C"/>
          <w:shd w:val="clear" w:color="auto" w:fill="FFFFFF"/>
        </w:rPr>
        <w:t xml:space="preserve"> The ICO has recognised these risks in the deployment of FRT in public spaces, and primarily arise from its design and training data.</w:t>
      </w:r>
      <w:r>
        <w:rPr>
          <w:rStyle w:val="FootnoteReference"/>
          <w:rFonts w:ascii="Arial" w:hAnsi="Arial" w:cs="Arial"/>
          <w:color w:val="1C1C1C"/>
          <w:shd w:val="clear" w:color="auto" w:fill="FFFFFF"/>
        </w:rPr>
        <w:footnoteReference w:id="13"/>
      </w:r>
      <w:r w:rsidRPr="00281BCE">
        <w:rPr>
          <w:rFonts w:ascii="Arial" w:hAnsi="Arial" w:cs="Arial"/>
          <w:color w:val="1C1C1C"/>
          <w:shd w:val="clear" w:color="auto" w:fill="FFFFFF"/>
        </w:rPr>
        <w:t xml:space="preserve"> The United States has seen instances of racial discrimination stemming from FRT used by law enforcement, resulting in unwarranted arrests and miscarriages of justice against marginalized </w:t>
      </w:r>
      <w:r w:rsidRPr="00281BCE">
        <w:rPr>
          <w:rFonts w:ascii="Arial" w:hAnsi="Arial" w:cs="Arial"/>
          <w:color w:val="1C1C1C"/>
          <w:shd w:val="clear" w:color="auto" w:fill="FFFFFF"/>
        </w:rPr>
        <w:t>social groups. Therefore, San Francisco, Berkely, and municipalities in Massachusetts have prohibited the FRT deployment.</w:t>
      </w:r>
      <w:r>
        <w:rPr>
          <w:rStyle w:val="FootnoteReference"/>
          <w:rFonts w:ascii="Arial" w:hAnsi="Arial" w:cs="Arial"/>
          <w:color w:val="1C1C1C"/>
          <w:shd w:val="clear" w:color="auto" w:fill="FFFFFF"/>
        </w:rPr>
        <w:footnoteReference w:id="14"/>
      </w:r>
      <w:r w:rsidRPr="00281BCE">
        <w:rPr>
          <w:rFonts w:ascii="Arial" w:hAnsi="Arial" w:cs="Arial"/>
          <w:color w:val="1C1C1C"/>
          <w:shd w:val="clear" w:color="auto" w:fill="FFFFFF"/>
        </w:rPr>
        <w:t xml:space="preserve"> </w:t>
      </w:r>
    </w:p>
    <w:p w:rsidR="00111FC9" w:rsidRPr="00281BCE" w:rsidP="00440486">
      <w:pPr>
        <w:rPr>
          <w:rFonts w:ascii="Arial" w:hAnsi="Arial" w:cs="Arial"/>
          <w:color w:val="1C1C1C"/>
          <w:shd w:val="clear" w:color="auto" w:fill="FFFFFF"/>
        </w:rPr>
      </w:pPr>
    </w:p>
    <w:p w:rsidR="00111FC9" w:rsidRPr="00281BCE" w:rsidP="00440486">
      <w:pPr>
        <w:rPr>
          <w:rFonts w:ascii="Arial" w:hAnsi="Arial" w:cs="Arial"/>
          <w:color w:val="1C1C1C"/>
          <w:shd w:val="clear" w:color="auto" w:fill="FFFFFF"/>
        </w:rPr>
      </w:pPr>
      <w:r w:rsidRPr="00281BCE">
        <w:rPr>
          <w:rFonts w:ascii="Arial" w:hAnsi="Arial" w:cs="Arial"/>
          <w:color w:val="1C1C1C"/>
          <w:shd w:val="clear" w:color="auto" w:fill="FFFFFF"/>
        </w:rPr>
        <w:t>Current UK laws are inadequate to protect human rights concerning AI as it are governed by various regulations which lack AI specificity, thus, do not address the technical operations of AI. This creates ambiguity within the legal framework surrounding AI, which ultimately impacts human rights. For example, the UK GDPR and the Data Protection Act 2018 regulate data processing. To apply these laws, it is essential to identify the controllers and processors involved in AI. The overlapping roles of multiple ac</w:t>
      </w:r>
      <w:r w:rsidRPr="00281BCE">
        <w:rPr>
          <w:rFonts w:ascii="Arial" w:hAnsi="Arial" w:cs="Arial"/>
          <w:color w:val="1C1C1C"/>
          <w:shd w:val="clear" w:color="auto" w:fill="FFFFFF"/>
        </w:rPr>
        <w:t>tors in AI operations complicate the task of determining their obligations and liabilities. For example, users, AI providers, developers concurrently can be controllers and processors in LLM as they all determine the means and objectives of processing the personal data. Consequently, due to the unique characteristics of AI, it is crucial to develop a specific legal framework that addresses its needs and implications for human rights.</w:t>
      </w:r>
    </w:p>
    <w:p w:rsidR="00111FC9" w:rsidRPr="00281BCE" w:rsidP="00440486">
      <w:pPr>
        <w:rPr>
          <w:rFonts w:ascii="Arial" w:hAnsi="Arial" w:cs="Arial"/>
          <w:color w:val="1C1C1C"/>
          <w:shd w:val="clear" w:color="auto" w:fill="FFFFFF"/>
        </w:rPr>
      </w:pPr>
    </w:p>
    <w:p w:rsidR="00111FC9" w:rsidRPr="00281BCE" w:rsidP="00440486">
      <w:pPr>
        <w:rPr>
          <w:rFonts w:ascii="Arial" w:hAnsi="Arial" w:cs="Arial"/>
          <w:color w:val="1C1C1C"/>
          <w:shd w:val="clear" w:color="auto" w:fill="FFFFFF"/>
        </w:rPr>
      </w:pPr>
      <w:r w:rsidRPr="00281BCE">
        <w:rPr>
          <w:rFonts w:ascii="Arial" w:hAnsi="Arial" w:cs="Arial"/>
          <w:color w:val="1C1C1C"/>
          <w:shd w:val="clear" w:color="auto" w:fill="FFFFFF"/>
        </w:rPr>
        <w:t>The government’s current policy approach to regulating AI is commendable in that it focuses on the implementation of AI rather than the technology itself. This focus is essential, given the ongoing and future innovations that AI is likely to produce. A general-purpose legislative framework is unlikely to hinder the advancement and deployment of AI solutions. However, it appears that the proposed policy does not adequately address the safeguarding of human rights. It would be beneficial for the government to</w:t>
      </w:r>
      <w:r w:rsidRPr="00281BCE">
        <w:rPr>
          <w:rFonts w:ascii="Arial" w:hAnsi="Arial" w:cs="Arial"/>
          <w:color w:val="1C1C1C"/>
          <w:shd w:val="clear" w:color="auto" w:fill="FFFFFF"/>
        </w:rPr>
        <w:t xml:space="preserve"> consider adopting the EU’s AI Act, which enforces </w:t>
      </w:r>
      <w:r w:rsidRPr="00281BCE">
        <w:rPr>
          <w:rFonts w:ascii="Arial" w:hAnsi="Arial" w:cs="Arial"/>
          <w:color w:val="1C1C1C"/>
          <w:shd w:val="clear" w:color="auto" w:fill="FFFFFF"/>
        </w:rPr>
        <w:t>human rights impact assessments for the deployment of high-risk AI systems. Additionally, it may be advantageous to extend this requirement to include mid- to high-risk AI, as general-purpose AI, while not typically classified as high risk, has been associated with severe impacts on individuals, including instances of harm and even fatalities. For instance, Adam Raine suicided himself after chatting with ChatGPT.</w:t>
      </w:r>
      <w:r>
        <w:rPr>
          <w:rStyle w:val="FootnoteReference"/>
          <w:rFonts w:ascii="Arial" w:hAnsi="Arial" w:cs="Arial"/>
          <w:color w:val="1C1C1C"/>
          <w:shd w:val="clear" w:color="auto" w:fill="FFFFFF"/>
        </w:rPr>
        <w:footnoteReference w:id="15"/>
      </w:r>
      <w:r w:rsidRPr="00281BCE">
        <w:rPr>
          <w:rFonts w:ascii="Arial" w:hAnsi="Arial" w:cs="Arial"/>
          <w:color w:val="1C1C1C"/>
          <w:shd w:val="clear" w:color="auto" w:fill="FFFFFF"/>
        </w:rPr>
        <w:t xml:space="preserve"> Another case was led by harmful content of ChatGPT.</w:t>
      </w:r>
      <w:r>
        <w:rPr>
          <w:rStyle w:val="FootnoteReference"/>
          <w:rFonts w:ascii="Arial" w:hAnsi="Arial" w:cs="Arial"/>
          <w:color w:val="1C1C1C"/>
          <w:shd w:val="clear" w:color="auto" w:fill="FFFFFF"/>
        </w:rPr>
        <w:footnoteReference w:id="16"/>
      </w:r>
      <w:r w:rsidRPr="00281BCE">
        <w:rPr>
          <w:rFonts w:ascii="Arial" w:hAnsi="Arial" w:cs="Arial"/>
          <w:color w:val="1C1C1C"/>
          <w:shd w:val="clear" w:color="auto" w:fill="FFFFFF"/>
        </w:rPr>
        <w:t xml:space="preserve"> Hence</w:t>
      </w:r>
      <w:r w:rsidRPr="00281BCE">
        <w:rPr>
          <w:rFonts w:ascii="Arial" w:hAnsi="Arial" w:cs="Arial"/>
          <w:color w:val="1C1C1C"/>
          <w:shd w:val="clear" w:color="auto" w:fill="FFFFFF"/>
        </w:rPr>
        <w:t>, future UK AI legislation must address the existing gaps in the current regulatory framework.</w:t>
      </w:r>
    </w:p>
    <w:p w:rsidR="00111FC9" w:rsidRPr="00281BCE" w:rsidP="00440486">
      <w:pPr>
        <w:rPr>
          <w:rFonts w:ascii="Arial" w:hAnsi="Arial" w:cs="Arial"/>
          <w:color w:val="1C1C1C"/>
          <w:shd w:val="clear" w:color="auto" w:fill="FFFFFF"/>
        </w:rPr>
      </w:pPr>
    </w:p>
    <w:p w:rsidR="00111FC9" w:rsidRPr="00281BCE" w:rsidP="00212C04">
      <w:pPr>
        <w:rPr>
          <w:rFonts w:ascii="Arial" w:hAnsi="Arial" w:cs="Arial"/>
          <w:color w:val="1C1C1C"/>
          <w:shd w:val="clear" w:color="auto" w:fill="FFFFFF"/>
        </w:rPr>
      </w:pPr>
      <w:r w:rsidRPr="00281BCE">
        <w:rPr>
          <w:rFonts w:ascii="Arial" w:hAnsi="Arial" w:cs="Arial"/>
          <w:color w:val="1C1C1C"/>
          <w:shd w:val="clear" w:color="auto" w:fill="FFFFFF"/>
        </w:rPr>
        <w:t>Human rights considerations in future legislation regarding AI should be specifically tailored to the distinctive characteristics of AI technologies. Current human rights standards and related regulations fail to adequately address the complexities of AI, particularly as the use of AI by private entities raises different issues compared to its deployment by public bodies. For example, while FRT poses significant concerns regarding discrimination and bias, the imperatives of national security and crime preve</w:t>
      </w:r>
      <w:r w:rsidRPr="00281BCE">
        <w:rPr>
          <w:rFonts w:ascii="Arial" w:hAnsi="Arial" w:cs="Arial"/>
          <w:color w:val="1C1C1C"/>
          <w:shd w:val="clear" w:color="auto" w:fill="FFFFFF"/>
        </w:rPr>
        <w:t>ntion shall take precedence over individual data protection rights. Recent statistics indicate that shoplifting in the UK has reached its highest levels since March 2003,</w:t>
      </w:r>
      <w:r>
        <w:rPr>
          <w:rStyle w:val="FootnoteReference"/>
          <w:rFonts w:ascii="Arial" w:hAnsi="Arial" w:cs="Arial"/>
          <w:color w:val="1C1C1C"/>
          <w:shd w:val="clear" w:color="auto" w:fill="FFFFFF"/>
        </w:rPr>
        <w:footnoteReference w:id="17"/>
      </w:r>
      <w:r w:rsidRPr="00281BCE">
        <w:rPr>
          <w:rFonts w:ascii="Arial" w:hAnsi="Arial" w:cs="Arial"/>
          <w:color w:val="1C1C1C"/>
          <w:shd w:val="clear" w:color="auto" w:fill="FFFFFF"/>
        </w:rPr>
        <w:t xml:space="preserve"> with mobile thefts accounting for sixteen percent of total thefts across the EU.</w:t>
      </w:r>
      <w:r>
        <w:rPr>
          <w:rStyle w:val="FootnoteReference"/>
          <w:rFonts w:ascii="Arial" w:hAnsi="Arial" w:cs="Arial"/>
          <w:color w:val="1C1C1C"/>
          <w:shd w:val="clear" w:color="auto" w:fill="FFFFFF"/>
        </w:rPr>
        <w:footnoteReference w:id="18"/>
      </w:r>
      <w:r w:rsidRPr="00281BCE">
        <w:rPr>
          <w:rFonts w:ascii="Arial" w:hAnsi="Arial" w:cs="Arial"/>
          <w:color w:val="1C1C1C"/>
          <w:shd w:val="clear" w:color="auto" w:fill="FFFFFF"/>
        </w:rPr>
        <w:t xml:space="preserve"> The application of FRT by law enforcement could play a crucial role in addressing this troubling increase in crime. Consequently, it is </w:t>
      </w:r>
      <w:r w:rsidRPr="00281BCE">
        <w:rPr>
          <w:rFonts w:ascii="Arial" w:hAnsi="Arial" w:cs="Arial"/>
          <w:color w:val="1C1C1C"/>
          <w:shd w:val="clear" w:color="auto" w:fill="FFFFFF"/>
        </w:rPr>
        <w:t>essential to undertake a thorough analysis of each AI application to safeguard human rights in its implementation.</w:t>
      </w:r>
    </w:p>
    <w:p w:rsidR="00111FC9" w:rsidRPr="00281BCE" w:rsidP="007C4BEA">
      <w:pPr>
        <w:rPr>
          <w:rFonts w:ascii="Arial" w:hAnsi="Arial" w:cs="Arial"/>
          <w:color w:val="1C1C1C"/>
          <w:shd w:val="clear" w:color="auto" w:fill="FFFFFF"/>
        </w:rPr>
      </w:pPr>
    </w:p>
    <w:p w:rsidR="00111FC9" w:rsidRPr="00281BCE" w:rsidP="00B42E06">
      <w:pPr>
        <w:rPr>
          <w:rFonts w:ascii="Arial" w:hAnsi="Arial" w:cs="Arial"/>
          <w:color w:val="1C1C1C"/>
          <w:shd w:val="clear" w:color="auto" w:fill="FFFFFF"/>
        </w:rPr>
      </w:pPr>
      <w:r w:rsidRPr="00281BCE">
        <w:rPr>
          <w:rFonts w:ascii="Arial" w:hAnsi="Arial" w:cs="Arial"/>
          <w:color w:val="1C1C1C"/>
          <w:shd w:val="clear" w:color="auto" w:fill="FFFFFF"/>
        </w:rPr>
        <w:t xml:space="preserve">Indisputably, AI applications can vary significantly in their implementation, training data, usage, risks, and objectives. Therefore, a comprehensive examination of each innovation necessitates the establishment of specific regulations tailored to them. As previously noted, the deployment of FRT differs between private and public sectors. Additionally, the types of data processed by various AI applications also vary. For example, LLMs handle personal data differently than FRT, encompassing information such </w:t>
      </w:r>
      <w:r w:rsidRPr="00281BCE">
        <w:rPr>
          <w:rFonts w:ascii="Arial" w:hAnsi="Arial" w:cs="Arial"/>
          <w:color w:val="1C1C1C"/>
          <w:shd w:val="clear" w:color="auto" w:fill="FFFFFF"/>
        </w:rPr>
        <w:t>as names, images, professions, and birthdates, whereas FRT primarily deals with facial images. Furthermore, general-purpose AI systems, which include applications like chatbots for customer service, video recommendation algorithms, and medical diagnosis tools, do not pose the same level of risks to human rights as FRT does. Hence, the EU AI Act classifies general-purpose AI as high-risk technology only if it meets specific technical criteria.</w:t>
      </w:r>
      <w:r>
        <w:rPr>
          <w:rStyle w:val="FootnoteReference"/>
          <w:rFonts w:ascii="Arial" w:hAnsi="Arial" w:cs="Arial"/>
          <w:color w:val="1C1C1C"/>
          <w:shd w:val="clear" w:color="auto" w:fill="FFFFFF"/>
        </w:rPr>
        <w:footnoteReference w:id="19"/>
      </w:r>
      <w:r w:rsidRPr="00281BCE">
        <w:rPr>
          <w:rFonts w:ascii="Arial" w:hAnsi="Arial" w:cs="Arial"/>
          <w:color w:val="1C1C1C"/>
          <w:shd w:val="clear" w:color="auto" w:fill="FFFFFF"/>
        </w:rPr>
        <w:t xml:space="preserve"> Furthermore, the European Commission has published a voluntary Code of Practice specifically designed for general-purpose AI.</w:t>
      </w:r>
      <w:r>
        <w:rPr>
          <w:rStyle w:val="FootnoteReference"/>
          <w:rFonts w:ascii="Arial" w:hAnsi="Arial" w:cs="Arial"/>
          <w:color w:val="1C1C1C"/>
          <w:shd w:val="clear" w:color="auto" w:fill="FFFFFF"/>
        </w:rPr>
        <w:footnoteReference w:id="20"/>
      </w:r>
      <w:r w:rsidRPr="00281BCE">
        <w:rPr>
          <w:rFonts w:ascii="Arial" w:hAnsi="Arial" w:cs="Arial"/>
          <w:color w:val="1C1C1C"/>
          <w:shd w:val="clear" w:color="auto" w:fill="FFFFFF"/>
        </w:rPr>
        <w:t xml:space="preserve"> On the other hand, FRT poses human rights concerns, yet not all implementations are banned. The EU AI Act, for example, only restricts live FRT applications, excluding retrospective ones.</w:t>
      </w:r>
      <w:r>
        <w:rPr>
          <w:rStyle w:val="FootnoteReference"/>
          <w:rFonts w:ascii="Arial" w:hAnsi="Arial" w:cs="Arial"/>
          <w:color w:val="1C1C1C"/>
          <w:shd w:val="clear" w:color="auto" w:fill="FFFFFF"/>
        </w:rPr>
        <w:footnoteReference w:id="21"/>
      </w:r>
      <w:r w:rsidRPr="00281BCE">
        <w:rPr>
          <w:rFonts w:ascii="Arial" w:hAnsi="Arial" w:cs="Arial"/>
          <w:color w:val="1C1C1C"/>
          <w:shd w:val="clear" w:color="auto" w:fill="FFFFFF"/>
        </w:rPr>
        <w:t xml:space="preserve"> Therefore, each AI application requires careful examination to create appropriate regulations.</w:t>
      </w:r>
    </w:p>
    <w:p w:rsidR="00111FC9" w:rsidRPr="00281BCE" w:rsidP="00B42E06">
      <w:pPr>
        <w:rPr>
          <w:rFonts w:ascii="Arial" w:hAnsi="Arial" w:cs="Arial"/>
          <w:color w:val="1C1C1C"/>
          <w:shd w:val="clear" w:color="auto" w:fill="FFFFFF"/>
        </w:rPr>
      </w:pPr>
    </w:p>
    <w:p w:rsidR="00111FC9" w:rsidRPr="00281BCE" w:rsidP="007C4BEA">
      <w:pPr>
        <w:rPr>
          <w:rFonts w:ascii="Arial" w:hAnsi="Arial" w:cs="Arial"/>
          <w:color w:val="1C1C1C"/>
          <w:shd w:val="clear" w:color="auto" w:fill="FFFFFF"/>
        </w:rPr>
      </w:pPr>
      <w:r w:rsidRPr="00281BCE">
        <w:rPr>
          <w:rFonts w:ascii="Arial" w:hAnsi="Arial" w:cs="Arial"/>
          <w:color w:val="1C1C1C"/>
          <w:shd w:val="clear" w:color="auto" w:fill="FFFFFF"/>
        </w:rPr>
        <w:t>Although AI deployments vary significantly, the liability for breaching human rights in the context of AI must be clear and unequivocal. Accountability should encompass the entire lifecycle of AI from design and development to deployment in order to foster public trust in the technology, protect human rights, and uphold the principle of transparency as outlined in the UK AI white paper. The actors involved in the AI model lifecycle include designers who set the objectives for the AI, developers who train th</w:t>
      </w:r>
      <w:r w:rsidRPr="00281BCE">
        <w:rPr>
          <w:rFonts w:ascii="Arial" w:hAnsi="Arial" w:cs="Arial"/>
          <w:color w:val="1C1C1C"/>
          <w:shd w:val="clear" w:color="auto" w:fill="FFFFFF"/>
        </w:rPr>
        <w:t>e AI systems and provide algorithms and data, providers such as businesses that sell AI solutions, and users, which can be either enterprises or individuals utilising the technology for their specific purposes. The designer should be held accountable for setting ethical objectives and establishing the frameworks that guide AI development. Developers must ensure that the data used is representative and that the AI functions without bias. They are responsible for identifying potential risks during development</w:t>
      </w:r>
      <w:r w:rsidRPr="00281BCE">
        <w:rPr>
          <w:rFonts w:ascii="Arial" w:hAnsi="Arial" w:cs="Arial"/>
          <w:color w:val="1C1C1C"/>
          <w:shd w:val="clear" w:color="auto" w:fill="FFFFFF"/>
        </w:rPr>
        <w:t>. Users should be responsible for using it in a manner that respects human rights, refraining from applications that could cause harm.</w:t>
      </w:r>
    </w:p>
    <w:p w:rsidR="00111FC9" w:rsidRPr="00281BCE" w:rsidP="007C4BEA">
      <w:pPr>
        <w:rPr>
          <w:rFonts w:ascii="Arial" w:hAnsi="Arial" w:cs="Arial"/>
          <w:color w:val="1C1C1C"/>
          <w:shd w:val="clear" w:color="auto" w:fill="FFFFFF"/>
        </w:rPr>
      </w:pPr>
    </w:p>
    <w:p w:rsidR="00111FC9" w:rsidRPr="00281BCE" w:rsidP="006A1818">
      <w:commentRangeStart w:id="1"/>
      <w:r w:rsidRPr="00281BCE">
        <w:t>To</w:t>
      </w:r>
      <w:commentRangeEnd w:id="1"/>
      <w:r w:rsidRPr="00281BCE">
        <w:rPr>
          <w:rStyle w:val="CommentReference"/>
        </w:rPr>
        <w:commentReference w:id="1"/>
      </w:r>
      <w:r w:rsidRPr="00281BCE">
        <w:t xml:space="preserve"> ensure that regulations keep pace with the rapid advancement of AI technologies, particularly agentic AI, and protect human rights, several strategies should be implemented. Regulations must be adaptable to technological changes, allowing for timely adjustments based on risks and impacts, and modifying the regulations according to AI developments. For instance, </w:t>
      </w:r>
      <w:r w:rsidRPr="00281BCE">
        <w:rPr>
          <w:rFonts w:ascii="Arial" w:hAnsi="Arial" w:cs="Arial"/>
          <w:color w:val="1C1C1C"/>
          <w:shd w:val="clear" w:color="auto" w:fill="FFFFFF"/>
        </w:rPr>
        <w:t xml:space="preserve">every four years, it is essential to revisit and refresh the EU GDPR, ensuring it evolves alongside the ever-changing landscape of data protection </w:t>
      </w:r>
      <w:r w:rsidRPr="00281BCE">
        <w:rPr>
          <w:rFonts w:ascii="Arial" w:hAnsi="Arial" w:cs="Arial"/>
          <w:color w:val="1C1C1C"/>
          <w:shd w:val="clear" w:color="auto" w:fill="FFFFFF"/>
        </w:rPr>
        <w:t>and digital privacy.</w:t>
      </w:r>
      <w:r>
        <w:rPr>
          <w:rStyle w:val="FootnoteReference"/>
          <w:rFonts w:ascii="Arial" w:hAnsi="Arial" w:cs="Arial"/>
          <w:color w:val="1C1C1C"/>
          <w:shd w:val="clear" w:color="auto" w:fill="FFFFFF"/>
        </w:rPr>
        <w:footnoteReference w:id="22"/>
      </w:r>
      <w:r w:rsidRPr="00281BCE">
        <w:rPr>
          <w:rFonts w:ascii="Arial" w:hAnsi="Arial" w:cs="Arial"/>
          <w:color w:val="1C1C1C"/>
          <w:shd w:val="clear" w:color="auto" w:fill="FFFFFF"/>
        </w:rPr>
        <w:t xml:space="preserve"> </w:t>
      </w:r>
      <w:r w:rsidRPr="00281BCE">
        <w:t xml:space="preserve">Continuous monitoring of AI technologies is crucial for identifying potential human rights issues. Thus, the EU </w:t>
      </w:r>
      <w:r w:rsidRPr="00281BCE">
        <w:t>AI Act obliges providers of general-purpose AI models with systemic risks to monitor and report serious incidents to competent authority.</w:t>
      </w:r>
      <w:r>
        <w:rPr>
          <w:rStyle w:val="FootnoteReference"/>
        </w:rPr>
        <w:footnoteReference w:id="23"/>
      </w:r>
      <w:r w:rsidRPr="00281BCE">
        <w:t xml:space="preserve"> Engaging diverse stakeholders including developers, policymakers, and civil society can enhance regulatory frameworks by incorporating various perspectives. Finally, countries must collaborate to establish consistent regulatory standards to prevent gaps in protection. The UK is actively engaged in exciting international and European collaborations in the field of AI, fostering innovation and driving progress on a global scale.</w:t>
      </w:r>
      <w:r>
        <w:rPr>
          <w:rStyle w:val="FootnoteReference"/>
        </w:rPr>
        <w:footnoteReference w:id="24"/>
      </w:r>
      <w:r w:rsidRPr="00281BCE">
        <w:t xml:space="preserve"> By adopting these strategies, regulation can more effectively address the challenges posed by emerging AI technologies while prioritising human rights.</w:t>
      </w:r>
    </w:p>
    <w:p w:rsidR="00111FC9" w:rsidRPr="00281BCE" w:rsidP="006A1818"/>
    <w:p w:rsidR="00111FC9" w:rsidRPr="00281BCE" w:rsidP="00207B1C"/>
    <w:p w:rsidR="00111FC9" w:rsidRPr="00281BCE" w:rsidP="00207B1C">
      <w:r w:rsidRPr="00281BCE">
        <w:t>The UK should collaborate with international organizations to establish shared ethical standards for AI development, thereby mitigating risks associated with misuse by authoritarian regimes. Effectively, the UK has signed the Council of Europe Framework Convention on Artificial Intelligence and Human Rights, Democracy, and the Rule of Law. Additionally, as a member of the Organisation for Economic Cooperation and Development, the UK has adopted its AI principles. Furthermore, the bilateral memorandum with t</w:t>
      </w:r>
      <w:r w:rsidRPr="00281BCE">
        <w:t>he US can help address the harmful use of private enterprises, especially given the differing legal systems between the US and the UK, which may lead to varied AI applications that could impact human rights. For example, NOLA is a non-profit entity that operates FRT for law enforcement in some US states.</w:t>
      </w:r>
      <w:r>
        <w:rPr>
          <w:rStyle w:val="FootnoteReference"/>
        </w:rPr>
        <w:footnoteReference w:id="25"/>
      </w:r>
      <w:r w:rsidRPr="00281BCE">
        <w:t xml:space="preserve"> If NOLA were to establish and collect personal data in the UK, but </w:t>
      </w:r>
      <w:r w:rsidRPr="00281BCE">
        <w:t>process that data in the US, it could result in conflicts regarding human rights protections, as such operations are permissible under US law. In conclusion, by collaborating with international organizations and partners like the EU and US, it can prevent the misuse of AI technologies while ensuring alignment with democratic values.</w:t>
      </w:r>
    </w:p>
    <w:p w:rsidR="00111FC9" w:rsidRPr="00281BCE" w:rsidP="00207B1C"/>
    <w:p w:rsidR="00111FC9" w:rsidRPr="00281BCE" w:rsidP="00207B1C">
      <w:r w:rsidRPr="00281BCE">
        <w:t>The Council of Europe Framework Convention on Artificial Intelligence and Human Rights, Democracy, and the Rule of Law has the potential to significantly enhance the protection of human rights in the UK. By establishing a comprehensive set of ethical standards and guidelines for AI development and usage, the convention encourages accountability and transparency among AI developers and users. Particularly, it strengths fundamental human rights protections via the lifecycle of AI. The treaty mandates that all</w:t>
      </w:r>
      <w:r w:rsidRPr="00281BCE">
        <w:t xml:space="preserve"> AI systems, whether developed or utilised by public authorities or private entities acting on their behalf, must be rigorously designed, thoroughly assessed, well-documented, and responsibly phased out to ensure the unwavering protection of human rights, the preservation of democratic values, and the steadfast adherence to the rule of law. This commitment serves as a vital safeguard for society as we navigate the complexities of advancing technology. The treaty requires AI systems whether created or deploy</w:t>
      </w:r>
      <w:r w:rsidRPr="00281BCE">
        <w:t>ed by public authorities or private actors on their behalf to be designed, evaluated, documented, and phased out in a way that upholds human rights, democratic norms, and the rule of law.</w:t>
      </w:r>
    </w:p>
    <w:p w:rsidR="00111FC9" w:rsidRPr="00281BCE" w:rsidP="00207B1C"/>
    <w:p w:rsidR="00111FC9" w:rsidRPr="00281BCE" w:rsidP="00207B1C">
      <w:pPr>
        <w:rPr>
          <w:color w:val="0E101A"/>
        </w:rPr>
      </w:pPr>
      <w:r w:rsidRPr="00281BCE">
        <w:t xml:space="preserve">The UK can gain from the EU AI Act, as it provides a comprehensive risk-based framework that anticipates challenges rather than reacting to them. By classifying AI systems by risk levels, the Act enables tailored regulations that ensure </w:t>
      </w:r>
      <w:r w:rsidRPr="00281BCE">
        <w:t>oversight while safeguarding rights. Additionally, regarding transparency, the EU AI Act mandates that individuals be informed when they are interacting with AI.</w:t>
      </w:r>
      <w:r>
        <w:rPr>
          <w:rStyle w:val="FootnoteReference"/>
        </w:rPr>
        <w:footnoteReference w:id="26"/>
      </w:r>
      <w:r w:rsidRPr="00281BCE">
        <w:t xml:space="preserve"> For example, it mandates that individuals be informed when interacting with AI, such as job candidates being notified if AI is involved in recruitment decisions. This contrasts with the UK's current relaxed approach, which lacks such transparency requirements. By classifying AI systems according to risk, higher-risk applications receive more stringent oversight, while lower-risk systems can follow more flexible guidelines. This structured approach promotes responsible AI development and ensures regulations</w:t>
      </w:r>
      <w:r w:rsidRPr="00281BCE">
        <w:t xml:space="preserve"> are proportional to potential impacts, allowing the UK to robustly regulate AI through a blend of flexible and rigid legal frameworks.</w:t>
      </w:r>
    </w:p>
    <w:p w:rsidR="00111FC9" w:rsidRPr="00281BCE" w:rsidP="00207B1C">
      <w:pPr>
        <w:rPr>
          <w:color w:val="0E101A"/>
        </w:rPr>
      </w:pPr>
    </w:p>
    <w:p w:rsidR="00111FC9" w:rsidP="002A7023">
      <w:r w:rsidRPr="00281BCE">
        <w:t>In conclusion, AI  encompasses a diverse array of applications, each characterized by specific features that profoundly affect human rights, particularly in relation to privacy, data utilization, discrimination, and bias. Consequently, the existing regulatory framework in the UK reveals significant loopholes that warrant rectification. Furthermore, a thorough examination of the legal frameworks in other jurisdictions that effectively address these issues is essential for the development of a comprehensive r</w:t>
      </w:r>
      <w:r w:rsidRPr="00281BCE">
        <w:t>egulatory approach. While current government policies promote the advancement and implementation of AI technologies, it is imperative to implement measures to mitigate the associated human rights risks. Cooperating internationally is an effective way to recognise and address these risks.</w:t>
      </w:r>
    </w:p>
    <w:p w:rsidR="00111FC9" w:rsidRPr="00A97A64" w:rsidP="00A97A64">
      <w:pPr>
        <w:ind w:firstLine="0"/>
        <w:rPr>
          <w:rFonts w:ascii="Calibri" w:hAnsi="Calibri" w:cs="Calibri"/>
          <w:b/>
          <w:bCs/>
          <w:i/>
          <w:iCs/>
        </w:rPr>
      </w:pPr>
      <w:r w:rsidRPr="00A97A64">
        <w:rPr>
          <w:rFonts w:ascii="Calibri" w:hAnsi="Calibri" w:cs="Calibri"/>
          <w:b/>
          <w:bCs/>
          <w:i/>
          <w:iCs/>
        </w:rPr>
        <w:t>(Sep 2025)</w:t>
      </w:r>
    </w:p>
    <w:sectPr w:rsidSect="007662F3">
      <w:footerReference w:type="even" r:id="rId7"/>
      <w:pgSz w:w="11906" w:h="16838"/>
      <w:pgMar w:top="1440" w:right="1440" w:bottom="1440" w:left="1440" w:header="720" w:footer="720" w:gutter="0"/>
      <w:cols w:space="708"/>
      <w:docGrid w:linePitch="326"/>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comment w:id="1" w:author="Abdallah Husain" w:date="2025-09-04T16:38:00Z" w:initials="AMAHHD">
    <w:p w:rsidR="00111FC9" w:rsidP="00733EC0">
      <w:r>
        <w:rPr>
          <w:rStyle w:val="CommentReference"/>
        </w:rPr>
        <w:annotationRef/>
      </w:r>
      <w:r>
        <w:rPr>
          <w:sz w:val="20"/>
          <w:szCs w:val="20"/>
        </w:rPr>
        <w:t>Answer to Q 7 Pace AI</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Style w:val="PageNumber"/>
      </w:rPr>
      <w:id w:val="-743563994"/>
      <w:docPartObj>
        <w:docPartGallery w:val="Page Numbers (Bottom of Page)"/>
        <w:docPartUnique/>
      </w:docPartObj>
    </w:sdtPr>
    <w:sdtEndPr>
      <w:rPr>
        <w:rStyle w:val="PageNumber"/>
      </w:rPr>
    </w:sdtEndPr>
    <w:sdtContent>
      <w:p w:rsidR="00111FC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rsidR="00111FC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111FC9" w:rsidP="00440486">
      <w:pPr>
        <w:spacing w:line="240" w:lineRule="auto"/>
      </w:pPr>
      <w:r>
        <w:separator/>
      </w:r>
    </w:p>
  </w:footnote>
  <w:footnote w:type="continuationSeparator" w:id="1">
    <w:p w:rsidR="00111FC9" w:rsidP="00440486">
      <w:pPr>
        <w:spacing w:line="240" w:lineRule="auto"/>
      </w:pPr>
      <w:r>
        <w:continuationSeparator/>
      </w:r>
    </w:p>
  </w:footnote>
  <w:footnote w:id="2">
    <w:p w:rsidR="00111FC9" w:rsidRPr="0021002A" w:rsidP="00705477">
      <w:pPr>
        <w:pStyle w:val="EndnoteText"/>
      </w:pPr>
      <w:r>
        <w:rPr>
          <w:rStyle w:val="FootnoteReference"/>
        </w:rPr>
        <w:footnoteRef/>
      </w:r>
      <w:r>
        <w:t xml:space="preserve"> </w:t>
      </w:r>
      <w:r w:rsidRPr="00E63620">
        <w:t xml:space="preserve">Regulation (EU) 2016/679 of the European Parliament and of the Council of 27 April 2016 on the protection of natural persons with regard to </w:t>
      </w:r>
      <w:r w:rsidRPr="00D7790E">
        <w:rPr>
          <w:rStyle w:val="EndnoteReference"/>
          <w:vertAlign w:val="baseline"/>
        </w:rPr>
        <w:t>the</w:t>
      </w:r>
      <w:r w:rsidRPr="00D7790E">
        <w:t xml:space="preserve"> </w:t>
      </w:r>
      <w:r w:rsidRPr="00E63620">
        <w:t xml:space="preserve">processing of personal data and on the free movement of such data </w:t>
      </w:r>
      <w:r w:rsidRPr="00D7790E">
        <w:rPr>
          <w:rStyle w:val="EndnoteReference"/>
          <w:vertAlign w:val="baseline"/>
          <w:lang w:eastAsia="en-GB"/>
        </w:rPr>
        <w:t>(United Kingdom General Data Protection Regulation)</w:t>
      </w:r>
      <w:r w:rsidRPr="00D7790E">
        <w:rPr>
          <w:lang w:eastAsia="en-GB"/>
        </w:rPr>
        <w:t xml:space="preserve"> </w:t>
      </w:r>
      <w:r>
        <w:rPr>
          <w:lang w:eastAsia="en-GB"/>
        </w:rPr>
        <w:t>Art 6 (1)(a)</w:t>
      </w:r>
    </w:p>
  </w:footnote>
  <w:footnote w:id="3">
    <w:p w:rsidR="00111FC9" w:rsidRPr="009748FB" w:rsidP="00705477">
      <w:pPr>
        <w:pStyle w:val="EndnoteText"/>
      </w:pPr>
      <w:r>
        <w:rPr>
          <w:rStyle w:val="FootnoteReference"/>
        </w:rPr>
        <w:footnoteRef/>
      </w:r>
      <w:r>
        <w:t xml:space="preserve"> Ibid, Art 5 (1)(b)</w:t>
      </w:r>
    </w:p>
  </w:footnote>
  <w:footnote w:id="4">
    <w:p w:rsidR="00111FC9" w:rsidP="00042222">
      <w:pPr>
        <w:pStyle w:val="EndnoteText"/>
      </w:pPr>
      <w:r>
        <w:rPr>
          <w:rStyle w:val="FootnoteReference"/>
        </w:rPr>
        <w:footnoteRef/>
      </w:r>
      <w:r>
        <w:t xml:space="preserve"> Ibid Art 4 (4), 21 &amp; 22</w:t>
      </w:r>
    </w:p>
  </w:footnote>
  <w:footnote w:id="5">
    <w:p w:rsidR="00111FC9" w:rsidRPr="00037CD3" w:rsidP="00042222">
      <w:pPr>
        <w:pStyle w:val="EndnoteText"/>
      </w:pPr>
      <w:r>
        <w:rPr>
          <w:rStyle w:val="FootnoteReference"/>
        </w:rPr>
        <w:footnoteRef/>
      </w:r>
      <w:r>
        <w:t xml:space="preserve"> These two practical examples include personal data which was omitted. </w:t>
      </w:r>
    </w:p>
  </w:footnote>
  <w:footnote w:id="6">
    <w:p w:rsidR="00111FC9" w:rsidRPr="004337FE" w:rsidP="00042222">
      <w:pPr>
        <w:pStyle w:val="EndnoteText"/>
      </w:pPr>
      <w:r>
        <w:rPr>
          <w:rStyle w:val="FootnoteReference"/>
        </w:rPr>
        <w:footnoteRef/>
      </w:r>
      <w:r>
        <w:t xml:space="preserve"> UK GDPR Art 14</w:t>
      </w:r>
    </w:p>
  </w:footnote>
  <w:footnote w:id="7">
    <w:p w:rsidR="00111FC9" w:rsidP="00042222">
      <w:pPr>
        <w:pStyle w:val="EndnoteText"/>
      </w:pPr>
      <w:r>
        <w:rPr>
          <w:rStyle w:val="FootnoteReference"/>
        </w:rPr>
        <w:footnoteRef/>
      </w:r>
      <w:r>
        <w:t xml:space="preserve"> </w:t>
      </w:r>
      <w:r>
        <w:t>OpenAI, ‘Europe Privacy Policy’ (OpenAI 15 February 2024, updated on 4 November 2024) &lt;</w:t>
      </w:r>
      <w:r>
        <w:fldChar w:fldCharType="begin"/>
      </w:r>
      <w:r>
        <w:instrText xml:space="preserve"> HYPERLINK "https://openai.com/en-GB/policies/eu-privacy-policy/" </w:instrText>
      </w:r>
      <w:r>
        <w:fldChar w:fldCharType="separate"/>
      </w:r>
      <w:r w:rsidRPr="0007738B">
        <w:rPr>
          <w:rStyle w:val="Hyperlink"/>
        </w:rPr>
        <w:t>https://openai.com/en-GB/policies/eu-privacy-policy/</w:t>
      </w:r>
      <w:r>
        <w:fldChar w:fldCharType="end"/>
      </w:r>
      <w:r>
        <w:t>&gt; accessed on 6 August 2025, Gemini Apps Help, ‘Gemini Apps Privacy Help’ (Google 24 July 2025) &lt;</w:t>
      </w:r>
      <w:r>
        <w:fldChar w:fldCharType="begin"/>
      </w:r>
      <w:r>
        <w:instrText xml:space="preserve"> HYPERLINK "https://support.google.com/gemini/answer/13594961?hl=en" \l "your_data&amp;zippy=%2Chow-does-google-use-my-uploaded-files%2Chow-does-google-work-with-my-uploaded-images" </w:instrText>
      </w:r>
      <w:r>
        <w:fldChar w:fldCharType="separate"/>
      </w:r>
      <w:r w:rsidRPr="00701376">
        <w:rPr>
          <w:rStyle w:val="Hyperlink"/>
        </w:rPr>
        <w:t>https://support.google.com/gemini/answer/13594961?hl=en#your_data&amp;zippy=%2Chow-does-google-use-my-uploaded-files%2Chow-does-google-work-with-my-uploaded-images</w:t>
      </w:r>
      <w:r>
        <w:fldChar w:fldCharType="end"/>
      </w:r>
      <w:r>
        <w:t>&gt; accessed on 6 Aug 2025, and DeepSeek ‘DeepSeek Privacy Policy’ (DeepSeek Last Updated 4 July 2025) &lt;</w:t>
      </w:r>
      <w:r>
        <w:fldChar w:fldCharType="begin"/>
      </w:r>
      <w:r>
        <w:instrText xml:space="preserve"> HYPERLINK "https://cdn.deepseek.com/policies/en-US/deepseek-privacy-policy.html" </w:instrText>
      </w:r>
      <w:r>
        <w:fldChar w:fldCharType="separate"/>
      </w:r>
      <w:r w:rsidRPr="00465102">
        <w:rPr>
          <w:rStyle w:val="Hyperlink"/>
        </w:rPr>
        <w:t>https://cdn.deepseek.com/policies/en-US/deepseek-privacy-policy.html</w:t>
      </w:r>
      <w:r>
        <w:fldChar w:fldCharType="end"/>
      </w:r>
      <w:r>
        <w:t>&gt; accessed on 6 August 2025</w:t>
      </w:r>
    </w:p>
  </w:footnote>
  <w:footnote w:id="8">
    <w:p w:rsidR="00111FC9" w:rsidP="00FF2AF5">
      <w:pPr>
        <w:pStyle w:val="EndnoteText"/>
      </w:pPr>
      <w:r>
        <w:rPr>
          <w:rStyle w:val="FootnoteReference"/>
        </w:rPr>
        <w:footnoteRef/>
      </w:r>
      <w:r>
        <w:t xml:space="preserve"> ibid</w:t>
      </w:r>
    </w:p>
  </w:footnote>
  <w:footnote w:id="9">
    <w:p w:rsidR="00111FC9" w:rsidP="00FF2AF5">
      <w:pPr>
        <w:pStyle w:val="EndnoteText"/>
      </w:pPr>
      <w:r>
        <w:rPr>
          <w:rStyle w:val="FootnoteReference"/>
        </w:rPr>
        <w:footnoteRef/>
      </w:r>
      <w:r>
        <w:t xml:space="preserve"> UK GDPR Art 35</w:t>
      </w:r>
    </w:p>
  </w:footnote>
  <w:footnote w:id="10">
    <w:p w:rsidR="00111FC9" w:rsidP="00FF2AF5">
      <w:pPr>
        <w:pStyle w:val="EndnoteText"/>
      </w:pPr>
      <w:r>
        <w:rPr>
          <w:rStyle w:val="FootnoteReference"/>
        </w:rPr>
        <w:footnoteRef/>
      </w:r>
      <w:r>
        <w:t xml:space="preserve"> Ibid Recital 75</w:t>
      </w:r>
    </w:p>
  </w:footnote>
  <w:footnote w:id="11">
    <w:p w:rsidR="00111FC9" w:rsidP="00FF2AF5">
      <w:pPr>
        <w:pStyle w:val="EndnoteText"/>
      </w:pPr>
      <w:r>
        <w:rPr>
          <w:rStyle w:val="FootnoteReference"/>
        </w:rPr>
        <w:footnoteRef/>
      </w:r>
      <w:r>
        <w:t xml:space="preserve"> James Clyton ‘I was Misidentified as Shoplifter by Facial Recognition Tech’ (BBC 26 May 2024) &lt;</w:t>
      </w:r>
      <w:r>
        <w:fldChar w:fldCharType="begin"/>
      </w:r>
      <w:r>
        <w:instrText xml:space="preserve"> HYPERLINK "http://www.bbc.com/news/technology-69055945" </w:instrText>
      </w:r>
      <w:r>
        <w:fldChar w:fldCharType="separate"/>
      </w:r>
      <w:r w:rsidRPr="00156191">
        <w:rPr>
          <w:rStyle w:val="Hyperlink"/>
        </w:rPr>
        <w:t>www.bbc.com/news/technology-69055945</w:t>
      </w:r>
      <w:r>
        <w:fldChar w:fldCharType="end"/>
      </w:r>
      <w:r>
        <w:t>&gt; accessed on 30 August 2025</w:t>
      </w:r>
    </w:p>
  </w:footnote>
  <w:footnote w:id="12">
    <w:p w:rsidR="00111FC9" w:rsidP="00FF2AF5">
      <w:pPr>
        <w:pStyle w:val="EndnoteText"/>
      </w:pPr>
      <w:r>
        <w:rPr>
          <w:rStyle w:val="FootnoteReference"/>
        </w:rPr>
        <w:footnoteRef/>
      </w:r>
      <w:r>
        <w:t xml:space="preserve"> European Parliament ‘Person Identification, Human Rights and Ethical Principles: Rethinking Biometrics in the Ear of Artificial Intelligence’ (European Parliament 2021) 34</w:t>
      </w:r>
    </w:p>
  </w:footnote>
  <w:footnote w:id="13">
    <w:p w:rsidR="00111FC9" w:rsidP="00FF2AF5">
      <w:pPr>
        <w:pStyle w:val="EndnoteText"/>
      </w:pPr>
      <w:r>
        <w:rPr>
          <w:rStyle w:val="FootnoteReference"/>
        </w:rPr>
        <w:footnoteRef/>
      </w:r>
      <w:r>
        <w:t xml:space="preserve"> ICO ‘The Use of Live Facial Recognition Technology in Public Places’ (ICO 18 June 2021) 21</w:t>
      </w:r>
    </w:p>
  </w:footnote>
  <w:footnote w:id="14">
    <w:p w:rsidR="00111FC9" w:rsidP="00FF2AF5">
      <w:pPr>
        <w:pStyle w:val="EndnoteText"/>
      </w:pPr>
      <w:r>
        <w:rPr>
          <w:rStyle w:val="FootnoteReference"/>
        </w:rPr>
        <w:footnoteRef/>
      </w:r>
      <w:r>
        <w:t xml:space="preserve"> Rita Matulionyte and Monika Zalnieriute, </w:t>
      </w:r>
      <w:r w:rsidRPr="00570A6C">
        <w:rPr>
          <w:i/>
          <w:iCs/>
        </w:rPr>
        <w:t>The Cambridge Handbook of</w:t>
      </w:r>
      <w:r>
        <w:t xml:space="preserve"> </w:t>
      </w:r>
      <w:r>
        <w:rPr>
          <w:i/>
          <w:iCs/>
        </w:rPr>
        <w:t>Facial Recognition in the Modern State</w:t>
      </w:r>
      <w:r>
        <w:t xml:space="preserve"> (Cambridge 2024) 13 &amp; 102</w:t>
      </w:r>
    </w:p>
  </w:footnote>
  <w:footnote w:id="15">
    <w:p w:rsidR="00111FC9" w:rsidP="00440486">
      <w:pPr>
        <w:pStyle w:val="EndnoteText"/>
      </w:pPr>
      <w:r>
        <w:rPr>
          <w:rStyle w:val="FootnoteReference"/>
        </w:rPr>
        <w:footnoteRef/>
      </w:r>
      <w:r>
        <w:t xml:space="preserve"> Kevin Okemwa ‘Family Sues OpenAI, Claiming ChatGPT Encouraged Their Teens’ Suicide: Here’s What We Know’ (Windows Central 29 August 2025) &lt;</w:t>
      </w:r>
      <w:r>
        <w:fldChar w:fldCharType="begin"/>
      </w:r>
      <w:r>
        <w:instrText xml:space="preserve"> HYPERLINK "https://www.windowscentral.com/artificial-intelligence/openai-chatgpt/openai-faces-lawsuit-after-family-says-chatgpt-encouraged-teen-suicide" </w:instrText>
      </w:r>
      <w:r>
        <w:fldChar w:fldCharType="separate"/>
      </w:r>
      <w:r w:rsidRPr="00745755">
        <w:rPr>
          <w:rStyle w:val="Hyperlink"/>
        </w:rPr>
        <w:t>www.windowscentral.com/artificial-intelligence/openai-chatgpt/openai-faces-lawsuit-after-family-says-chatgpt-encouraged-teen-suicide</w:t>
      </w:r>
      <w:r>
        <w:fldChar w:fldCharType="end"/>
      </w:r>
      <w:r>
        <w:t>&gt;  accessed on 2 September 2025</w:t>
      </w:r>
    </w:p>
  </w:footnote>
  <w:footnote w:id="16">
    <w:p w:rsidR="00111FC9" w:rsidP="00440486">
      <w:pPr>
        <w:pStyle w:val="EndnoteText"/>
      </w:pPr>
      <w:r>
        <w:rPr>
          <w:rStyle w:val="FootnoteReference"/>
        </w:rPr>
        <w:footnoteRef/>
      </w:r>
      <w:r>
        <w:t xml:space="preserve"> Georgie English ‘You’re Not Crazy: ‘First AI Murder’ after ChatGPT Fed Businessman’s Delusion His Mother Was Spying on him Before He Killed Her’ (The Sun 30 August 2025) &lt;</w:t>
      </w:r>
      <w:r>
        <w:fldChar w:fldCharType="begin"/>
      </w:r>
      <w:r>
        <w:instrText xml:space="preserve"> HYPERLINK "https://www.thesun.co.uk/news/36498718/ai-murder-chatgpt-delusions/" </w:instrText>
      </w:r>
      <w:r>
        <w:fldChar w:fldCharType="separate"/>
      </w:r>
      <w:r w:rsidRPr="008903A1">
        <w:rPr>
          <w:rStyle w:val="Hyperlink"/>
        </w:rPr>
        <w:t>www.thesun.co.uk/news/36498718/ai-murder-chatgpt-delusions/&gt;</w:t>
      </w:r>
      <w:r>
        <w:fldChar w:fldCharType="end"/>
      </w:r>
      <w:r>
        <w:t xml:space="preserve"> accessed on 2 September 2025</w:t>
      </w:r>
    </w:p>
  </w:footnote>
  <w:footnote w:id="17">
    <w:p w:rsidR="00111FC9" w:rsidP="00FB5DD7">
      <w:pPr>
        <w:pStyle w:val="EndnoteText"/>
      </w:pPr>
      <w:r>
        <w:rPr>
          <w:rStyle w:val="FootnoteReference"/>
        </w:rPr>
        <w:footnoteRef/>
      </w:r>
      <w:r>
        <w:t xml:space="preserve"> Office for National Statistics ‘Crime In England and Wales: Year Ending March 2025’ (ONS 24 July 2025) &lt;</w:t>
      </w:r>
      <w:r>
        <w:fldChar w:fldCharType="begin"/>
      </w:r>
      <w:r>
        <w:instrText xml:space="preserve"> HYPERLINK "https://www.ons.gov.uk/peoplepopulationandcommunity/crimeandjustice/bulletins/crimeinenglandandwales/yearendingmarch2025" </w:instrText>
      </w:r>
      <w:r>
        <w:fldChar w:fldCharType="separate"/>
      </w:r>
      <w:r w:rsidRPr="00D253B5">
        <w:rPr>
          <w:rStyle w:val="Hyperlink"/>
        </w:rPr>
        <w:t>www.ons.gov.uk/peoplepopulationandcommunity/crimeandjustice/bulletins/crimeinenglandandwales/yearendingmarch2025</w:t>
      </w:r>
      <w:r>
        <w:fldChar w:fldCharType="end"/>
      </w:r>
      <w:r>
        <w:t>&gt;  accessed on 31 August 2025</w:t>
      </w:r>
    </w:p>
  </w:footnote>
  <w:footnote w:id="18">
    <w:p w:rsidR="00111FC9" w:rsidP="00FB5DD7">
      <w:pPr>
        <w:pStyle w:val="EndnoteText"/>
      </w:pPr>
      <w:r>
        <w:rPr>
          <w:rStyle w:val="FootnoteReference"/>
        </w:rPr>
        <w:footnoteRef/>
      </w:r>
      <w:r>
        <w:t xml:space="preserve"> Joe Coughlan ‘Two-fifths of Mobile Phone Thefts in Europe Happen in UK, Shows Insurance Data’ (The Guardian 26 July 2025) &lt;</w:t>
      </w:r>
      <w:r>
        <w:fldChar w:fldCharType="begin"/>
      </w:r>
      <w:r>
        <w:instrText xml:space="preserve"> HYPERLINK "https://www.theguardian.com/technology/2025/jul/26/mobile-phone-theft-europe-uk-police" </w:instrText>
      </w:r>
      <w:r>
        <w:fldChar w:fldCharType="separate"/>
      </w:r>
      <w:r w:rsidRPr="00516BDD">
        <w:rPr>
          <w:rStyle w:val="Hyperlink"/>
        </w:rPr>
        <w:t>www.theguardian.com/technology/2025/jul/26/mobile-phone-theft-europe-uk-police</w:t>
      </w:r>
      <w:r>
        <w:fldChar w:fldCharType="end"/>
      </w:r>
      <w:r>
        <w:t>&gt; accessed on 31 August 2025</w:t>
      </w:r>
    </w:p>
  </w:footnote>
  <w:footnote w:id="19">
    <w:p w:rsidR="00111FC9" w:rsidRPr="00A93E5B" w:rsidP="00A93E5B">
      <w:pPr>
        <w:pStyle w:val="EndnoteText"/>
        <w:rPr>
          <w:rStyle w:val="EndnoteReference"/>
          <w:vertAlign w:val="baseline"/>
        </w:rPr>
      </w:pPr>
      <w:r>
        <w:rPr>
          <w:rStyle w:val="FootnoteReference"/>
        </w:rPr>
        <w:footnoteRef/>
      </w:r>
      <w:r>
        <w:t xml:space="preserve"> Regulation (EU) 2024/1689 of The European Parliament and of The Council of 13 June 2024 Laying Down Harmonised Rules on Artificial Intelligence and Amending Regulations (EC) No 300/2008, (EU) No 167/2013, (EU) No 168/2013, (EU) 2018/858, (EU) 2018/1139 and (EU) 2019/2144 and Directives 2014/90/EU, (EU) 2016/797 and (EU) 2020/1828 (Artificial Intelligence ACT) Art 51</w:t>
      </w:r>
    </w:p>
  </w:footnote>
  <w:footnote w:id="20">
    <w:p w:rsidR="00111FC9" w:rsidP="00A72014">
      <w:pPr>
        <w:pStyle w:val="EndnoteText"/>
      </w:pPr>
      <w:r>
        <w:rPr>
          <w:rStyle w:val="FootnoteReference"/>
        </w:rPr>
        <w:footnoteRef/>
      </w:r>
      <w:r>
        <w:t xml:space="preserve"> European Commission ‘The General-Purpose AI Code of Practice’ (European Commission 2025) &lt;</w:t>
      </w:r>
      <w:r w:rsidRPr="00026A3D">
        <w:rPr>
          <w:rFonts w:ascii="Arial" w:hAnsi="Arial" w:cs="Arial"/>
          <w:color w:val="1C1C1C"/>
          <w:shd w:val="clear" w:color="auto" w:fill="FFFFFF"/>
        </w:rPr>
        <w:t>https://digital-strategy.ec.europa.eu/en/policies/contents-code-gpai</w:t>
      </w:r>
      <w:r>
        <w:rPr>
          <w:rFonts w:ascii="Arial" w:hAnsi="Arial" w:cs="Arial"/>
          <w:color w:val="1C1C1C"/>
          <w:shd w:val="clear" w:color="auto" w:fill="FFFFFF"/>
        </w:rPr>
        <w:t>&gt; accessed on 4 September 2025</w:t>
      </w:r>
    </w:p>
  </w:footnote>
  <w:footnote w:id="21">
    <w:p w:rsidR="00111FC9" w:rsidP="00023BD4">
      <w:pPr>
        <w:pStyle w:val="EndnoteText"/>
      </w:pPr>
      <w:r>
        <w:rPr>
          <w:rStyle w:val="FootnoteReference"/>
        </w:rPr>
        <w:footnoteRef/>
      </w:r>
      <w:r>
        <w:t xml:space="preserve"> EU AI Act Art 5 (h)</w:t>
      </w:r>
    </w:p>
  </w:footnote>
  <w:footnote w:id="22">
    <w:p w:rsidR="00111FC9" w:rsidP="00091077">
      <w:pPr>
        <w:pStyle w:val="EndnoteText"/>
      </w:pPr>
      <w:r>
        <w:rPr>
          <w:rStyle w:val="FootnoteReference"/>
        </w:rPr>
        <w:footnoteRef/>
      </w:r>
      <w:r>
        <w:t xml:space="preserve"> EU GDPR, Art 97</w:t>
      </w:r>
    </w:p>
  </w:footnote>
  <w:footnote w:id="23">
    <w:p w:rsidR="00111FC9" w:rsidP="00A459A2">
      <w:pPr>
        <w:pStyle w:val="EndnoteText"/>
      </w:pPr>
      <w:r>
        <w:rPr>
          <w:rStyle w:val="FootnoteReference"/>
        </w:rPr>
        <w:footnoteRef/>
      </w:r>
      <w:r>
        <w:t xml:space="preserve"> EU AI Act Art 55 (1) (c)</w:t>
      </w:r>
    </w:p>
  </w:footnote>
  <w:footnote w:id="24">
    <w:p w:rsidR="00111FC9" w:rsidP="00A33344">
      <w:pPr>
        <w:pStyle w:val="EndnoteText"/>
      </w:pPr>
      <w:r>
        <w:rPr>
          <w:rStyle w:val="FootnoteReference"/>
        </w:rPr>
        <w:footnoteRef/>
      </w:r>
      <w:r>
        <w:t xml:space="preserve"> Department for Science, Innovation &amp; Technology ‘A Pro-Innovation Approach to AI Regulation’ (OGL 2023) 69 </w:t>
      </w:r>
    </w:p>
  </w:footnote>
  <w:footnote w:id="25">
    <w:p w:rsidR="00111FC9" w:rsidP="0005215B">
      <w:pPr>
        <w:pStyle w:val="EndnoteText"/>
      </w:pPr>
      <w:r>
        <w:rPr>
          <w:rStyle w:val="FootnoteReference"/>
        </w:rPr>
        <w:footnoteRef/>
      </w:r>
      <w:r>
        <w:t xml:space="preserve"> Joel R. McConvey ‘Police Use of Facial Recognition Continues to Raise Public Concerns’ (Biometric Update.com 2025) &lt;</w:t>
      </w:r>
      <w:r>
        <w:fldChar w:fldCharType="begin"/>
      </w:r>
      <w:r>
        <w:instrText xml:space="preserve"> HYPERLINK "http://www.biometricupdate.com/202505/police-use-of-facial-recognition-continues-to-raise-public-concerns" </w:instrText>
      </w:r>
      <w:r>
        <w:fldChar w:fldCharType="separate"/>
      </w:r>
      <w:r w:rsidRPr="005B1A00">
        <w:rPr>
          <w:rStyle w:val="Hyperlink"/>
        </w:rPr>
        <w:t>www.biometricupdate.com/202505/police-use-of-facial-recognition-continues-to-raise-public-concerns</w:t>
      </w:r>
      <w:r>
        <w:fldChar w:fldCharType="end"/>
      </w:r>
      <w:r>
        <w:t>&gt; accessed on 4 September 2025</w:t>
      </w:r>
    </w:p>
  </w:footnote>
  <w:footnote w:id="26">
    <w:p w:rsidR="00111FC9" w:rsidP="00450A41">
      <w:pPr>
        <w:pStyle w:val="EndnoteText"/>
      </w:pPr>
      <w:r>
        <w:rPr>
          <w:rStyle w:val="FootnoteReference"/>
        </w:rPr>
        <w:footnoteRef/>
      </w:r>
      <w:r>
        <w:t xml:space="preserve"> EU AI Act Art 52</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drawingGridHorizontalSpacing w:val="120"/>
  <w:drawingGridVerticalSpacing w:val="163"/>
  <w:displayHorizontalDrawingGridEvery w:val="2"/>
  <w:displayVerticalDrawingGridEvery w:val="2"/>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GB"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A7023"/>
    <w:pPr>
      <w:ind w:firstLine="680"/>
    </w:pPr>
    <w:rPr>
      <w:rFonts w:asciiTheme="minorBidi" w:hAnsiTheme="minorBidi"/>
    </w:rPr>
  </w:style>
  <w:style w:type="paragraph" w:styleId="Heading1">
    <w:name w:val="heading 1"/>
    <w:basedOn w:val="Normal"/>
    <w:next w:val="Normal"/>
    <w:link w:val="Heading1Char"/>
    <w:uiPriority w:val="9"/>
    <w:qFormat/>
    <w:rsid w:val="00440486"/>
    <w:pPr>
      <w:keepNext/>
      <w:keepLines/>
      <w:spacing w:before="360" w:after="80"/>
      <w:ind w:firstLine="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40486"/>
    <w:pPr>
      <w:keepNext/>
      <w:keepLines/>
      <w:spacing w:before="160" w:after="80"/>
      <w:ind w:firstLine="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40486"/>
    <w:pPr>
      <w:keepNext/>
      <w:keepLines/>
      <w:spacing w:before="160" w:after="80"/>
      <w:ind w:firstLine="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40486"/>
    <w:pPr>
      <w:keepNext/>
      <w:keepLines/>
      <w:spacing w:before="80" w:after="40"/>
      <w:ind w:firstLine="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440486"/>
    <w:pPr>
      <w:keepNext/>
      <w:keepLines/>
      <w:spacing w:before="80" w:after="40"/>
      <w:ind w:firstLine="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440486"/>
    <w:pPr>
      <w:keepNext/>
      <w:keepLines/>
      <w:spacing w:before="40"/>
      <w:ind w:firstLine="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40486"/>
    <w:pPr>
      <w:keepNext/>
      <w:keepLines/>
      <w:spacing w:before="40"/>
      <w:ind w:firstLine="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40486"/>
    <w:pPr>
      <w:keepNext/>
      <w:keepLines/>
      <w:ind w:firstLine="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40486"/>
    <w:pPr>
      <w:keepNext/>
      <w:keepLines/>
      <w:ind w:firstLine="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048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4048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4048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4048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4048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4048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048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048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0486"/>
    <w:rPr>
      <w:rFonts w:eastAsiaTheme="majorEastAsia" w:cstheme="majorBidi"/>
      <w:color w:val="272727" w:themeColor="text1" w:themeTint="D8"/>
    </w:rPr>
  </w:style>
  <w:style w:type="paragraph" w:styleId="Title">
    <w:name w:val="Title"/>
    <w:basedOn w:val="Normal"/>
    <w:next w:val="Normal"/>
    <w:link w:val="TitleChar"/>
    <w:uiPriority w:val="10"/>
    <w:qFormat/>
    <w:rsid w:val="00440486"/>
    <w:pPr>
      <w:spacing w:after="80" w:line="240" w:lineRule="auto"/>
      <w:ind w:firstLine="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04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0486"/>
    <w:pPr>
      <w:numPr>
        <w:ilvl w:val="1"/>
      </w:numPr>
      <w:spacing w:after="160"/>
      <w:ind w:firstLine="72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048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0486"/>
    <w:pPr>
      <w:spacing w:before="160" w:after="160"/>
      <w:ind w:firstLine="0"/>
      <w:jc w:val="center"/>
    </w:pPr>
    <w:rPr>
      <w:rFonts w:asciiTheme="minorHAnsi" w:hAnsiTheme="minorHAnsi"/>
      <w:i/>
      <w:iCs/>
      <w:color w:val="404040" w:themeColor="text1" w:themeTint="BF"/>
    </w:rPr>
  </w:style>
  <w:style w:type="character" w:customStyle="1" w:styleId="QuoteChar">
    <w:name w:val="Quote Char"/>
    <w:basedOn w:val="DefaultParagraphFont"/>
    <w:link w:val="Quote"/>
    <w:uiPriority w:val="29"/>
    <w:rsid w:val="00440486"/>
    <w:rPr>
      <w:i/>
      <w:iCs/>
      <w:color w:val="404040" w:themeColor="text1" w:themeTint="BF"/>
    </w:rPr>
  </w:style>
  <w:style w:type="paragraph" w:styleId="ListParagraph">
    <w:name w:val="List Paragraph"/>
    <w:basedOn w:val="Normal"/>
    <w:uiPriority w:val="34"/>
    <w:qFormat/>
    <w:rsid w:val="00440486"/>
    <w:pPr>
      <w:ind w:left="720" w:firstLine="0"/>
      <w:contextualSpacing/>
    </w:pPr>
    <w:rPr>
      <w:rFonts w:asciiTheme="minorHAnsi" w:hAnsiTheme="minorHAnsi"/>
    </w:rPr>
  </w:style>
  <w:style w:type="character" w:styleId="IntenseEmphasis">
    <w:name w:val="Intense Emphasis"/>
    <w:basedOn w:val="DefaultParagraphFont"/>
    <w:uiPriority w:val="21"/>
    <w:qFormat/>
    <w:rsid w:val="00440486"/>
    <w:rPr>
      <w:i/>
      <w:iCs/>
      <w:color w:val="0F4761" w:themeColor="accent1" w:themeShade="BF"/>
    </w:rPr>
  </w:style>
  <w:style w:type="paragraph" w:styleId="IntenseQuote">
    <w:name w:val="Intense Quote"/>
    <w:basedOn w:val="Normal"/>
    <w:next w:val="Normal"/>
    <w:link w:val="IntenseQuoteChar"/>
    <w:uiPriority w:val="30"/>
    <w:qFormat/>
    <w:rsid w:val="00440486"/>
    <w:pPr>
      <w:pBdr>
        <w:top w:val="single" w:sz="4" w:space="10" w:color="0F4761" w:themeColor="accent1" w:themeShade="BF"/>
        <w:bottom w:val="single" w:sz="4" w:space="10" w:color="0F4761" w:themeColor="accent1" w:themeShade="BF"/>
      </w:pBdr>
      <w:spacing w:before="360" w:after="360"/>
      <w:ind w:left="864" w:right="864" w:firstLine="0"/>
      <w:jc w:val="center"/>
    </w:pPr>
    <w:rPr>
      <w:rFonts w:asciiTheme="minorHAnsi" w:hAnsiTheme="minorHAnsi"/>
      <w:i/>
      <w:iCs/>
      <w:color w:val="0F4761" w:themeColor="accent1" w:themeShade="BF"/>
    </w:rPr>
  </w:style>
  <w:style w:type="character" w:customStyle="1" w:styleId="IntenseQuoteChar">
    <w:name w:val="Intense Quote Char"/>
    <w:basedOn w:val="DefaultParagraphFont"/>
    <w:link w:val="IntenseQuote"/>
    <w:uiPriority w:val="30"/>
    <w:rsid w:val="00440486"/>
    <w:rPr>
      <w:i/>
      <w:iCs/>
      <w:color w:val="0F4761" w:themeColor="accent1" w:themeShade="BF"/>
    </w:rPr>
  </w:style>
  <w:style w:type="character" w:styleId="IntenseReference">
    <w:name w:val="Intense Reference"/>
    <w:basedOn w:val="DefaultParagraphFont"/>
    <w:uiPriority w:val="32"/>
    <w:qFormat/>
    <w:rsid w:val="00440486"/>
    <w:rPr>
      <w:b/>
      <w:bCs/>
      <w:smallCaps/>
      <w:color w:val="0F4761" w:themeColor="accent1" w:themeShade="BF"/>
      <w:spacing w:val="5"/>
    </w:rPr>
  </w:style>
  <w:style w:type="character" w:styleId="FootnoteReference">
    <w:name w:val="footnote reference"/>
    <w:basedOn w:val="DefaultParagraphFont"/>
    <w:uiPriority w:val="99"/>
    <w:unhideWhenUsed/>
    <w:rsid w:val="00440486"/>
    <w:rPr>
      <w:vertAlign w:val="superscript"/>
    </w:rPr>
  </w:style>
  <w:style w:type="paragraph" w:styleId="EndnoteText">
    <w:name w:val="endnote text"/>
    <w:basedOn w:val="Normal"/>
    <w:link w:val="EndnoteTextChar"/>
    <w:uiPriority w:val="99"/>
    <w:unhideWhenUsed/>
    <w:rsid w:val="00440486"/>
    <w:pPr>
      <w:keepNext/>
      <w:keepLines/>
      <w:pageBreakBefore/>
      <w:widowControl w:val="0"/>
      <w:spacing w:line="240" w:lineRule="auto"/>
      <w:ind w:firstLine="0"/>
    </w:pPr>
    <w:rPr>
      <w:rFonts w:ascii="Calibri" w:hAnsi="Calibri"/>
      <w:sz w:val="20"/>
      <w:szCs w:val="20"/>
    </w:rPr>
  </w:style>
  <w:style w:type="character" w:customStyle="1" w:styleId="EndnoteTextChar">
    <w:name w:val="Endnote Text Char"/>
    <w:basedOn w:val="DefaultParagraphFont"/>
    <w:link w:val="EndnoteText"/>
    <w:uiPriority w:val="99"/>
    <w:rsid w:val="00440486"/>
    <w:rPr>
      <w:rFonts w:ascii="Calibri" w:hAnsi="Calibri"/>
      <w:sz w:val="20"/>
      <w:szCs w:val="20"/>
    </w:rPr>
  </w:style>
  <w:style w:type="character" w:styleId="Hyperlink">
    <w:name w:val="Hyperlink"/>
    <w:basedOn w:val="DefaultParagraphFont"/>
    <w:uiPriority w:val="99"/>
    <w:unhideWhenUsed/>
    <w:rsid w:val="00440486"/>
    <w:rPr>
      <w:color w:val="467886" w:themeColor="hyperlink"/>
      <w:u w:val="single"/>
    </w:rPr>
  </w:style>
  <w:style w:type="character" w:styleId="CommentReference">
    <w:name w:val="annotation reference"/>
    <w:basedOn w:val="DefaultParagraphFont"/>
    <w:uiPriority w:val="99"/>
    <w:semiHidden/>
    <w:unhideWhenUsed/>
    <w:rsid w:val="00B60E5B"/>
    <w:rPr>
      <w:sz w:val="16"/>
      <w:szCs w:val="16"/>
    </w:rPr>
  </w:style>
  <w:style w:type="paragraph" w:styleId="CommentText">
    <w:name w:val="annotation text"/>
    <w:basedOn w:val="Normal"/>
    <w:link w:val="CommentTextChar"/>
    <w:uiPriority w:val="99"/>
    <w:semiHidden/>
    <w:unhideWhenUsed/>
    <w:rsid w:val="00B60E5B"/>
    <w:pPr>
      <w:spacing w:line="240" w:lineRule="auto"/>
    </w:pPr>
    <w:rPr>
      <w:sz w:val="20"/>
      <w:szCs w:val="20"/>
    </w:rPr>
  </w:style>
  <w:style w:type="character" w:customStyle="1" w:styleId="CommentTextChar">
    <w:name w:val="Comment Text Char"/>
    <w:basedOn w:val="DefaultParagraphFont"/>
    <w:link w:val="CommentText"/>
    <w:uiPriority w:val="99"/>
    <w:semiHidden/>
    <w:rsid w:val="00B60E5B"/>
    <w:rPr>
      <w:rFonts w:asciiTheme="minorBidi" w:hAnsiTheme="minorBidi"/>
      <w:sz w:val="20"/>
      <w:szCs w:val="20"/>
    </w:rPr>
  </w:style>
  <w:style w:type="paragraph" w:styleId="CommentSubject">
    <w:name w:val="annotation subject"/>
    <w:basedOn w:val="CommentText"/>
    <w:next w:val="CommentText"/>
    <w:link w:val="CommentSubjectChar"/>
    <w:uiPriority w:val="99"/>
    <w:semiHidden/>
    <w:unhideWhenUsed/>
    <w:rsid w:val="00B60E5B"/>
    <w:rPr>
      <w:b/>
      <w:bCs/>
    </w:rPr>
  </w:style>
  <w:style w:type="character" w:customStyle="1" w:styleId="CommentSubjectChar">
    <w:name w:val="Comment Subject Char"/>
    <w:basedOn w:val="CommentTextChar"/>
    <w:link w:val="CommentSubject"/>
    <w:uiPriority w:val="99"/>
    <w:semiHidden/>
    <w:rsid w:val="00B60E5B"/>
    <w:rPr>
      <w:rFonts w:asciiTheme="minorBidi" w:hAnsiTheme="minorBidi"/>
      <w:b/>
      <w:bCs/>
      <w:sz w:val="20"/>
      <w:szCs w:val="20"/>
    </w:rPr>
  </w:style>
  <w:style w:type="character" w:styleId="EndnoteReference">
    <w:name w:val="endnote reference"/>
    <w:basedOn w:val="DefaultParagraphFont"/>
    <w:uiPriority w:val="99"/>
    <w:unhideWhenUsed/>
    <w:rsid w:val="00705477"/>
    <w:rPr>
      <w:rFonts w:ascii="Calibri" w:hAnsi="Calibri"/>
      <w:sz w:val="20"/>
      <w:vertAlign w:val="superscript"/>
    </w:rPr>
  </w:style>
  <w:style w:type="paragraph" w:styleId="Footer">
    <w:name w:val="footer"/>
    <w:basedOn w:val="Normal"/>
    <w:link w:val="FooterChar"/>
    <w:uiPriority w:val="99"/>
    <w:unhideWhenUsed/>
    <w:rsid w:val="00CC09D6"/>
    <w:pPr>
      <w:tabs>
        <w:tab w:val="center" w:pos="4513"/>
        <w:tab w:val="right" w:pos="9026"/>
      </w:tabs>
      <w:spacing w:line="240" w:lineRule="auto"/>
    </w:pPr>
  </w:style>
  <w:style w:type="character" w:customStyle="1" w:styleId="FooterChar">
    <w:name w:val="Footer Char"/>
    <w:basedOn w:val="DefaultParagraphFont"/>
    <w:link w:val="Footer"/>
    <w:uiPriority w:val="99"/>
    <w:rsid w:val="00CC09D6"/>
    <w:rPr>
      <w:rFonts w:asciiTheme="minorBidi" w:hAnsiTheme="minorBidi"/>
    </w:rPr>
  </w:style>
  <w:style w:type="character" w:styleId="PageNumber">
    <w:name w:val="page number"/>
    <w:basedOn w:val="DefaultParagraphFont"/>
    <w:uiPriority w:val="99"/>
    <w:semiHidden/>
    <w:unhideWhenUsed/>
    <w:rsid w:val="00CC09D6"/>
  </w:style>
  <w:style w:type="paragraph" w:styleId="Header">
    <w:name w:val="header"/>
    <w:basedOn w:val="Normal"/>
    <w:link w:val="HeaderChar"/>
    <w:uiPriority w:val="99"/>
    <w:unhideWhenUsed/>
    <w:rsid w:val="00150CF9"/>
    <w:pPr>
      <w:tabs>
        <w:tab w:val="center" w:pos="4513"/>
        <w:tab w:val="right" w:pos="9026"/>
      </w:tabs>
      <w:spacing w:line="240" w:lineRule="auto"/>
    </w:pPr>
  </w:style>
  <w:style w:type="character" w:customStyle="1" w:styleId="HeaderChar">
    <w:name w:val="Header Char"/>
    <w:basedOn w:val="DefaultParagraphFont"/>
    <w:link w:val="Header"/>
    <w:uiPriority w:val="99"/>
    <w:rsid w:val="00150CF9"/>
    <w:rPr>
      <w:rFonts w:asciiTheme="minorBidi" w:hAnsiTheme="minorBidi"/>
    </w:rPr>
  </w:style>
  <w:style w:type="paragraph" w:styleId="FootnoteText">
    <w:name w:val="footnote text"/>
    <w:basedOn w:val="Normal"/>
    <w:link w:val="FootnoteTextChar"/>
    <w:uiPriority w:val="99"/>
    <w:semiHidden/>
    <w:unhideWhenUsed/>
    <w:rsid w:val="00237EAF"/>
    <w:pPr>
      <w:spacing w:line="240" w:lineRule="auto"/>
    </w:pPr>
    <w:rPr>
      <w:sz w:val="20"/>
      <w:szCs w:val="20"/>
    </w:rPr>
  </w:style>
  <w:style w:type="character" w:customStyle="1" w:styleId="FootnoteTextChar">
    <w:name w:val="Footnote Text Char"/>
    <w:basedOn w:val="DefaultParagraphFont"/>
    <w:link w:val="FootnoteText"/>
    <w:uiPriority w:val="99"/>
    <w:semiHidden/>
    <w:rsid w:val="00237EAF"/>
    <w:rPr>
      <w:rFonts w:asciiTheme="minorBidi" w:hAnsiTheme="minorBidi"/>
      <w:sz w:val="20"/>
      <w:szCs w:val="20"/>
    </w:rPr>
  </w:style>
  <w:style w:type="character" w:customStyle="1" w:styleId="UnresolvedMention1">
    <w:name w:val="Unresolved Mention1"/>
    <w:basedOn w:val="DefaultParagraphFont"/>
    <w:uiPriority w:val="99"/>
    <w:semiHidden/>
    <w:unhideWhenUsed/>
    <w:rsid w:val="00237E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omments" Target="comments.xml" /><Relationship Id="rId7" Type="http://schemas.openxmlformats.org/officeDocument/2006/relationships/footer" Target="footer1.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4DC73D-A445-B64A-85D4-777C998A550B}">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RAI0025</dc:title>
  <cp:revision>0</cp:revision>
</cp:coreProperties>
</file>