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5F59" w:rsidRPr="0030744B" w:rsidP="008468E8">
      <w:pPr>
        <w:jc w:val="center"/>
        <w:rPr>
          <w:rFonts w:asciiTheme="majorHAnsi" w:hAnsiTheme="majorHAnsi" w:cstheme="majorHAnsi"/>
          <w:b/>
        </w:rPr>
      </w:pPr>
      <w:r>
        <w:rPr>
          <w:rFonts w:asciiTheme="majorHAnsi" w:hAnsiTheme="majorHAnsi" w:cstheme="majorHAnsi"/>
          <w:b/>
        </w:rPr>
        <w:t xml:space="preserve">WRITTEN EVIDENCE SUBMITTED BY </w:t>
      </w:r>
      <w:r w:rsidRPr="0030744B">
        <w:rPr>
          <w:rFonts w:asciiTheme="majorHAnsi" w:hAnsiTheme="majorHAnsi" w:cstheme="majorHAnsi"/>
          <w:b/>
        </w:rPr>
        <w:t>DR CAMILLA PARKER KC (HON)</w:t>
      </w:r>
    </w:p>
    <w:p w:rsidR="0030744B" w:rsidRPr="0030744B" w:rsidP="008468E8">
      <w:pPr>
        <w:jc w:val="center"/>
        <w:rPr>
          <w:rFonts w:asciiTheme="majorHAnsi" w:hAnsiTheme="majorHAnsi" w:cstheme="majorHAnsi"/>
          <w:b/>
        </w:rPr>
      </w:pPr>
      <w:r w:rsidRPr="0030744B">
        <w:rPr>
          <w:rFonts w:asciiTheme="majorHAnsi" w:hAnsiTheme="majorHAnsi" w:cstheme="majorHAnsi"/>
          <w:b/>
        </w:rPr>
        <w:t>(CSC0082)</w:t>
      </w:r>
    </w:p>
    <w:p w:rsidR="00675F59" w:rsidP="008468E8">
      <w:pPr>
        <w:jc w:val="center"/>
        <w:rPr>
          <w:b/>
          <w:color w:val="000000" w:themeColor="text1"/>
        </w:rPr>
      </w:pPr>
    </w:p>
    <w:p w:rsidR="00675F59" w:rsidRPr="001D6792" w:rsidP="008468E8">
      <w:pPr>
        <w:jc w:val="center"/>
        <w:rPr>
          <w:b/>
          <w:color w:val="000000" w:themeColor="text1"/>
        </w:rPr>
      </w:pPr>
    </w:p>
    <w:p w:rsidR="00675F59" w:rsidRPr="001D6792" w:rsidP="00B04653">
      <w:pPr>
        <w:jc w:val="both"/>
        <w:rPr>
          <w:b/>
          <w:bCs/>
          <w:color w:val="000000" w:themeColor="text1"/>
        </w:rPr>
      </w:pPr>
      <w:r w:rsidRPr="001D6792">
        <w:rPr>
          <w:b/>
          <w:bCs/>
          <w:color w:val="000000" w:themeColor="text1"/>
        </w:rPr>
        <w:t xml:space="preserve">Introduction  </w:t>
      </w:r>
    </w:p>
    <w:p w:rsidR="00675F59" w:rsidRPr="001D6792" w:rsidP="00B04653">
      <w:pPr>
        <w:jc w:val="both"/>
        <w:rPr>
          <w:color w:val="000000" w:themeColor="text1"/>
        </w:rPr>
      </w:pPr>
    </w:p>
    <w:p w:rsidR="00675F59" w:rsidRPr="001D6792" w:rsidP="00A72AE5">
      <w:pPr>
        <w:pStyle w:val="ListParagraph"/>
        <w:numPr>
          <w:ilvl w:val="0"/>
          <w:numId w:val="49"/>
        </w:numPr>
        <w:jc w:val="both"/>
        <w:rPr>
          <w:rFonts w:ascii="Times New Roman" w:hAnsi="Times New Roman" w:cs="Times New Roman"/>
        </w:rPr>
      </w:pPr>
      <w:r w:rsidRPr="001D6792">
        <w:rPr>
          <w:rFonts w:ascii="Times New Roman" w:hAnsi="Times New Roman" w:cs="Times New Roman"/>
          <w:color w:val="000000" w:themeColor="text1"/>
        </w:rPr>
        <w:t>This submission focuses on the following three areas which will be of particular importance to children and young people aged under 18 (‘children and young people’) within the social care system who have mental health needs:</w:t>
      </w:r>
    </w:p>
    <w:p w:rsidR="00675F59" w:rsidRPr="001D6792" w:rsidP="00531FE0">
      <w:pPr>
        <w:jc w:val="both"/>
        <w:rPr>
          <w:color w:val="000000" w:themeColor="text1"/>
        </w:rPr>
      </w:pPr>
    </w:p>
    <w:p w:rsidR="00675F59" w:rsidRPr="001D6792" w:rsidP="00A72AE5">
      <w:pPr>
        <w:pStyle w:val="ListParagraph"/>
        <w:numPr>
          <w:ilvl w:val="0"/>
          <w:numId w:val="34"/>
        </w:numPr>
        <w:ind w:left="720"/>
        <w:jc w:val="both"/>
        <w:rPr>
          <w:rFonts w:ascii="Times New Roman" w:hAnsi="Times New Roman" w:cs="Times New Roman"/>
          <w:b/>
          <w:bCs/>
        </w:rPr>
      </w:pPr>
      <w:r w:rsidRPr="001D6792">
        <w:rPr>
          <w:rFonts w:ascii="Times New Roman" w:hAnsi="Times New Roman" w:cs="Times New Roman"/>
          <w:b/>
          <w:bCs/>
        </w:rPr>
        <w:t>The need for a statutory test to determine a child or young person’s ability to decide:</w:t>
      </w:r>
      <w:r w:rsidRPr="001D6792">
        <w:rPr>
          <w:rFonts w:ascii="Times New Roman" w:hAnsi="Times New Roman" w:cs="Times New Roman"/>
        </w:rPr>
        <w:t xml:space="preserve"> given the lack of a clear and consistent test within the current legal framework, legislation should provide a test that practitioners can apply when seeking to determine whether a child is able to make decisions relevant to their social care.  This will help to facilitate children and young peoples’ participation in decisions about their social care which is relevant to the following rights: Article 8 of the European Convention on Human Rights (ECHR); Article 12 of the UN Convention on the Rights of the Child (UNCRC) and Article 7 of the UN Convention on the Rights of Persons with Disabilities (UNCRPD). </w:t>
      </w:r>
    </w:p>
    <w:p w:rsidR="00675F59" w:rsidRPr="001D6792" w:rsidP="00A72AE5">
      <w:pPr>
        <w:pStyle w:val="ListParagraph"/>
        <w:jc w:val="both"/>
        <w:rPr>
          <w:rFonts w:ascii="Times New Roman" w:hAnsi="Times New Roman" w:cs="Times New Roman"/>
          <w:b/>
          <w:bCs/>
        </w:rPr>
      </w:pPr>
    </w:p>
    <w:p w:rsidR="00675F59" w:rsidRPr="001D6792" w:rsidP="00A72AE5">
      <w:pPr>
        <w:pStyle w:val="ListParagraph"/>
        <w:numPr>
          <w:ilvl w:val="0"/>
          <w:numId w:val="34"/>
        </w:numPr>
        <w:ind w:left="720"/>
        <w:jc w:val="both"/>
        <w:rPr>
          <w:rFonts w:ascii="Times New Roman" w:hAnsi="Times New Roman" w:cs="Times New Roman"/>
          <w:b/>
          <w:bCs/>
        </w:rPr>
      </w:pPr>
      <w:r w:rsidRPr="001D6792">
        <w:rPr>
          <w:rFonts w:ascii="Times New Roman" w:hAnsi="Times New Roman" w:cs="Times New Roman"/>
          <w:b/>
          <w:bCs/>
        </w:rPr>
        <w:t xml:space="preserve">Determining a deprivation of liberty (children and parental consent): </w:t>
      </w:r>
      <w:r w:rsidRPr="001D6792">
        <w:rPr>
          <w:rFonts w:ascii="Times New Roman" w:hAnsi="Times New Roman" w:cs="Times New Roman"/>
        </w:rPr>
        <w:t>it is of concern that children aged under 16 may be placed in settings where they are subject to restrictions that exceed normal parental control but are not deemed to be deprived of their liberty for the purpose of Article 5 ECHR because their parents have consented to such restrictions.</w:t>
      </w:r>
    </w:p>
    <w:p w:rsidR="00675F59" w:rsidRPr="001D6792" w:rsidP="00A72AE5">
      <w:pPr>
        <w:ind w:left="360"/>
        <w:jc w:val="both"/>
        <w:rPr>
          <w:b/>
          <w:bCs/>
        </w:rPr>
      </w:pPr>
    </w:p>
    <w:p w:rsidR="00675F59" w:rsidRPr="001D6792" w:rsidP="00A72AE5">
      <w:pPr>
        <w:pStyle w:val="ListParagraph"/>
        <w:numPr>
          <w:ilvl w:val="0"/>
          <w:numId w:val="34"/>
        </w:numPr>
        <w:ind w:left="720"/>
        <w:jc w:val="both"/>
        <w:rPr>
          <w:rFonts w:ascii="Times New Roman" w:hAnsi="Times New Roman" w:cs="Times New Roman"/>
          <w:color w:val="000000" w:themeColor="text1"/>
        </w:rPr>
      </w:pPr>
      <w:r w:rsidRPr="001D6792">
        <w:rPr>
          <w:rFonts w:ascii="Times New Roman" w:hAnsi="Times New Roman" w:cs="Times New Roman"/>
          <w:b/>
        </w:rPr>
        <w:t xml:space="preserve">In-patient Psychiatric Care: Connections with Social Care: </w:t>
      </w:r>
      <w:r w:rsidRPr="001D6792">
        <w:rPr>
          <w:rFonts w:ascii="Times New Roman" w:hAnsi="Times New Roman" w:cs="Times New Roman"/>
        </w:rPr>
        <w:t xml:space="preserve">children and young people within the social care system who have significant mental health needs may move between NHS care settings and local authority care settings. This is an area in which a range of legal and policy frameworks may apply, but how they relate to one another is not always understood. </w:t>
      </w:r>
    </w:p>
    <w:p w:rsidR="00675F59" w:rsidRPr="001D6792" w:rsidP="00922A2A">
      <w:pPr>
        <w:pStyle w:val="ListParagraph"/>
        <w:rPr>
          <w:rFonts w:ascii="Times New Roman" w:hAnsi="Times New Roman" w:cs="Times New Roman"/>
          <w:color w:val="000000" w:themeColor="text1"/>
        </w:rPr>
      </w:pPr>
    </w:p>
    <w:p w:rsidR="00675F59" w:rsidRPr="001D6792" w:rsidP="00531FE0">
      <w:pPr>
        <w:jc w:val="both"/>
        <w:rPr>
          <w:color w:val="000000" w:themeColor="text1"/>
        </w:rPr>
      </w:pPr>
    </w:p>
    <w:p w:rsidR="00675F59" w:rsidRPr="001D6792" w:rsidP="00463694">
      <w:pPr>
        <w:jc w:val="both"/>
        <w:rPr>
          <w:i/>
          <w:iCs/>
          <w:color w:val="000000" w:themeColor="text1"/>
        </w:rPr>
      </w:pPr>
      <w:r w:rsidRPr="001D6792">
        <w:rPr>
          <w:i/>
          <w:iCs/>
          <w:color w:val="000000" w:themeColor="text1"/>
        </w:rPr>
        <w:t xml:space="preserve">My background and specialism </w:t>
      </w:r>
    </w:p>
    <w:p w:rsidR="00675F59" w:rsidRPr="001D6792" w:rsidP="00463694">
      <w:pPr>
        <w:jc w:val="both"/>
        <w:rPr>
          <w:i/>
          <w:iCs/>
          <w:color w:val="000000" w:themeColor="text1"/>
        </w:rPr>
      </w:pPr>
    </w:p>
    <w:p w:rsidR="00675F59" w:rsidRPr="001D6792" w:rsidP="00A72AE5">
      <w:pPr>
        <w:pStyle w:val="ListParagraph"/>
        <w:numPr>
          <w:ilvl w:val="0"/>
          <w:numId w:val="49"/>
        </w:numPr>
        <w:jc w:val="both"/>
        <w:rPr>
          <w:rFonts w:ascii="Times New Roman" w:hAnsi="Times New Roman" w:cs="Times New Roman"/>
          <w:color w:val="000000" w:themeColor="text1"/>
        </w:rPr>
      </w:pPr>
      <w:r w:rsidRPr="001D6792">
        <w:rPr>
          <w:rFonts w:ascii="Times New Roman" w:hAnsi="Times New Roman" w:cs="Times New Roman"/>
          <w:color w:val="000000" w:themeColor="text1"/>
        </w:rPr>
        <w:t xml:space="preserve">I am a lawyer and through my independent legal and policy </w:t>
      </w:r>
      <w:r w:rsidRPr="000D5F2D">
        <w:rPr>
          <w:rFonts w:ascii="Times New Roman" w:hAnsi="Times New Roman" w:cs="Times New Roman"/>
        </w:rPr>
        <w:t xml:space="preserve">consultancy, </w:t>
      </w:r>
      <w:r w:rsidRPr="000D5F2D">
        <w:rPr>
          <w:rFonts w:ascii="Times New Roman" w:hAnsi="Times New Roman" w:cs="Times New Roman"/>
          <w:i/>
        </w:rPr>
        <w:t>Just Equality</w:t>
      </w:r>
      <w:r w:rsidRPr="001D6792">
        <w:rPr>
          <w:rFonts w:ascii="Times New Roman" w:hAnsi="Times New Roman" w:cs="Times New Roman"/>
          <w:i/>
          <w:color w:val="000000" w:themeColor="text1"/>
        </w:rPr>
        <w:t>,</w:t>
      </w:r>
      <w:r w:rsidRPr="001D6792">
        <w:rPr>
          <w:rFonts w:ascii="Times New Roman" w:hAnsi="Times New Roman" w:cs="Times New Roman"/>
          <w:i/>
          <w:iCs/>
          <w:color w:val="00B0F0"/>
        </w:rPr>
        <w:t xml:space="preserve"> </w:t>
      </w:r>
      <w:r w:rsidRPr="001D6792">
        <w:rPr>
          <w:rFonts w:ascii="Times New Roman" w:hAnsi="Times New Roman" w:cs="Times New Roman"/>
          <w:color w:val="000000" w:themeColor="text1"/>
        </w:rPr>
        <w:t xml:space="preserve">I provide research, training and consultancy in the areas of mental health, human rights, capacity and consent.  My publications include </w:t>
      </w:r>
      <w:r w:rsidRPr="001D6792">
        <w:rPr>
          <w:rFonts w:ascii="Times New Roman" w:hAnsi="Times New Roman" w:cs="Times New Roman"/>
          <w:i/>
          <w:iCs/>
          <w:color w:val="000000" w:themeColor="text1"/>
        </w:rPr>
        <w:t xml:space="preserve">Adolescent Mental Health Care and the Law </w:t>
      </w:r>
      <w:r w:rsidRPr="001D6792">
        <w:rPr>
          <w:rFonts w:ascii="Times New Roman" w:hAnsi="Times New Roman" w:cs="Times New Roman"/>
          <w:color w:val="000000" w:themeColor="text1"/>
        </w:rPr>
        <w:t xml:space="preserve">(Legal Action Group 2020). I am a member of the Law Society’s Mental Health &amp; Disability Committee and the Children and Young People’s Mental Health Coalition. This submission is made in my personal capacity. </w:t>
      </w:r>
    </w:p>
    <w:p w:rsidR="00675F59" w:rsidRPr="001D6792" w:rsidP="00D536B0">
      <w:pPr>
        <w:jc w:val="both"/>
        <w:rPr>
          <w:color w:val="000000" w:themeColor="text1"/>
        </w:rPr>
      </w:pPr>
    </w:p>
    <w:p w:rsidR="00675F59" w:rsidRPr="001D6792" w:rsidP="00A72AE5">
      <w:pPr>
        <w:pStyle w:val="ListParagraph"/>
        <w:numPr>
          <w:ilvl w:val="0"/>
          <w:numId w:val="49"/>
        </w:numPr>
        <w:jc w:val="both"/>
        <w:rPr>
          <w:rFonts w:ascii="Times New Roman" w:hAnsi="Times New Roman" w:cs="Times New Roman"/>
          <w:color w:val="000000" w:themeColor="text1"/>
        </w:rPr>
      </w:pPr>
      <w:r w:rsidRPr="001D6792">
        <w:rPr>
          <w:rFonts w:ascii="Times New Roman" w:hAnsi="Times New Roman" w:cs="Times New Roman"/>
          <w:color w:val="000000" w:themeColor="text1"/>
        </w:rPr>
        <w:t xml:space="preserve">Much my work is focused on law and policy relevant to children and young people with mental health needs. Consideration of their entitlements to social care and the protection of their rights when in the social care system is therefore of huge importance and I am grateful to the Committee for establishing this inquiry.  </w:t>
      </w:r>
    </w:p>
    <w:p w:rsidR="00675F59" w:rsidRPr="001D6792" w:rsidP="00D536B0">
      <w:pPr>
        <w:jc w:val="both"/>
        <w:rPr>
          <w:color w:val="000000" w:themeColor="text1"/>
        </w:rPr>
      </w:pPr>
    </w:p>
    <w:p w:rsidR="00675F59" w:rsidRPr="001D6792">
      <w:pPr>
        <w:rPr>
          <w:rFonts w:eastAsiaTheme="minorHAnsi"/>
          <w:b/>
          <w:bCs/>
          <w:lang w:eastAsia="en-US"/>
        </w:rPr>
      </w:pPr>
    </w:p>
    <w:p w:rsidR="00675F59" w:rsidRPr="001D6792" w:rsidP="001544D1">
      <w:pPr>
        <w:pStyle w:val="ListParagraph"/>
        <w:numPr>
          <w:ilvl w:val="0"/>
          <w:numId w:val="40"/>
        </w:numPr>
        <w:jc w:val="both"/>
        <w:rPr>
          <w:rFonts w:ascii="Times New Roman" w:hAnsi="Times New Roman" w:cs="Times New Roman"/>
          <w:b/>
          <w:bCs/>
        </w:rPr>
      </w:pPr>
      <w:r w:rsidRPr="001D6792">
        <w:rPr>
          <w:rFonts w:ascii="Times New Roman" w:hAnsi="Times New Roman" w:cs="Times New Roman"/>
          <w:b/>
          <w:bCs/>
        </w:rPr>
        <w:t>The need for a statutory test to determine a child or young person’s ability to decide</w:t>
      </w:r>
    </w:p>
    <w:p w:rsidR="00675F59" w:rsidRPr="001D6792" w:rsidP="00531FE0">
      <w:pPr>
        <w:pStyle w:val="ListParagraph"/>
        <w:ind w:left="360"/>
        <w:jc w:val="both"/>
        <w:rPr>
          <w:rFonts w:ascii="Times New Roman" w:hAnsi="Times New Roman" w:cs="Times New Roman"/>
        </w:rPr>
      </w:pPr>
    </w:p>
    <w:p w:rsidR="00675F59" w:rsidRPr="001D6792" w:rsidP="00A72AE5">
      <w:pPr>
        <w:pStyle w:val="ListParagraph"/>
        <w:numPr>
          <w:ilvl w:val="0"/>
          <w:numId w:val="49"/>
        </w:numPr>
        <w:jc w:val="both"/>
        <w:rPr>
          <w:rFonts w:ascii="Times New Roman" w:hAnsi="Times New Roman" w:cs="Times New Roman"/>
          <w:color w:val="000000" w:themeColor="text1"/>
        </w:rPr>
      </w:pPr>
      <w:r w:rsidRPr="001D6792">
        <w:rPr>
          <w:rFonts w:ascii="Times New Roman" w:hAnsi="Times New Roman" w:cs="Times New Roman"/>
          <w:color w:val="000000" w:themeColor="text1"/>
        </w:rPr>
        <w:t xml:space="preserve">The provision of social care (e.g. help with personal care; providing accommodation) engages Article 8 ECHR as it will be of direct relevance to respect for a person’s private and family life.  Article 8 also engages the concept of ‘participation’, which is concerned with the extent to which the person is involved in decisions about their private and family life. It is therefore relevant to the extent to which children and young people are involved in </w:t>
      </w:r>
      <w:r w:rsidRPr="001D6792">
        <w:rPr>
          <w:rFonts w:ascii="Times New Roman" w:hAnsi="Times New Roman" w:cs="Times New Roman"/>
        </w:rPr>
        <w:t xml:space="preserve">decisions about their social care. </w:t>
      </w:r>
    </w:p>
    <w:p w:rsidR="00675F59" w:rsidRPr="001D6792" w:rsidP="00862DC3">
      <w:pPr>
        <w:jc w:val="both"/>
      </w:pPr>
    </w:p>
    <w:p w:rsidR="00675F59" w:rsidRPr="001D6792" w:rsidP="00A72AE5">
      <w:pPr>
        <w:pStyle w:val="ListParagraph"/>
        <w:numPr>
          <w:ilvl w:val="0"/>
          <w:numId w:val="49"/>
        </w:numPr>
        <w:jc w:val="both"/>
        <w:rPr>
          <w:rFonts w:ascii="Times New Roman" w:hAnsi="Times New Roman" w:cs="Times New Roman"/>
        </w:rPr>
      </w:pPr>
      <w:r w:rsidRPr="001D6792">
        <w:rPr>
          <w:rFonts w:ascii="Times New Roman" w:hAnsi="Times New Roman" w:cs="Times New Roman"/>
        </w:rPr>
        <w:t>Like the Independent Review of Children’s Social Care,</w:t>
      </w:r>
      <w:r>
        <w:rPr>
          <w:rStyle w:val="FootnoteReference"/>
          <w:rFonts w:ascii="Times New Roman" w:hAnsi="Times New Roman" w:cs="Times New Roman"/>
        </w:rPr>
        <w:footnoteReference w:id="2"/>
      </w:r>
      <w:r w:rsidRPr="001D6792">
        <w:rPr>
          <w:rFonts w:ascii="Times New Roman" w:hAnsi="Times New Roman" w:cs="Times New Roman"/>
        </w:rPr>
        <w:t xml:space="preserve"> the Law Commission considers that attempts to strengthen ‘the voice of the child’ in decision-making in the social care system have not been successful.</w:t>
      </w:r>
      <w:r>
        <w:rPr>
          <w:rStyle w:val="FootnoteReference"/>
          <w:rFonts w:ascii="Times New Roman" w:hAnsi="Times New Roman" w:cs="Times New Roman"/>
        </w:rPr>
        <w:footnoteReference w:id="3"/>
      </w:r>
      <w:r w:rsidRPr="001D6792">
        <w:rPr>
          <w:rFonts w:ascii="Times New Roman" w:hAnsi="Times New Roman" w:cs="Times New Roman"/>
        </w:rPr>
        <w:t xml:space="preserve">  Accordingly, as part of the changes needed to secure the participation of disabled children in the meeting of their social care needs, the Law Commission’s </w:t>
      </w:r>
      <w:r w:rsidRPr="001D6792">
        <w:rPr>
          <w:rFonts w:ascii="Times New Roman" w:hAnsi="Times New Roman" w:cs="Times New Roman"/>
          <w:i/>
          <w:iCs/>
        </w:rPr>
        <w:t>Disabled Children’s Social Care: Consultation Paper,</w:t>
      </w:r>
      <w:r w:rsidRPr="001D6792">
        <w:rPr>
          <w:rFonts w:ascii="Times New Roman" w:hAnsi="Times New Roman" w:cs="Times New Roman"/>
        </w:rPr>
        <w:t xml:space="preserve"> proposes that legislation should set out the decisions that children and young people can make in relation to their social care (such as requesting an assessment of their social care needs) and the basis upon which they can take such decisions.</w:t>
      </w:r>
      <w:r>
        <w:rPr>
          <w:rStyle w:val="FootnoteReference"/>
          <w:rFonts w:ascii="Times New Roman" w:hAnsi="Times New Roman" w:cs="Times New Roman"/>
        </w:rPr>
        <w:footnoteReference w:id="4"/>
      </w:r>
    </w:p>
    <w:p w:rsidR="00675F59" w:rsidRPr="001D6792" w:rsidP="00463694">
      <w:pPr>
        <w:jc w:val="both"/>
      </w:pPr>
    </w:p>
    <w:p w:rsidR="00675F59" w:rsidRPr="001D6792" w:rsidP="00463694">
      <w:pPr>
        <w:pStyle w:val="ListParagraph"/>
        <w:numPr>
          <w:ilvl w:val="0"/>
          <w:numId w:val="49"/>
        </w:numPr>
        <w:jc w:val="both"/>
        <w:rPr>
          <w:rFonts w:ascii="Times New Roman" w:hAnsi="Times New Roman" w:cs="Times New Roman"/>
        </w:rPr>
      </w:pPr>
      <w:r w:rsidRPr="001D6792">
        <w:rPr>
          <w:rFonts w:ascii="Times New Roman" w:hAnsi="Times New Roman" w:cs="Times New Roman"/>
        </w:rPr>
        <w:t>While the Law Commission’s work is focused on the law and policy on social care for disabled children, its findings are of wider relevance. For example, it notes that there is no statutory test for determining when a young person aged 16 or 17 ‘should be recognised as having the ability to “agree” to accommodation being provided’ under section 20 of the Children Act (CA) 1989.</w:t>
      </w:r>
      <w:r>
        <w:rPr>
          <w:rStyle w:val="FootnoteReference"/>
          <w:rFonts w:ascii="Times New Roman" w:hAnsi="Times New Roman" w:cs="Times New Roman"/>
        </w:rPr>
        <w:footnoteReference w:id="5"/>
      </w:r>
      <w:r w:rsidRPr="001D6792">
        <w:rPr>
          <w:rFonts w:ascii="Times New Roman" w:hAnsi="Times New Roman" w:cs="Times New Roman"/>
        </w:rPr>
        <w:t xml:space="preserve"> </w:t>
      </w:r>
    </w:p>
    <w:p w:rsidR="00675F59" w:rsidRPr="001D6792" w:rsidP="00A72AE5">
      <w:pPr>
        <w:pStyle w:val="ListParagraph"/>
        <w:rPr>
          <w:rFonts w:ascii="Times New Roman" w:hAnsi="Times New Roman" w:cs="Times New Roman"/>
        </w:rPr>
      </w:pPr>
    </w:p>
    <w:p w:rsidR="00675F59" w:rsidRPr="001D6792" w:rsidP="00463694">
      <w:pPr>
        <w:pStyle w:val="ListParagraph"/>
        <w:numPr>
          <w:ilvl w:val="0"/>
          <w:numId w:val="49"/>
        </w:numPr>
        <w:jc w:val="both"/>
        <w:rPr>
          <w:rFonts w:ascii="Times New Roman" w:hAnsi="Times New Roman" w:cs="Times New Roman"/>
        </w:rPr>
      </w:pPr>
      <w:r w:rsidRPr="001D6792">
        <w:rPr>
          <w:rFonts w:ascii="Times New Roman" w:hAnsi="Times New Roman" w:cs="Times New Roman"/>
        </w:rPr>
        <w:t>The Law Commission has proposed the following two statutory tests for determining whether a child or young person is able to make the decision in question:</w:t>
      </w:r>
    </w:p>
    <w:p w:rsidR="00675F59" w:rsidRPr="001D6792" w:rsidP="002309B2">
      <w:pPr>
        <w:jc w:val="both"/>
      </w:pPr>
    </w:p>
    <w:p w:rsidR="00675F59" w:rsidRPr="001D6792" w:rsidP="002309B2">
      <w:pPr>
        <w:pStyle w:val="ListParagraph"/>
        <w:numPr>
          <w:ilvl w:val="0"/>
          <w:numId w:val="21"/>
        </w:numPr>
        <w:jc w:val="both"/>
        <w:rPr>
          <w:rFonts w:ascii="Times New Roman" w:hAnsi="Times New Roman" w:cs="Times New Roman"/>
        </w:rPr>
      </w:pPr>
      <w:r w:rsidRPr="001D6792">
        <w:rPr>
          <w:rFonts w:ascii="Times New Roman" w:hAnsi="Times New Roman" w:cs="Times New Roman"/>
        </w:rPr>
        <w:t>For young people aged 16 or 17, the test to be applied ‘should be the test contained in the Mental Capacity Act 2005’ (referred to below as ‘the MCA 2005 test’).</w:t>
      </w:r>
      <w:r>
        <w:rPr>
          <w:rStyle w:val="FootnoteReference"/>
          <w:rFonts w:ascii="Times New Roman" w:hAnsi="Times New Roman" w:cs="Times New Roman"/>
        </w:rPr>
        <w:footnoteReference w:id="6"/>
      </w:r>
      <w:r w:rsidRPr="001D6792">
        <w:rPr>
          <w:rFonts w:ascii="Times New Roman" w:hAnsi="Times New Roman" w:cs="Times New Roman"/>
        </w:rPr>
        <w:t xml:space="preserve"> </w:t>
      </w:r>
    </w:p>
    <w:p w:rsidR="00675F59" w:rsidRPr="001D6792" w:rsidP="008D1B0F">
      <w:pPr>
        <w:pStyle w:val="ListParagraph"/>
        <w:jc w:val="both"/>
        <w:rPr>
          <w:rFonts w:ascii="Times New Roman" w:hAnsi="Times New Roman" w:cs="Times New Roman"/>
        </w:rPr>
      </w:pPr>
    </w:p>
    <w:p w:rsidR="00675F59" w:rsidRPr="001D6792" w:rsidP="002309B2">
      <w:pPr>
        <w:pStyle w:val="ListParagraph"/>
        <w:numPr>
          <w:ilvl w:val="0"/>
          <w:numId w:val="21"/>
        </w:numPr>
        <w:jc w:val="both"/>
        <w:rPr>
          <w:rFonts w:ascii="Times New Roman" w:hAnsi="Times New Roman" w:cs="Times New Roman"/>
        </w:rPr>
      </w:pPr>
      <w:r w:rsidRPr="001D6792">
        <w:rPr>
          <w:rFonts w:ascii="Times New Roman" w:hAnsi="Times New Roman" w:cs="Times New Roman"/>
        </w:rPr>
        <w:t>For children aged under 16, the ‘most obvious candidate’ is the functional element of the MCA test; namely ‘examination of whether the child can understand, retain, use and weigh the information relevant to the decision that they need to take’.</w:t>
      </w:r>
      <w:r>
        <w:rPr>
          <w:rStyle w:val="FootnoteReference"/>
          <w:rFonts w:ascii="Times New Roman" w:hAnsi="Times New Roman" w:cs="Times New Roman"/>
        </w:rPr>
        <w:footnoteReference w:id="7"/>
      </w:r>
    </w:p>
    <w:p w:rsidR="00675F59" w:rsidRPr="001D6792" w:rsidP="007524BF">
      <w:pPr>
        <w:jc w:val="both"/>
      </w:pPr>
    </w:p>
    <w:p w:rsidR="00675F59" w:rsidRPr="001D6792" w:rsidP="009C03CF">
      <w:pPr>
        <w:pStyle w:val="ListParagraph"/>
        <w:numPr>
          <w:ilvl w:val="0"/>
          <w:numId w:val="49"/>
        </w:numPr>
        <w:jc w:val="both"/>
        <w:rPr>
          <w:rFonts w:ascii="Times New Roman" w:hAnsi="Times New Roman" w:cs="Times New Roman"/>
        </w:rPr>
      </w:pPr>
      <w:r w:rsidRPr="001D6792">
        <w:rPr>
          <w:rFonts w:ascii="Times New Roman" w:hAnsi="Times New Roman" w:cs="Times New Roman"/>
        </w:rPr>
        <w:t>As the Committee is aware, in the context of the reform of the Mental Health Act (MHA) 1983) the Government has not accepted the need for a statutory test for determining whether a child aged under 16 is able to make the decision in question.</w:t>
      </w:r>
      <w:r>
        <w:rPr>
          <w:rStyle w:val="FootnoteReference"/>
          <w:rFonts w:ascii="Times New Roman" w:hAnsi="Times New Roman" w:cs="Times New Roman"/>
        </w:rPr>
        <w:footnoteReference w:id="8"/>
      </w:r>
      <w:r w:rsidRPr="001D6792">
        <w:rPr>
          <w:rFonts w:ascii="Times New Roman" w:hAnsi="Times New Roman" w:cs="Times New Roman"/>
        </w:rPr>
        <w:t xml:space="preserve">  </w:t>
      </w:r>
    </w:p>
    <w:p w:rsidR="00675F59" w:rsidRPr="001D6792" w:rsidP="00220D67">
      <w:pPr>
        <w:jc w:val="both"/>
      </w:pPr>
    </w:p>
    <w:p w:rsidR="00675F59" w:rsidRPr="001D6792" w:rsidP="009C03CF">
      <w:pPr>
        <w:pStyle w:val="ListParagraph"/>
        <w:numPr>
          <w:ilvl w:val="0"/>
          <w:numId w:val="49"/>
        </w:numPr>
        <w:jc w:val="both"/>
        <w:rPr>
          <w:rFonts w:ascii="Times New Roman" w:hAnsi="Times New Roman" w:cs="Times New Roman"/>
        </w:rPr>
      </w:pPr>
      <w:r w:rsidRPr="001D6792">
        <w:rPr>
          <w:rFonts w:ascii="Times New Roman" w:hAnsi="Times New Roman" w:cs="Times New Roman"/>
        </w:rPr>
        <w:t xml:space="preserve">The Government’s reasons for rejecting an amendment to the Mental Health Bill (the MH Bill) to introduce such a statutory test will be relevant to the Law Commission’s proposed statutory test given that both proposed tests are based on the functional element of the MCA 2005 test’.  Accordingly, the following points which explain why such reform is needed, </w:t>
      </w:r>
      <w:r w:rsidRPr="001D6792">
        <w:rPr>
          <w:rFonts w:ascii="Times New Roman" w:hAnsi="Times New Roman" w:cs="Times New Roman"/>
        </w:rPr>
        <w:t xml:space="preserve">also address Government’s objections to the introduction of a statutory test for determining a child’s ability to decide.    </w:t>
      </w:r>
    </w:p>
    <w:p w:rsidR="00675F59" w:rsidRPr="001D6792" w:rsidP="00220D67">
      <w:pPr>
        <w:jc w:val="both"/>
        <w:rPr>
          <w:rFonts w:eastAsiaTheme="minorHAnsi"/>
        </w:rPr>
      </w:pPr>
    </w:p>
    <w:p w:rsidR="00675F59" w:rsidRPr="001D6792" w:rsidP="006623E5">
      <w:pPr>
        <w:pStyle w:val="ListParagraph"/>
        <w:numPr>
          <w:ilvl w:val="0"/>
          <w:numId w:val="42"/>
        </w:numPr>
        <w:jc w:val="both"/>
        <w:rPr>
          <w:rFonts w:ascii="Times New Roman" w:hAnsi="Times New Roman" w:cs="Times New Roman"/>
          <w:i/>
        </w:rPr>
      </w:pPr>
      <w:r w:rsidRPr="001D6792">
        <w:rPr>
          <w:rFonts w:ascii="Times New Roman" w:hAnsi="Times New Roman" w:cs="Times New Roman"/>
          <w:i/>
        </w:rPr>
        <w:t>The need for a statutory test to determine under 16s’ ‘decisional capacity’</w:t>
      </w:r>
    </w:p>
    <w:p w:rsidR="00675F59" w:rsidRPr="001D6792" w:rsidP="0077252B">
      <w:pPr>
        <w:jc w:val="both"/>
        <w:rPr>
          <w:b/>
          <w:bCs/>
        </w:rPr>
      </w:pPr>
    </w:p>
    <w:p w:rsidR="00675F59" w:rsidRPr="001D6792" w:rsidP="009C03CF">
      <w:pPr>
        <w:pStyle w:val="ListParagraph"/>
        <w:numPr>
          <w:ilvl w:val="0"/>
          <w:numId w:val="49"/>
        </w:numPr>
        <w:jc w:val="both"/>
        <w:rPr>
          <w:rFonts w:ascii="Times New Roman" w:hAnsi="Times New Roman" w:cs="Times New Roman"/>
        </w:rPr>
      </w:pPr>
      <w:r w:rsidRPr="001D6792">
        <w:rPr>
          <w:rFonts w:ascii="Times New Roman" w:hAnsi="Times New Roman" w:cs="Times New Roman"/>
        </w:rPr>
        <w:t>As the Committee noted in the context of the MH Bill, clarity is needed on how to assess under 16’s ability to make decisions for themselves.</w:t>
      </w:r>
      <w:r>
        <w:rPr>
          <w:rStyle w:val="FootnoteReference"/>
          <w:rFonts w:ascii="Times New Roman" w:hAnsi="Times New Roman" w:cs="Times New Roman"/>
        </w:rPr>
        <w:footnoteReference w:id="9"/>
      </w:r>
      <w:r w:rsidRPr="001D6792">
        <w:rPr>
          <w:rFonts w:ascii="Times New Roman" w:hAnsi="Times New Roman" w:cs="Times New Roman"/>
        </w:rPr>
        <w:t xml:space="preserve"> The </w:t>
      </w:r>
      <w:r w:rsidRPr="001D6792">
        <w:rPr>
          <w:rFonts w:ascii="Times New Roman" w:hAnsi="Times New Roman" w:cs="Times New Roman"/>
          <w:color w:val="000000" w:themeColor="text1"/>
        </w:rPr>
        <w:t>Committee will recall that in response to its recommendation that the Government should consult on the need for a statutory test for a child’s capacity, the Government stated that such a test ‘</w:t>
      </w:r>
      <w:r w:rsidRPr="001D6792">
        <w:rPr>
          <w:rFonts w:ascii="Times New Roman" w:hAnsi="Times New Roman" w:cs="Times New Roman"/>
          <w:color w:val="000000" w:themeColor="text1"/>
          <w:shd w:val="clear" w:color="auto" w:fill="FFFFFF"/>
        </w:rPr>
        <w:t>is likely to risk undermining Gillick, which remains the accepted competence test for under-16s across all settings’.</w:t>
      </w:r>
      <w:r>
        <w:rPr>
          <w:rStyle w:val="FootnoteReference"/>
          <w:rFonts w:ascii="Times New Roman" w:hAnsi="Times New Roman" w:cs="Times New Roman"/>
          <w:color w:val="000000" w:themeColor="text1"/>
          <w:shd w:val="clear" w:color="auto" w:fill="FFFFFF"/>
        </w:rPr>
        <w:footnoteReference w:id="10"/>
      </w:r>
      <w:r w:rsidRPr="001D6792">
        <w:rPr>
          <w:rFonts w:ascii="Times New Roman" w:hAnsi="Times New Roman" w:cs="Times New Roman"/>
          <w:color w:val="000000" w:themeColor="text1"/>
          <w:shd w:val="clear" w:color="auto" w:fill="FFFFFF"/>
        </w:rPr>
        <w:t xml:space="preserve"> However, there is </w:t>
      </w:r>
      <w:r w:rsidRPr="001D6792">
        <w:rPr>
          <w:rFonts w:ascii="Times New Roman" w:hAnsi="Times New Roman" w:cs="Times New Roman"/>
        </w:rPr>
        <w:t>no one test for determining ‘Gillick competence’</w:t>
      </w:r>
      <w:r w:rsidRPr="001D6792">
        <w:rPr>
          <w:rFonts w:ascii="Times New Roman" w:hAnsi="Times New Roman" w:cs="Times New Roman"/>
          <w:i/>
          <w:iCs/>
        </w:rPr>
        <w:t xml:space="preserve">. </w:t>
      </w:r>
    </w:p>
    <w:p w:rsidR="00675F59" w:rsidRPr="001D6792" w:rsidP="0077252B">
      <w:pPr>
        <w:jc w:val="both"/>
      </w:pPr>
    </w:p>
    <w:p w:rsidR="00675F59" w:rsidRPr="001D6792" w:rsidP="009C03CF">
      <w:pPr>
        <w:pStyle w:val="ListParagraph"/>
        <w:numPr>
          <w:ilvl w:val="0"/>
          <w:numId w:val="49"/>
        </w:numPr>
        <w:jc w:val="both"/>
        <w:rPr>
          <w:rFonts w:ascii="Times New Roman" w:hAnsi="Times New Roman" w:cs="Times New Roman"/>
          <w:color w:val="000000" w:themeColor="text1"/>
        </w:rPr>
      </w:pPr>
      <w:r w:rsidRPr="001D6792">
        <w:rPr>
          <w:rFonts w:ascii="Times New Roman" w:hAnsi="Times New Roman" w:cs="Times New Roman"/>
        </w:rPr>
        <w:t>The lack of clarity identified by the Committee when considering the MH Bill is also relevant to children’s social care. The Law Commission notes that social care professionals have difficulty in understanding the concept of ‘</w:t>
      </w:r>
      <w:r w:rsidRPr="001D6792">
        <w:rPr>
          <w:rFonts w:ascii="Times New Roman" w:hAnsi="Times New Roman" w:cs="Times New Roman"/>
          <w:i/>
          <w:iCs/>
        </w:rPr>
        <w:t xml:space="preserve">Gillick </w:t>
      </w:r>
      <w:r w:rsidRPr="001D6792">
        <w:rPr>
          <w:rFonts w:ascii="Times New Roman" w:hAnsi="Times New Roman" w:cs="Times New Roman"/>
        </w:rPr>
        <w:t>competence’,</w:t>
      </w:r>
      <w:r>
        <w:rPr>
          <w:rStyle w:val="FootnoteReference"/>
          <w:rFonts w:ascii="Times New Roman" w:hAnsi="Times New Roman" w:cs="Times New Roman"/>
        </w:rPr>
        <w:footnoteReference w:id="11"/>
      </w:r>
      <w:r w:rsidRPr="001D6792">
        <w:rPr>
          <w:rFonts w:ascii="Times New Roman" w:hAnsi="Times New Roman" w:cs="Times New Roman"/>
        </w:rPr>
        <w:t xml:space="preserve"> a term which has been described as ‘broad’ and ‘ambiguous’.</w:t>
      </w:r>
      <w:r>
        <w:rPr>
          <w:rStyle w:val="FootnoteReference"/>
          <w:rFonts w:ascii="Times New Roman" w:hAnsi="Times New Roman" w:cs="Times New Roman"/>
        </w:rPr>
        <w:footnoteReference w:id="12"/>
      </w:r>
      <w:r w:rsidRPr="001D6792">
        <w:rPr>
          <w:rFonts w:ascii="Times New Roman" w:hAnsi="Times New Roman" w:cs="Times New Roman"/>
        </w:rPr>
        <w:t xml:space="preserve"> Although the House of Lords decision in </w:t>
      </w:r>
      <w:r w:rsidRPr="001D6792">
        <w:rPr>
          <w:rFonts w:ascii="Times New Roman" w:hAnsi="Times New Roman" w:cs="Times New Roman"/>
          <w:i/>
          <w:iCs/>
        </w:rPr>
        <w:t>Gillick v West Norfolk and Wisbech Health Authority (‘Gillick’)</w:t>
      </w:r>
      <w:r>
        <w:rPr>
          <w:rStyle w:val="FootnoteReference"/>
          <w:rFonts w:ascii="Times New Roman" w:hAnsi="Times New Roman" w:cs="Times New Roman"/>
        </w:rPr>
        <w:footnoteReference w:id="13"/>
      </w:r>
      <w:r w:rsidRPr="001D6792">
        <w:rPr>
          <w:rFonts w:ascii="Times New Roman" w:hAnsi="Times New Roman" w:cs="Times New Roman"/>
          <w:i/>
          <w:iCs/>
        </w:rPr>
        <w:t xml:space="preserve"> </w:t>
      </w:r>
      <w:r w:rsidRPr="001D6792">
        <w:rPr>
          <w:rFonts w:ascii="Times New Roman" w:hAnsi="Times New Roman" w:cs="Times New Roman"/>
        </w:rPr>
        <w:t xml:space="preserve">was decided nearly </w:t>
      </w:r>
      <w:r w:rsidRPr="001D6792">
        <w:rPr>
          <w:rFonts w:ascii="Times New Roman" w:hAnsi="Times New Roman" w:cs="Times New Roman"/>
          <w:color w:val="000000" w:themeColor="text1"/>
        </w:rPr>
        <w:t xml:space="preserve">40 years ago, the test for </w:t>
      </w:r>
      <w:r w:rsidRPr="001D6792">
        <w:rPr>
          <w:rFonts w:ascii="Times New Roman" w:hAnsi="Times New Roman" w:cs="Times New Roman"/>
          <w:i/>
          <w:iCs/>
          <w:color w:val="000000" w:themeColor="text1"/>
        </w:rPr>
        <w:t xml:space="preserve">Gillick </w:t>
      </w:r>
      <w:r w:rsidRPr="001D6792">
        <w:rPr>
          <w:rFonts w:ascii="Times New Roman" w:hAnsi="Times New Roman" w:cs="Times New Roman"/>
          <w:color w:val="000000" w:themeColor="text1"/>
        </w:rPr>
        <w:t>competence ‘has been expressed in many different ways’.</w:t>
      </w:r>
      <w:r>
        <w:rPr>
          <w:rStyle w:val="FootnoteReference"/>
          <w:rFonts w:ascii="Times New Roman" w:hAnsi="Times New Roman" w:cs="Times New Roman"/>
          <w:color w:val="000000" w:themeColor="text1"/>
        </w:rPr>
        <w:footnoteReference w:id="14"/>
      </w:r>
      <w:r w:rsidRPr="001D6792">
        <w:rPr>
          <w:rFonts w:ascii="Times New Roman" w:hAnsi="Times New Roman" w:cs="Times New Roman"/>
          <w:color w:val="000000" w:themeColor="text1"/>
        </w:rPr>
        <w:t xml:space="preserve"> The lack of clarity on how to determine whether a child is ‘</w:t>
      </w:r>
      <w:r w:rsidRPr="001D6792">
        <w:rPr>
          <w:rFonts w:ascii="Times New Roman" w:hAnsi="Times New Roman" w:cs="Times New Roman"/>
          <w:i/>
          <w:iCs/>
          <w:color w:val="000000" w:themeColor="text1"/>
        </w:rPr>
        <w:t xml:space="preserve">Gillick </w:t>
      </w:r>
      <w:r w:rsidRPr="001D6792">
        <w:rPr>
          <w:rFonts w:ascii="Times New Roman" w:hAnsi="Times New Roman" w:cs="Times New Roman"/>
          <w:color w:val="000000" w:themeColor="text1"/>
        </w:rPr>
        <w:t>competent’ has also been raised by legal and human rights scholars.</w:t>
      </w:r>
      <w:r>
        <w:rPr>
          <w:rStyle w:val="FootnoteReference"/>
          <w:rFonts w:ascii="Times New Roman" w:hAnsi="Times New Roman" w:cs="Times New Roman"/>
          <w:color w:val="000000" w:themeColor="text1"/>
        </w:rPr>
        <w:footnoteReference w:id="15"/>
      </w:r>
    </w:p>
    <w:p w:rsidR="00675F59" w:rsidRPr="001D6792" w:rsidP="003C399B">
      <w:pPr>
        <w:jc w:val="both"/>
        <w:rPr>
          <w:color w:val="000000" w:themeColor="text1"/>
          <w:shd w:val="clear" w:color="auto" w:fill="FFFFFF"/>
        </w:rPr>
      </w:pPr>
    </w:p>
    <w:p w:rsidR="00675F59" w:rsidRPr="00EE2DC5" w:rsidP="009C03CF">
      <w:pPr>
        <w:pStyle w:val="ListParagraph"/>
        <w:numPr>
          <w:ilvl w:val="0"/>
          <w:numId w:val="49"/>
        </w:numPr>
        <w:jc w:val="both"/>
        <w:rPr>
          <w:rFonts w:ascii="Times New Roman" w:hAnsi="Times New Roman" w:cs="Times New Roman"/>
          <w:i/>
          <w:iCs/>
          <w:color w:val="000000" w:themeColor="text1"/>
        </w:rPr>
      </w:pPr>
      <w:r w:rsidRPr="001D6792">
        <w:rPr>
          <w:rFonts w:ascii="Times New Roman" w:hAnsi="Times New Roman" w:cs="Times New Roman"/>
          <w:color w:val="000000" w:themeColor="text1"/>
          <w:shd w:val="clear" w:color="auto" w:fill="FFFFFF"/>
        </w:rPr>
        <w:t>That ‘Gillick is not a universal test’</w:t>
      </w:r>
      <w:r>
        <w:rPr>
          <w:rStyle w:val="FootnoteReference"/>
          <w:rFonts w:ascii="Times New Roman" w:hAnsi="Times New Roman" w:cs="Times New Roman"/>
          <w:color w:val="000000" w:themeColor="text1"/>
          <w:shd w:val="clear" w:color="auto" w:fill="FFFFFF"/>
        </w:rPr>
        <w:footnoteReference w:id="16"/>
      </w:r>
      <w:r w:rsidRPr="001D6792">
        <w:rPr>
          <w:rFonts w:ascii="Times New Roman" w:hAnsi="Times New Roman" w:cs="Times New Roman"/>
          <w:color w:val="000000" w:themeColor="text1"/>
          <w:shd w:val="clear" w:color="auto" w:fill="FFFFFF"/>
        </w:rPr>
        <w:t xml:space="preserve"> was emphasised in the Court of Appeal’s recent decision in </w:t>
      </w:r>
      <w:r w:rsidRPr="001D6792">
        <w:rPr>
          <w:rFonts w:ascii="Times New Roman" w:hAnsi="Times New Roman" w:cs="Times New Roman"/>
          <w:i/>
          <w:iCs/>
          <w:color w:val="000000" w:themeColor="text1"/>
          <w:shd w:val="clear" w:color="auto" w:fill="FFFFFF"/>
        </w:rPr>
        <w:t>Re S (Wardship: Removal to Ghana) (‘Re S (2025)’).</w:t>
      </w:r>
      <w:r>
        <w:rPr>
          <w:rStyle w:val="FootnoteReference"/>
          <w:rFonts w:ascii="Times New Roman" w:hAnsi="Times New Roman" w:cs="Times New Roman"/>
          <w:i/>
          <w:iCs/>
          <w:color w:val="000000" w:themeColor="text1"/>
          <w:shd w:val="clear" w:color="auto" w:fill="FFFFFF"/>
        </w:rPr>
        <w:footnoteReference w:id="17"/>
      </w:r>
      <w:r w:rsidRPr="001D6792">
        <w:rPr>
          <w:rFonts w:ascii="Times New Roman" w:hAnsi="Times New Roman" w:cs="Times New Roman"/>
          <w:i/>
          <w:iCs/>
          <w:color w:val="000000" w:themeColor="text1"/>
          <w:shd w:val="clear" w:color="auto" w:fill="FFFFFF"/>
        </w:rPr>
        <w:t xml:space="preserve">  </w:t>
      </w:r>
      <w:r w:rsidRPr="001D6792">
        <w:rPr>
          <w:rFonts w:ascii="Times New Roman" w:hAnsi="Times New Roman" w:cs="Times New Roman"/>
          <w:color w:val="000000" w:themeColor="text1"/>
          <w:shd w:val="clear" w:color="auto" w:fill="FFFFFF"/>
        </w:rPr>
        <w:t>Sir Andrew McFarlane, the President of the Family Division (‘the President’) noted that the phrase ‘</w:t>
      </w:r>
      <w:r w:rsidRPr="001D6792">
        <w:rPr>
          <w:rFonts w:ascii="Times New Roman" w:hAnsi="Times New Roman" w:cs="Times New Roman"/>
          <w:i/>
          <w:iCs/>
          <w:color w:val="000000" w:themeColor="text1"/>
          <w:shd w:val="clear" w:color="auto" w:fill="FFFFFF"/>
        </w:rPr>
        <w:t xml:space="preserve">Gillick </w:t>
      </w:r>
      <w:r w:rsidRPr="001D6792">
        <w:rPr>
          <w:rFonts w:ascii="Times New Roman" w:hAnsi="Times New Roman" w:cs="Times New Roman"/>
          <w:color w:val="000000" w:themeColor="text1"/>
          <w:shd w:val="clear" w:color="auto" w:fill="FFFFFF"/>
        </w:rPr>
        <w:t xml:space="preserve">competence’ has been used ‘loosely’ in a range of areas unconnected with the issue considered by the House of Lords in </w:t>
      </w:r>
      <w:r w:rsidRPr="001D6792">
        <w:rPr>
          <w:rFonts w:ascii="Times New Roman" w:hAnsi="Times New Roman" w:cs="Times New Roman"/>
          <w:i/>
          <w:iCs/>
          <w:color w:val="000000" w:themeColor="text1"/>
          <w:shd w:val="clear" w:color="auto" w:fill="FFFFFF"/>
        </w:rPr>
        <w:t xml:space="preserve">Gillick </w:t>
      </w:r>
      <w:r w:rsidRPr="001D6792">
        <w:rPr>
          <w:rFonts w:ascii="Times New Roman" w:hAnsi="Times New Roman" w:cs="Times New Roman"/>
          <w:color w:val="000000" w:themeColor="text1"/>
          <w:shd w:val="clear" w:color="auto" w:fill="FFFFFF"/>
        </w:rPr>
        <w:t>(which was concerned with ‘the ability of a young person to give autonomous valid consent to medical treatment’).</w:t>
      </w:r>
      <w:r>
        <w:rPr>
          <w:rStyle w:val="FootnoteReference"/>
          <w:rFonts w:ascii="Times New Roman" w:hAnsi="Times New Roman" w:cs="Times New Roman"/>
          <w:color w:val="000000" w:themeColor="text1"/>
          <w:shd w:val="clear" w:color="auto" w:fill="FFFFFF"/>
        </w:rPr>
        <w:footnoteReference w:id="18"/>
      </w:r>
      <w:r w:rsidRPr="001D6792">
        <w:rPr>
          <w:rFonts w:ascii="Times New Roman" w:hAnsi="Times New Roman" w:cs="Times New Roman"/>
          <w:color w:val="000000" w:themeColor="text1"/>
          <w:shd w:val="clear" w:color="auto" w:fill="FFFFFF"/>
        </w:rPr>
        <w:t xml:space="preserve"> In the context of the case before the court in </w:t>
      </w:r>
      <w:r w:rsidRPr="001D6792">
        <w:rPr>
          <w:rFonts w:ascii="Times New Roman" w:hAnsi="Times New Roman" w:cs="Times New Roman"/>
          <w:i/>
          <w:iCs/>
          <w:color w:val="000000" w:themeColor="text1"/>
          <w:shd w:val="clear" w:color="auto" w:fill="FFFFFF"/>
        </w:rPr>
        <w:t>Re S (2025)</w:t>
      </w:r>
      <w:r w:rsidRPr="001D6792">
        <w:rPr>
          <w:rFonts w:ascii="Times New Roman" w:hAnsi="Times New Roman" w:cs="Times New Roman"/>
          <w:color w:val="000000" w:themeColor="text1"/>
          <w:shd w:val="clear" w:color="auto" w:fill="FFFFFF"/>
        </w:rPr>
        <w:t xml:space="preserve">: </w:t>
      </w:r>
    </w:p>
    <w:p w:rsidR="00675F59" w:rsidRPr="00EE2DC5" w:rsidP="00EE2DC5">
      <w:pPr>
        <w:pStyle w:val="ListParagraph"/>
        <w:rPr>
          <w:rFonts w:ascii="Times New Roman" w:hAnsi="Times New Roman" w:cs="Times New Roman"/>
          <w:i/>
          <w:iCs/>
          <w:color w:val="000000" w:themeColor="text1"/>
        </w:rPr>
      </w:pPr>
    </w:p>
    <w:p w:rsidR="00675F59" w:rsidRPr="001D6792" w:rsidP="00091D2F">
      <w:pPr>
        <w:ind w:left="720"/>
        <w:jc w:val="both"/>
        <w:rPr>
          <w:i/>
          <w:iCs/>
          <w:color w:val="000000" w:themeColor="text1"/>
          <w:shd w:val="clear" w:color="auto" w:fill="FFFFFF"/>
        </w:rPr>
      </w:pPr>
      <w:r w:rsidRPr="001D6792">
        <w:rPr>
          <w:i/>
          <w:iCs/>
          <w:color w:val="000000" w:themeColor="text1"/>
          <w:shd w:val="clear" w:color="auto" w:fill="FFFFFF"/>
        </w:rPr>
        <w:t>‘…”Gillick competent” is no more, nor no less, than a convenient label to indicate that S has sufficient maturity and understanding to form his own view as to where he may live’.</w:t>
      </w:r>
      <w:r>
        <w:rPr>
          <w:rStyle w:val="FootnoteReference"/>
          <w:i/>
          <w:iCs/>
          <w:color w:val="000000" w:themeColor="text1"/>
          <w:shd w:val="clear" w:color="auto" w:fill="FFFFFF"/>
        </w:rPr>
        <w:footnoteReference w:id="19"/>
      </w:r>
      <w:r w:rsidRPr="001D6792">
        <w:rPr>
          <w:i/>
          <w:iCs/>
          <w:color w:val="000000" w:themeColor="text1"/>
          <w:shd w:val="clear" w:color="auto" w:fill="FFFFFF"/>
        </w:rPr>
        <w:t xml:space="preserve"> </w:t>
      </w:r>
    </w:p>
    <w:p w:rsidR="00675F59" w:rsidRPr="001D6792" w:rsidP="00091D2F">
      <w:pPr>
        <w:jc w:val="both"/>
        <w:rPr>
          <w:color w:val="4D4D4D"/>
          <w:shd w:val="clear" w:color="auto" w:fill="FFFFFF"/>
        </w:rPr>
      </w:pPr>
    </w:p>
    <w:p w:rsidR="00675F59" w:rsidRPr="001D6792" w:rsidP="009C03CF">
      <w:pPr>
        <w:pStyle w:val="ListParagraph"/>
        <w:numPr>
          <w:ilvl w:val="0"/>
          <w:numId w:val="49"/>
        </w:numPr>
        <w:jc w:val="both"/>
        <w:rPr>
          <w:rFonts w:ascii="Times New Roman" w:hAnsi="Times New Roman" w:cs="Times New Roman"/>
          <w:color w:val="000000" w:themeColor="text1"/>
          <w:shd w:val="clear" w:color="auto" w:fill="FFFFFF"/>
        </w:rPr>
      </w:pPr>
      <w:r w:rsidRPr="001D6792">
        <w:rPr>
          <w:rFonts w:ascii="Times New Roman" w:hAnsi="Times New Roman" w:cs="Times New Roman"/>
          <w:color w:val="000000" w:themeColor="text1"/>
        </w:rPr>
        <w:t>Such observations are at odds with the Government’s view that there is an ‘</w:t>
      </w:r>
      <w:r w:rsidRPr="001D6792">
        <w:rPr>
          <w:rFonts w:ascii="Times New Roman" w:hAnsi="Times New Roman" w:cs="Times New Roman"/>
          <w:color w:val="000000" w:themeColor="text1"/>
          <w:shd w:val="clear" w:color="auto" w:fill="FFFFFF"/>
        </w:rPr>
        <w:t xml:space="preserve">accepted competence test for under-16s across all settings’.  </w:t>
      </w:r>
    </w:p>
    <w:p w:rsidR="00675F59" w:rsidRPr="001D6792" w:rsidP="00463694">
      <w:pPr>
        <w:jc w:val="both"/>
        <w:rPr>
          <w:color w:val="000000" w:themeColor="text1"/>
          <w:shd w:val="clear" w:color="auto" w:fill="FFFFFF"/>
        </w:rPr>
      </w:pPr>
    </w:p>
    <w:p w:rsidR="00675F59" w:rsidRPr="001D6792" w:rsidP="009C03CF">
      <w:pPr>
        <w:pStyle w:val="ListParagraph"/>
        <w:numPr>
          <w:ilvl w:val="0"/>
          <w:numId w:val="49"/>
        </w:numPr>
        <w:jc w:val="both"/>
        <w:rPr>
          <w:rFonts w:ascii="Times New Roman" w:hAnsi="Times New Roman" w:cs="Times New Roman"/>
          <w:color w:val="000000" w:themeColor="text1"/>
          <w:shd w:val="clear" w:color="auto" w:fill="FFFFFF"/>
        </w:rPr>
      </w:pPr>
      <w:r w:rsidRPr="001D6792">
        <w:rPr>
          <w:rFonts w:ascii="Times New Roman" w:hAnsi="Times New Roman" w:cs="Times New Roman"/>
          <w:color w:val="000000" w:themeColor="text1"/>
          <w:shd w:val="clear" w:color="auto" w:fill="FFFFFF"/>
        </w:rPr>
        <w:t>Given the lack of a test for ‘</w:t>
      </w:r>
      <w:r w:rsidRPr="001D6792">
        <w:rPr>
          <w:rFonts w:ascii="Times New Roman" w:hAnsi="Times New Roman" w:cs="Times New Roman"/>
          <w:i/>
          <w:iCs/>
          <w:color w:val="000000" w:themeColor="text1"/>
          <w:shd w:val="clear" w:color="auto" w:fill="FFFFFF"/>
        </w:rPr>
        <w:t xml:space="preserve">Gillick </w:t>
      </w:r>
      <w:r w:rsidRPr="001D6792">
        <w:rPr>
          <w:rFonts w:ascii="Times New Roman" w:hAnsi="Times New Roman" w:cs="Times New Roman"/>
          <w:color w:val="000000" w:themeColor="text1"/>
          <w:shd w:val="clear" w:color="auto" w:fill="FFFFFF"/>
        </w:rPr>
        <w:t xml:space="preserve">competence’, legislation is needed to set out how to determine whether a child aged under 16 has the ability to make the decision in question (this could be referred to as whether the child has ‘decisional capacity’). </w:t>
      </w:r>
    </w:p>
    <w:p w:rsidR="00675F59" w:rsidRPr="001D6792" w:rsidP="00091D2F">
      <w:pPr>
        <w:jc w:val="both"/>
        <w:rPr>
          <w:color w:val="000000" w:themeColor="text1"/>
        </w:rPr>
      </w:pPr>
    </w:p>
    <w:p w:rsidR="00675F59" w:rsidRPr="001D6792" w:rsidP="003A716A">
      <w:pPr>
        <w:pStyle w:val="ListParagraph"/>
        <w:numPr>
          <w:ilvl w:val="0"/>
          <w:numId w:val="42"/>
        </w:numPr>
        <w:jc w:val="both"/>
        <w:rPr>
          <w:rFonts w:ascii="Times New Roman" w:hAnsi="Times New Roman" w:cs="Times New Roman"/>
          <w:i/>
        </w:rPr>
      </w:pPr>
      <w:r w:rsidRPr="001D6792">
        <w:rPr>
          <w:rFonts w:ascii="Times New Roman" w:hAnsi="Times New Roman" w:cs="Times New Roman"/>
          <w:i/>
        </w:rPr>
        <w:t xml:space="preserve">Judicial support for a ‘functional’ test to determine a child’s decisional capacity  </w:t>
      </w:r>
    </w:p>
    <w:p w:rsidR="00675F59" w:rsidRPr="001D6792" w:rsidP="0077252B">
      <w:pPr>
        <w:jc w:val="both"/>
        <w:rPr>
          <w:i/>
          <w:iCs/>
        </w:rPr>
      </w:pPr>
    </w:p>
    <w:p w:rsidR="00675F59" w:rsidRPr="001D6792" w:rsidP="009C03CF">
      <w:pPr>
        <w:pStyle w:val="ListParagraph"/>
        <w:numPr>
          <w:ilvl w:val="0"/>
          <w:numId w:val="49"/>
        </w:numPr>
        <w:jc w:val="both"/>
        <w:rPr>
          <w:rFonts w:ascii="Times New Roman" w:hAnsi="Times New Roman" w:cs="Times New Roman"/>
        </w:rPr>
      </w:pPr>
      <w:r w:rsidRPr="001D6792">
        <w:rPr>
          <w:rFonts w:ascii="Times New Roman" w:hAnsi="Times New Roman" w:cs="Times New Roman"/>
        </w:rPr>
        <w:t>In the House of Lords’ debates on the MH Bill, the Government stated that the ‘courts have already made clear that the approach of the functional test is not suitable for children’.</w:t>
      </w:r>
      <w:r>
        <w:rPr>
          <w:rStyle w:val="FootnoteReference"/>
          <w:rFonts w:ascii="Times New Roman" w:hAnsi="Times New Roman" w:cs="Times New Roman"/>
        </w:rPr>
        <w:footnoteReference w:id="20"/>
      </w:r>
      <w:r w:rsidRPr="001D6792">
        <w:rPr>
          <w:rFonts w:ascii="Times New Roman" w:hAnsi="Times New Roman" w:cs="Times New Roman"/>
        </w:rPr>
        <w:t xml:space="preserve"> The basis for reaching this conclusion is not clear as no case was cited in support of this statement. Furthermore: </w:t>
      </w:r>
    </w:p>
    <w:p w:rsidR="00675F59" w:rsidRPr="001D6792" w:rsidP="00C604B1">
      <w:pPr>
        <w:jc w:val="both"/>
      </w:pPr>
      <w:r w:rsidRPr="001D6792">
        <w:t xml:space="preserve">  </w:t>
      </w:r>
    </w:p>
    <w:p w:rsidR="00675F59" w:rsidRPr="001D6792" w:rsidP="00800376">
      <w:pPr>
        <w:pStyle w:val="ListParagraph"/>
        <w:numPr>
          <w:ilvl w:val="0"/>
          <w:numId w:val="28"/>
        </w:numPr>
        <w:ind w:left="720"/>
        <w:jc w:val="both"/>
        <w:rPr>
          <w:rFonts w:ascii="Times New Roman" w:hAnsi="Times New Roman" w:cs="Times New Roman"/>
        </w:rPr>
      </w:pPr>
      <w:r w:rsidRPr="001D6792">
        <w:rPr>
          <w:rFonts w:ascii="Times New Roman" w:hAnsi="Times New Roman" w:cs="Times New Roman"/>
        </w:rPr>
        <w:t>It is at odds with the Law Commission’s view that the functional element of the MCA 2005 test (which considers the person’s ability to understand, retain, using or weigh the information relevant to the decision) has been regarded by some judges as a helpful means of determining whether a child aged under 16 can make the relevant decision.</w:t>
      </w:r>
      <w:r>
        <w:rPr>
          <w:rStyle w:val="FootnoteReference"/>
          <w:rFonts w:ascii="Times New Roman" w:hAnsi="Times New Roman" w:cs="Times New Roman"/>
        </w:rPr>
        <w:footnoteReference w:id="21"/>
      </w:r>
      <w:r w:rsidRPr="001D6792">
        <w:rPr>
          <w:rFonts w:ascii="Times New Roman" w:hAnsi="Times New Roman" w:cs="Times New Roman"/>
        </w:rPr>
        <w:t xml:space="preserve"> </w:t>
      </w:r>
    </w:p>
    <w:p w:rsidR="00675F59" w:rsidRPr="001D6792" w:rsidP="00800376">
      <w:pPr>
        <w:pStyle w:val="ListParagraph"/>
        <w:jc w:val="both"/>
        <w:rPr>
          <w:rFonts w:ascii="Times New Roman" w:hAnsi="Times New Roman" w:cs="Times New Roman"/>
        </w:rPr>
      </w:pPr>
    </w:p>
    <w:p w:rsidR="00675F59" w:rsidRPr="001D6792" w:rsidP="00800376">
      <w:pPr>
        <w:pStyle w:val="ListParagraph"/>
        <w:numPr>
          <w:ilvl w:val="0"/>
          <w:numId w:val="28"/>
        </w:numPr>
        <w:ind w:left="720"/>
        <w:jc w:val="both"/>
        <w:rPr>
          <w:rFonts w:ascii="Times New Roman" w:hAnsi="Times New Roman" w:cs="Times New Roman"/>
        </w:rPr>
      </w:pPr>
      <w:r w:rsidRPr="001D6792">
        <w:rPr>
          <w:rFonts w:ascii="Times New Roman" w:hAnsi="Times New Roman" w:cs="Times New Roman"/>
        </w:rPr>
        <w:t xml:space="preserve">In the case of </w:t>
      </w:r>
      <w:r w:rsidRPr="001D6792">
        <w:rPr>
          <w:rFonts w:ascii="Times New Roman" w:hAnsi="Times New Roman" w:cs="Times New Roman"/>
          <w:i/>
          <w:iCs/>
        </w:rPr>
        <w:t>Re S (Child as parent: adoption: Consent) (Re S (2017))</w:t>
      </w:r>
      <w:r>
        <w:rPr>
          <w:rStyle w:val="FootnoteReference"/>
          <w:rFonts w:ascii="Times New Roman" w:hAnsi="Times New Roman" w:cs="Times New Roman"/>
          <w:i/>
          <w:iCs/>
        </w:rPr>
        <w:footnoteReference w:id="22"/>
      </w:r>
      <w:r w:rsidRPr="001D6792">
        <w:rPr>
          <w:rFonts w:ascii="Times New Roman" w:hAnsi="Times New Roman" w:cs="Times New Roman"/>
        </w:rPr>
        <w:t xml:space="preserve"> Mr Justice Cobb considered that the functional test was suitable for a child aged under 16. The judge applied questions based on the functional element of the MCA 2005 test when considering whether the mother (who was aged under 16) could consent to the adoption of her child. If the Government is aware of any case that has ruled against Cobb J’s approach it would be helpful if details could be provided. </w:t>
      </w:r>
    </w:p>
    <w:p w:rsidR="00675F59" w:rsidRPr="001D6792" w:rsidP="0077252B">
      <w:pPr>
        <w:jc w:val="both"/>
      </w:pPr>
    </w:p>
    <w:p w:rsidR="00675F59" w:rsidRPr="001D6792" w:rsidP="009C03CF">
      <w:pPr>
        <w:pStyle w:val="ListParagraph"/>
        <w:numPr>
          <w:ilvl w:val="0"/>
          <w:numId w:val="49"/>
        </w:numPr>
        <w:jc w:val="both"/>
        <w:rPr>
          <w:rFonts w:ascii="Times New Roman" w:hAnsi="Times New Roman" w:cs="Times New Roman"/>
        </w:rPr>
      </w:pPr>
      <w:r w:rsidRPr="001D6792">
        <w:rPr>
          <w:rFonts w:ascii="Times New Roman" w:hAnsi="Times New Roman" w:cs="Times New Roman"/>
        </w:rPr>
        <w:t xml:space="preserve">It is possible that the Government’s assertion is based on comments in </w:t>
      </w:r>
      <w:r w:rsidRPr="001D6792">
        <w:rPr>
          <w:rFonts w:ascii="Times New Roman" w:hAnsi="Times New Roman" w:cs="Times New Roman"/>
          <w:i/>
          <w:iCs/>
        </w:rPr>
        <w:t>NHS Trust v X</w:t>
      </w:r>
      <w:r w:rsidRPr="001D6792">
        <w:rPr>
          <w:rFonts w:ascii="Times New Roman" w:hAnsi="Times New Roman" w:cs="Times New Roman"/>
        </w:rPr>
        <w:t xml:space="preserve"> </w:t>
      </w:r>
      <w:r w:rsidRPr="001D6792">
        <w:rPr>
          <w:rFonts w:ascii="Times New Roman" w:hAnsi="Times New Roman" w:cs="Times New Roman"/>
          <w:i/>
          <w:iCs/>
        </w:rPr>
        <w:t>(In the matter of X (A Child) (No 2))</w:t>
      </w:r>
      <w:r>
        <w:rPr>
          <w:rStyle w:val="FootnoteReference"/>
          <w:rFonts w:ascii="Times New Roman" w:hAnsi="Times New Roman" w:cs="Times New Roman"/>
          <w:i/>
          <w:iCs/>
        </w:rPr>
        <w:footnoteReference w:id="23"/>
      </w:r>
      <w:r w:rsidRPr="001D6792">
        <w:rPr>
          <w:rFonts w:ascii="Times New Roman" w:hAnsi="Times New Roman" w:cs="Times New Roman"/>
          <w:i/>
          <w:iCs/>
        </w:rPr>
        <w:t xml:space="preserve"> </w:t>
      </w:r>
      <w:r w:rsidRPr="001D6792">
        <w:rPr>
          <w:rFonts w:ascii="Times New Roman" w:hAnsi="Times New Roman" w:cs="Times New Roman"/>
        </w:rPr>
        <w:t xml:space="preserve">and </w:t>
      </w:r>
      <w:r w:rsidRPr="001D6792">
        <w:rPr>
          <w:rFonts w:ascii="Times New Roman" w:hAnsi="Times New Roman" w:cs="Times New Roman"/>
          <w:i/>
          <w:iCs/>
        </w:rPr>
        <w:t>Bell &amp; Anor v The Tavistock and Portman NHS</w:t>
      </w:r>
      <w:r w:rsidRPr="001D6792">
        <w:rPr>
          <w:rFonts w:ascii="Times New Roman" w:hAnsi="Times New Roman" w:cs="Times New Roman"/>
        </w:rPr>
        <w:t xml:space="preserve"> </w:t>
      </w:r>
      <w:r w:rsidRPr="001D6792">
        <w:rPr>
          <w:rFonts w:ascii="Times New Roman" w:hAnsi="Times New Roman" w:cs="Times New Roman"/>
          <w:i/>
          <w:iCs/>
        </w:rPr>
        <w:t>Foundation Trust</w:t>
      </w:r>
      <w:r>
        <w:rPr>
          <w:rStyle w:val="FootnoteReference"/>
          <w:rFonts w:ascii="Times New Roman" w:hAnsi="Times New Roman" w:cs="Times New Roman"/>
        </w:rPr>
        <w:footnoteReference w:id="24"/>
      </w:r>
      <w:r w:rsidRPr="001D6792">
        <w:rPr>
          <w:rFonts w:ascii="Times New Roman" w:hAnsi="Times New Roman" w:cs="Times New Roman"/>
        </w:rPr>
        <w:t xml:space="preserve"> (questioning whether a comparison between the assessment of a child’s competence and the MCA 2005 test was helpful). However, neither case states that the functional test is not suitable for children. Nor were questions concerning either a child’s competence or the appropriateness of the functional test for under 16s, relevant to the issues being considered by these cases.  </w:t>
      </w:r>
    </w:p>
    <w:p w:rsidR="00675F59" w:rsidRPr="001D6792" w:rsidP="0077252B">
      <w:pPr>
        <w:jc w:val="both"/>
      </w:pPr>
    </w:p>
    <w:p w:rsidR="00675F59" w:rsidRPr="001D6792" w:rsidP="009C03CF">
      <w:pPr>
        <w:pStyle w:val="ListParagraph"/>
        <w:numPr>
          <w:ilvl w:val="0"/>
          <w:numId w:val="49"/>
        </w:numPr>
        <w:jc w:val="both"/>
        <w:rPr>
          <w:rFonts w:ascii="Times New Roman" w:hAnsi="Times New Roman" w:cs="Times New Roman"/>
          <w:i/>
          <w:iCs/>
        </w:rPr>
      </w:pPr>
      <w:r w:rsidRPr="001D6792">
        <w:rPr>
          <w:rFonts w:ascii="Times New Roman" w:hAnsi="Times New Roman" w:cs="Times New Roman"/>
        </w:rPr>
        <w:t xml:space="preserve">In contrast, the Court of Appeal’s recent decision in </w:t>
      </w:r>
      <w:r w:rsidRPr="001D6792">
        <w:rPr>
          <w:rFonts w:ascii="Times New Roman" w:hAnsi="Times New Roman" w:cs="Times New Roman"/>
          <w:i/>
          <w:iCs/>
          <w:color w:val="000000"/>
        </w:rPr>
        <w:t>Re S (2025)’</w:t>
      </w:r>
      <w:r w:rsidRPr="001D6792">
        <w:rPr>
          <w:rFonts w:ascii="Times New Roman" w:hAnsi="Times New Roman" w:cs="Times New Roman"/>
          <w:color w:val="000000"/>
        </w:rPr>
        <w:t>)</w:t>
      </w:r>
      <w:r>
        <w:rPr>
          <w:rStyle w:val="FootnoteReference"/>
          <w:rFonts w:ascii="Times New Roman" w:hAnsi="Times New Roman" w:cs="Times New Roman"/>
          <w:color w:val="000000"/>
        </w:rPr>
        <w:footnoteReference w:id="25"/>
      </w:r>
      <w:r w:rsidRPr="001D6792">
        <w:rPr>
          <w:rFonts w:ascii="Times New Roman" w:hAnsi="Times New Roman" w:cs="Times New Roman"/>
          <w:color w:val="000000"/>
        </w:rPr>
        <w:t xml:space="preserve"> </w:t>
      </w:r>
      <w:r w:rsidRPr="001D6792">
        <w:rPr>
          <w:rFonts w:ascii="Times New Roman" w:hAnsi="Times New Roman" w:cs="Times New Roman"/>
        </w:rPr>
        <w:t xml:space="preserve">lends support for the approach adopted by Mr Justice Cobb in </w:t>
      </w:r>
      <w:r w:rsidRPr="001D6792">
        <w:rPr>
          <w:rFonts w:ascii="Times New Roman" w:hAnsi="Times New Roman" w:cs="Times New Roman"/>
          <w:i/>
          <w:iCs/>
        </w:rPr>
        <w:t>Re S (2017):</w:t>
      </w:r>
      <w:r>
        <w:rPr>
          <w:rStyle w:val="FootnoteReference"/>
          <w:rFonts w:ascii="Times New Roman" w:hAnsi="Times New Roman" w:cs="Times New Roman"/>
          <w:i/>
          <w:iCs/>
        </w:rPr>
        <w:footnoteReference w:id="26"/>
      </w:r>
      <w:r w:rsidRPr="001D6792">
        <w:rPr>
          <w:rFonts w:ascii="Times New Roman" w:hAnsi="Times New Roman" w:cs="Times New Roman"/>
          <w:i/>
          <w:iCs/>
        </w:rPr>
        <w:t xml:space="preserve"> </w:t>
      </w:r>
    </w:p>
    <w:p w:rsidR="00675F59" w:rsidRPr="001D6792" w:rsidP="00463694">
      <w:pPr>
        <w:jc w:val="both"/>
        <w:rPr>
          <w:i/>
          <w:iCs/>
        </w:rPr>
      </w:pPr>
    </w:p>
    <w:p w:rsidR="00675F59" w:rsidRPr="001D6792" w:rsidP="008044FA">
      <w:pPr>
        <w:pStyle w:val="ListParagraph"/>
        <w:numPr>
          <w:ilvl w:val="0"/>
          <w:numId w:val="46"/>
        </w:numPr>
        <w:jc w:val="both"/>
        <w:rPr>
          <w:rFonts w:ascii="Times New Roman" w:hAnsi="Times New Roman" w:cs="Times New Roman"/>
        </w:rPr>
      </w:pPr>
      <w:r w:rsidRPr="001D6792">
        <w:rPr>
          <w:rFonts w:ascii="Times New Roman" w:hAnsi="Times New Roman" w:cs="Times New Roman"/>
        </w:rPr>
        <w:t xml:space="preserve">The judge’s approach to assessing whether the child was competent to consent to her own child’s adoption was set out in full by Sir Andrew McFarlane, the President of the Family Division (‘the President’) with no criticism of the judge’s use of the functional element of the MCA 2005’s test. </w:t>
      </w:r>
    </w:p>
    <w:p w:rsidR="00675F59" w:rsidRPr="001D6792" w:rsidP="0075211B">
      <w:pPr>
        <w:pStyle w:val="ListParagraph"/>
        <w:numPr>
          <w:ilvl w:val="0"/>
          <w:numId w:val="46"/>
        </w:numPr>
        <w:jc w:val="both"/>
        <w:rPr>
          <w:rFonts w:ascii="Times New Roman" w:hAnsi="Times New Roman" w:cs="Times New Roman"/>
        </w:rPr>
      </w:pPr>
      <w:r w:rsidRPr="001D6792">
        <w:rPr>
          <w:rFonts w:ascii="Times New Roman" w:hAnsi="Times New Roman" w:cs="Times New Roman"/>
        </w:rPr>
        <w:t xml:space="preserve">The President also refers to </w:t>
      </w:r>
      <w:r w:rsidRPr="001D6792">
        <w:rPr>
          <w:rFonts w:ascii="Times New Roman" w:hAnsi="Times New Roman" w:cs="Times New Roman"/>
          <w:i/>
        </w:rPr>
        <w:t xml:space="preserve">Re S (2017) </w:t>
      </w:r>
      <w:r w:rsidRPr="001D6792">
        <w:rPr>
          <w:rFonts w:ascii="Times New Roman" w:hAnsi="Times New Roman" w:cs="Times New Roman"/>
        </w:rPr>
        <w:t>as an example of the term ‘</w:t>
      </w:r>
      <w:r w:rsidRPr="001D6792">
        <w:rPr>
          <w:rFonts w:ascii="Times New Roman" w:hAnsi="Times New Roman" w:cs="Times New Roman"/>
          <w:i/>
        </w:rPr>
        <w:t xml:space="preserve">Gillick </w:t>
      </w:r>
      <w:r w:rsidRPr="001D6792">
        <w:rPr>
          <w:rFonts w:ascii="Times New Roman" w:hAnsi="Times New Roman" w:cs="Times New Roman"/>
        </w:rPr>
        <w:t xml:space="preserve">competence’ being ‘specifically focused on the capacity of the “child” in that case to give valid consent to adoption’. </w:t>
      </w:r>
    </w:p>
    <w:p w:rsidR="00675F59" w:rsidRPr="001D6792" w:rsidP="00463694">
      <w:pPr>
        <w:pStyle w:val="ListParagraph"/>
        <w:jc w:val="both"/>
        <w:rPr>
          <w:rFonts w:ascii="Times New Roman" w:hAnsi="Times New Roman" w:cs="Times New Roman"/>
          <w:color w:val="000000" w:themeColor="text1"/>
        </w:rPr>
      </w:pPr>
    </w:p>
    <w:p w:rsidR="00675F59" w:rsidRPr="00EB5A69" w:rsidP="00463694">
      <w:pPr>
        <w:pStyle w:val="ListParagraph"/>
        <w:numPr>
          <w:ilvl w:val="0"/>
          <w:numId w:val="49"/>
        </w:numPr>
        <w:jc w:val="both"/>
        <w:rPr>
          <w:rFonts w:ascii="Times New Roman" w:hAnsi="Times New Roman" w:cs="Times New Roman"/>
        </w:rPr>
      </w:pPr>
      <w:r w:rsidRPr="001D6792">
        <w:rPr>
          <w:rFonts w:ascii="Times New Roman" w:hAnsi="Times New Roman" w:cs="Times New Roman"/>
          <w:color w:val="000000" w:themeColor="text1"/>
        </w:rPr>
        <w:t xml:space="preserve">When commenting on such observations in </w:t>
      </w:r>
      <w:r w:rsidRPr="001D6792">
        <w:rPr>
          <w:rFonts w:ascii="Times New Roman" w:hAnsi="Times New Roman" w:cs="Times New Roman"/>
          <w:i/>
          <w:iCs/>
          <w:color w:val="000000" w:themeColor="text1"/>
        </w:rPr>
        <w:t xml:space="preserve">Re S (2025), </w:t>
      </w:r>
      <w:r w:rsidRPr="001D6792">
        <w:rPr>
          <w:rFonts w:ascii="Times New Roman" w:hAnsi="Times New Roman" w:cs="Times New Roman"/>
          <w:color w:val="000000" w:themeColor="text1"/>
        </w:rPr>
        <w:t xml:space="preserve">a legal expert in this area notes that </w:t>
      </w:r>
      <w:r w:rsidRPr="001D6792">
        <w:rPr>
          <w:rFonts w:ascii="Times New Roman" w:hAnsi="Times New Roman" w:cs="Times New Roman"/>
          <w:i/>
          <w:iCs/>
          <w:color w:val="000000" w:themeColor="text1"/>
        </w:rPr>
        <w:t xml:space="preserve">‘it </w:t>
      </w:r>
      <w:r w:rsidRPr="001D6792">
        <w:rPr>
          <w:rFonts w:ascii="Times New Roman" w:hAnsi="Times New Roman" w:cs="Times New Roman"/>
          <w:i/>
          <w:iCs/>
          <w:color w:val="000000" w:themeColor="text1"/>
          <w:shd w:val="clear" w:color="auto" w:fill="FFFFFF"/>
        </w:rPr>
        <w:t>is clear that [the President] endorsed the approach of Cobb J (as he then was), in circumstances where Cobb J reframed </w:t>
      </w:r>
      <w:r w:rsidRPr="001D6792">
        <w:rPr>
          <w:rFonts w:ascii="Times New Roman" w:hAnsi="Times New Roman" w:cs="Times New Roman"/>
          <w:i/>
          <w:iCs/>
          <w:color w:val="000000" w:themeColor="text1"/>
        </w:rPr>
        <w:t>Gillick</w:t>
      </w:r>
      <w:r w:rsidRPr="001D6792">
        <w:rPr>
          <w:rFonts w:ascii="Times New Roman" w:hAnsi="Times New Roman" w:cs="Times New Roman"/>
          <w:i/>
          <w:iCs/>
          <w:color w:val="000000" w:themeColor="text1"/>
          <w:shd w:val="clear" w:color="auto" w:fill="FFFFFF"/>
        </w:rPr>
        <w:t> to look very much like the functional limb of the MCA 2005 test’.</w:t>
      </w:r>
      <w:r>
        <w:rPr>
          <w:rStyle w:val="FootnoteReference"/>
          <w:rFonts w:ascii="Times New Roman" w:hAnsi="Times New Roman" w:cs="Times New Roman"/>
          <w:i/>
          <w:iCs/>
          <w:color w:val="000000" w:themeColor="text1"/>
          <w:shd w:val="clear" w:color="auto" w:fill="FFFFFF"/>
        </w:rPr>
        <w:footnoteReference w:id="27"/>
      </w:r>
    </w:p>
    <w:p w:rsidR="00675F59" w:rsidRPr="001D6792" w:rsidP="00463694">
      <w:pPr>
        <w:jc w:val="both"/>
        <w:rPr>
          <w:rFonts w:eastAsiaTheme="minorHAnsi"/>
          <w:lang w:eastAsia="en-US"/>
        </w:rPr>
      </w:pPr>
    </w:p>
    <w:p w:rsidR="00675F59" w:rsidRPr="001D6792" w:rsidP="00463694">
      <w:pPr>
        <w:pStyle w:val="ListParagraph"/>
        <w:numPr>
          <w:ilvl w:val="0"/>
          <w:numId w:val="42"/>
        </w:numPr>
        <w:jc w:val="both"/>
        <w:rPr>
          <w:rFonts w:ascii="Times New Roman" w:hAnsi="Times New Roman" w:cs="Times New Roman"/>
          <w:i/>
        </w:rPr>
      </w:pPr>
      <w:r w:rsidRPr="001D6792">
        <w:rPr>
          <w:rFonts w:ascii="Times New Roman" w:hAnsi="Times New Roman" w:cs="Times New Roman"/>
          <w:i/>
        </w:rPr>
        <w:t xml:space="preserve">The functional test and the rights of the child under the UNCRC </w:t>
      </w:r>
    </w:p>
    <w:p w:rsidR="00675F59" w:rsidRPr="001D6792" w:rsidP="00463694">
      <w:pPr>
        <w:autoSpaceDE w:val="0"/>
        <w:autoSpaceDN w:val="0"/>
        <w:adjustRightInd w:val="0"/>
        <w:jc w:val="both"/>
        <w:rPr>
          <w:rFonts w:eastAsiaTheme="minorHAnsi"/>
        </w:rPr>
      </w:pPr>
    </w:p>
    <w:p w:rsidR="00675F59" w:rsidRPr="001D6792" w:rsidP="001D6792">
      <w:pPr>
        <w:pStyle w:val="ListParagraph"/>
        <w:numPr>
          <w:ilvl w:val="0"/>
          <w:numId w:val="49"/>
        </w:numPr>
        <w:autoSpaceDE w:val="0"/>
        <w:autoSpaceDN w:val="0"/>
        <w:adjustRightInd w:val="0"/>
        <w:jc w:val="both"/>
        <w:rPr>
          <w:rFonts w:ascii="Times New Roman" w:hAnsi="Times New Roman" w:cs="Times New Roman"/>
        </w:rPr>
      </w:pPr>
      <w:r w:rsidRPr="001D6792">
        <w:rPr>
          <w:rFonts w:ascii="Times New Roman" w:hAnsi="Times New Roman" w:cs="Times New Roman"/>
        </w:rPr>
        <w:t xml:space="preserve">During the Committee Stage of the MH Bill, the Government stated that the functional test is not compatible with the UNCRC. It is difficult to understand why the Government has reached this conclusion (no reasons were given). </w:t>
      </w:r>
    </w:p>
    <w:p w:rsidR="00675F59" w:rsidRPr="001D6792" w:rsidP="00042D2E">
      <w:pPr>
        <w:pStyle w:val="ListParagraph"/>
        <w:autoSpaceDE w:val="0"/>
        <w:autoSpaceDN w:val="0"/>
        <w:adjustRightInd w:val="0"/>
        <w:ind w:left="360"/>
        <w:jc w:val="both"/>
        <w:rPr>
          <w:rFonts w:ascii="Times New Roman" w:hAnsi="Times New Roman" w:cs="Times New Roman"/>
        </w:rPr>
      </w:pPr>
    </w:p>
    <w:p w:rsidR="00675F59" w:rsidRPr="001D6792" w:rsidP="001D6792">
      <w:pPr>
        <w:pStyle w:val="ListParagraph"/>
        <w:numPr>
          <w:ilvl w:val="0"/>
          <w:numId w:val="49"/>
        </w:numPr>
        <w:autoSpaceDE w:val="0"/>
        <w:autoSpaceDN w:val="0"/>
        <w:adjustRightInd w:val="0"/>
        <w:jc w:val="both"/>
        <w:rPr>
          <w:rFonts w:ascii="Times New Roman" w:hAnsi="Times New Roman" w:cs="Times New Roman"/>
        </w:rPr>
      </w:pPr>
      <w:r w:rsidRPr="001D6792">
        <w:rPr>
          <w:rFonts w:ascii="Times New Roman" w:hAnsi="Times New Roman" w:cs="Times New Roman"/>
        </w:rPr>
        <w:t xml:space="preserve">It is suggested that introducing a statutory test for determining a child’s decisional capacity that incorporates the functional element of the MCA 2005 test would enhance the rights of the child under the UNCRC, not conflict with such rights. </w:t>
      </w:r>
    </w:p>
    <w:p w:rsidR="00675F59" w:rsidRPr="001D6792" w:rsidP="00FF50BB">
      <w:pPr>
        <w:autoSpaceDE w:val="0"/>
        <w:autoSpaceDN w:val="0"/>
        <w:adjustRightInd w:val="0"/>
        <w:jc w:val="both"/>
      </w:pPr>
    </w:p>
    <w:p w:rsidR="00675F59" w:rsidRPr="001D6792" w:rsidP="001D6792">
      <w:pPr>
        <w:pStyle w:val="ListParagraph"/>
        <w:numPr>
          <w:ilvl w:val="0"/>
          <w:numId w:val="49"/>
        </w:numPr>
        <w:autoSpaceDE w:val="0"/>
        <w:autoSpaceDN w:val="0"/>
        <w:adjustRightInd w:val="0"/>
        <w:jc w:val="both"/>
        <w:rPr>
          <w:rFonts w:ascii="Times New Roman" w:hAnsi="Times New Roman" w:cs="Times New Roman"/>
        </w:rPr>
      </w:pPr>
      <w:r w:rsidRPr="001D6792">
        <w:rPr>
          <w:rFonts w:ascii="Times New Roman" w:hAnsi="Times New Roman" w:cs="Times New Roman"/>
        </w:rPr>
        <w:t xml:space="preserve">Applying the functional test will help to ensure that the views of the child are given ‘due weight in accordance with the age and maturity of the child’ as required by Article 12 of the UNCRC. This is because: </w:t>
      </w:r>
    </w:p>
    <w:p w:rsidR="00675F59" w:rsidRPr="001D6792" w:rsidP="00FF50BB">
      <w:pPr>
        <w:autoSpaceDE w:val="0"/>
        <w:autoSpaceDN w:val="0"/>
        <w:adjustRightInd w:val="0"/>
        <w:jc w:val="both"/>
      </w:pPr>
    </w:p>
    <w:p w:rsidR="00675F59" w:rsidRPr="001D6792" w:rsidP="006B5D32">
      <w:pPr>
        <w:pStyle w:val="ListParagraph"/>
        <w:numPr>
          <w:ilvl w:val="0"/>
          <w:numId w:val="48"/>
        </w:numPr>
        <w:autoSpaceDE w:val="0"/>
        <w:autoSpaceDN w:val="0"/>
        <w:adjustRightInd w:val="0"/>
        <w:jc w:val="both"/>
        <w:rPr>
          <w:rFonts w:ascii="Times New Roman" w:hAnsi="Times New Roman" w:cs="Times New Roman"/>
        </w:rPr>
      </w:pPr>
      <w:r w:rsidRPr="001D6792">
        <w:rPr>
          <w:rFonts w:ascii="Times New Roman" w:hAnsi="Times New Roman" w:cs="Times New Roman"/>
        </w:rPr>
        <w:t xml:space="preserve">By asking whether the child is able to understand, retain, use or weight the information relevant to the decision focuses on the child’s </w:t>
      </w:r>
      <w:r w:rsidRPr="001D6792">
        <w:rPr>
          <w:rFonts w:ascii="Times New Roman" w:hAnsi="Times New Roman" w:cs="Times New Roman"/>
          <w:b/>
          <w:bCs/>
        </w:rPr>
        <w:t>actual</w:t>
      </w:r>
      <w:r w:rsidRPr="001D6792">
        <w:rPr>
          <w:rFonts w:ascii="Times New Roman" w:hAnsi="Times New Roman" w:cs="Times New Roman"/>
        </w:rPr>
        <w:t xml:space="preserve"> ability, rather than applying the outdated approaches of ‘status’ (assuming the child cannot make the decision on the basis of a characteristic (e.g. age or disability)) or ‘outcome’ (holding the child to lack decisional capacity because the assessor does not agree with the child’s decision). </w:t>
      </w:r>
    </w:p>
    <w:p w:rsidR="00675F59" w:rsidRPr="001D6792" w:rsidP="002C7EB4">
      <w:pPr>
        <w:pStyle w:val="ListParagraph"/>
        <w:autoSpaceDE w:val="0"/>
        <w:autoSpaceDN w:val="0"/>
        <w:adjustRightInd w:val="0"/>
        <w:jc w:val="both"/>
        <w:rPr>
          <w:rFonts w:ascii="Times New Roman" w:hAnsi="Times New Roman" w:cs="Times New Roman"/>
        </w:rPr>
      </w:pPr>
    </w:p>
    <w:p w:rsidR="00675F59" w:rsidRPr="001D6792" w:rsidP="006B5D32">
      <w:pPr>
        <w:pStyle w:val="ListParagraph"/>
        <w:numPr>
          <w:ilvl w:val="0"/>
          <w:numId w:val="48"/>
        </w:numPr>
        <w:autoSpaceDE w:val="0"/>
        <w:autoSpaceDN w:val="0"/>
        <w:adjustRightInd w:val="0"/>
        <w:jc w:val="both"/>
        <w:rPr>
          <w:rFonts w:ascii="Times New Roman" w:hAnsi="Times New Roman" w:cs="Times New Roman"/>
        </w:rPr>
      </w:pPr>
      <w:r w:rsidRPr="001D6792">
        <w:rPr>
          <w:rFonts w:ascii="Times New Roman" w:hAnsi="Times New Roman" w:cs="Times New Roman"/>
        </w:rPr>
        <w:t xml:space="preserve">Where the law permits a child to make a decision, provided they have the ability to do so, such a test would ensure that practitioners have a clear and consistent means of determining whether the child in question can make the relevant decision at the time it needs to be made. </w:t>
      </w:r>
    </w:p>
    <w:p w:rsidR="00675F59" w:rsidRPr="001D6792" w:rsidP="0031355F">
      <w:pPr>
        <w:pStyle w:val="ListParagraph"/>
        <w:rPr>
          <w:rFonts w:ascii="Times New Roman" w:hAnsi="Times New Roman" w:cs="Times New Roman"/>
        </w:rPr>
      </w:pPr>
    </w:p>
    <w:p w:rsidR="00675F59" w:rsidRPr="001D6792" w:rsidP="006B5D32">
      <w:pPr>
        <w:pStyle w:val="ListParagraph"/>
        <w:numPr>
          <w:ilvl w:val="0"/>
          <w:numId w:val="48"/>
        </w:numPr>
        <w:autoSpaceDE w:val="0"/>
        <w:autoSpaceDN w:val="0"/>
        <w:adjustRightInd w:val="0"/>
        <w:jc w:val="both"/>
        <w:rPr>
          <w:rFonts w:ascii="Times New Roman" w:hAnsi="Times New Roman" w:cs="Times New Roman"/>
        </w:rPr>
      </w:pPr>
      <w:r w:rsidRPr="001D6792">
        <w:rPr>
          <w:rFonts w:ascii="Times New Roman" w:hAnsi="Times New Roman" w:cs="Times New Roman"/>
        </w:rPr>
        <w:t xml:space="preserve">Such a test would also be relevant to decisions for which the child’s views are not determinative.  Even though they are not the decision-maker, the child’s ability to make the decision in question will be relevant to the weight to be given to their views. For example, the </w:t>
      </w:r>
      <w:r w:rsidRPr="001D6792">
        <w:rPr>
          <w:rFonts w:ascii="Times New Roman" w:hAnsi="Times New Roman" w:cs="Times New Roman"/>
          <w:color w:val="000000" w:themeColor="text1"/>
        </w:rPr>
        <w:t>Committee on the Rights of the Child (CRC) considers that ‘as the child matures, his or her views shall have increasing weight in the assessment of his or her best interests’.</w:t>
      </w:r>
      <w:r>
        <w:rPr>
          <w:rStyle w:val="FootnoteReference"/>
          <w:rFonts w:ascii="Times New Roman" w:hAnsi="Times New Roman" w:cs="Times New Roman"/>
          <w:color w:val="000000" w:themeColor="text1"/>
        </w:rPr>
        <w:footnoteReference w:id="28"/>
      </w:r>
      <w:r w:rsidRPr="001D6792">
        <w:rPr>
          <w:rFonts w:ascii="Times New Roman" w:hAnsi="Times New Roman" w:cs="Times New Roman"/>
          <w:color w:val="000000" w:themeColor="text1"/>
        </w:rPr>
        <w:t xml:space="preserve">  </w:t>
      </w:r>
    </w:p>
    <w:p w:rsidR="00675F59" w:rsidRPr="001D6792" w:rsidP="006B5D32">
      <w:pPr>
        <w:autoSpaceDE w:val="0"/>
        <w:autoSpaceDN w:val="0"/>
        <w:adjustRightInd w:val="0"/>
        <w:jc w:val="both"/>
        <w:rPr>
          <w:color w:val="000000" w:themeColor="text1"/>
        </w:rPr>
      </w:pPr>
    </w:p>
    <w:p w:rsidR="00675F59" w:rsidRPr="001D6792" w:rsidP="001D6792">
      <w:pPr>
        <w:pStyle w:val="ListParagraph"/>
        <w:numPr>
          <w:ilvl w:val="0"/>
          <w:numId w:val="49"/>
        </w:numPr>
        <w:autoSpaceDE w:val="0"/>
        <w:autoSpaceDN w:val="0"/>
        <w:adjustRightInd w:val="0"/>
        <w:jc w:val="both"/>
        <w:rPr>
          <w:rFonts w:ascii="Times New Roman" w:hAnsi="Times New Roman" w:cs="Times New Roman"/>
        </w:rPr>
      </w:pPr>
      <w:r w:rsidRPr="001D6792">
        <w:rPr>
          <w:rFonts w:ascii="Times New Roman" w:hAnsi="Times New Roman" w:cs="Times New Roman"/>
          <w:color w:val="000000" w:themeColor="text1"/>
        </w:rPr>
        <w:t xml:space="preserve">This approach is also relevant to Article 8 ECHR. </w:t>
      </w:r>
      <w:r w:rsidRPr="001D6792">
        <w:rPr>
          <w:rFonts w:ascii="Times New Roman" w:hAnsi="Times New Roman" w:cs="Times New Roman"/>
        </w:rPr>
        <w:t>Although not referred to explicitly in Article 8 ECHR, both the European Court on Human Rights (ECtHR)</w:t>
      </w:r>
      <w:r>
        <w:rPr>
          <w:rStyle w:val="FootnoteReference"/>
          <w:rFonts w:ascii="Times New Roman" w:hAnsi="Times New Roman" w:cs="Times New Roman"/>
        </w:rPr>
        <w:footnoteReference w:id="29"/>
      </w:r>
      <w:r w:rsidRPr="001D6792">
        <w:rPr>
          <w:rFonts w:ascii="Times New Roman" w:hAnsi="Times New Roman" w:cs="Times New Roman"/>
        </w:rPr>
        <w:t xml:space="preserve"> and the national </w:t>
      </w:r>
      <w:r w:rsidRPr="001D6792">
        <w:rPr>
          <w:rFonts w:ascii="Times New Roman" w:hAnsi="Times New Roman" w:cs="Times New Roman"/>
        </w:rPr>
        <w:t>courts</w:t>
      </w:r>
      <w:r>
        <w:rPr>
          <w:rStyle w:val="FootnoteReference"/>
          <w:rFonts w:ascii="Times New Roman" w:hAnsi="Times New Roman" w:cs="Times New Roman"/>
        </w:rPr>
        <w:footnoteReference w:id="30"/>
      </w:r>
      <w:r w:rsidRPr="001D6792">
        <w:rPr>
          <w:rFonts w:ascii="Times New Roman" w:hAnsi="Times New Roman" w:cs="Times New Roman"/>
        </w:rPr>
        <w:t xml:space="preserve"> have emphasised that this right requires them to give weight to the child or young person’s views, in accordance with their age and maturity.</w:t>
      </w:r>
    </w:p>
    <w:p w:rsidR="00675F59" w:rsidRPr="001D6792" w:rsidP="00463694">
      <w:pPr>
        <w:pStyle w:val="ListParagraph"/>
        <w:jc w:val="both"/>
        <w:rPr>
          <w:rFonts w:ascii="Times New Roman" w:hAnsi="Times New Roman" w:cs="Times New Roman"/>
        </w:rPr>
      </w:pPr>
    </w:p>
    <w:p w:rsidR="00675F59" w:rsidRPr="001D6792" w:rsidP="001D6792">
      <w:pPr>
        <w:pStyle w:val="ListParagraph"/>
        <w:numPr>
          <w:ilvl w:val="0"/>
          <w:numId w:val="49"/>
        </w:numPr>
        <w:autoSpaceDE w:val="0"/>
        <w:autoSpaceDN w:val="0"/>
        <w:adjustRightInd w:val="0"/>
        <w:jc w:val="both"/>
        <w:rPr>
          <w:rFonts w:ascii="Times New Roman" w:hAnsi="Times New Roman" w:cs="Times New Roman"/>
        </w:rPr>
      </w:pPr>
      <w:r w:rsidRPr="001D6792">
        <w:rPr>
          <w:rFonts w:ascii="Times New Roman" w:hAnsi="Times New Roman" w:cs="Times New Roman"/>
        </w:rPr>
        <w:t xml:space="preserve">Furthermore, the Government’s view that the use of the functional test is not compatible with the UNCRC is at odds with the current law given that the MCA 2005 applies to young people aged 16 and 17, who are considered be a child for the purpose of the UNCRC and the CA 1989. </w:t>
      </w:r>
    </w:p>
    <w:p w:rsidR="00675F59" w:rsidRPr="001D6792" w:rsidP="00463694">
      <w:pPr>
        <w:autoSpaceDE w:val="0"/>
        <w:autoSpaceDN w:val="0"/>
        <w:adjustRightInd w:val="0"/>
        <w:jc w:val="both"/>
      </w:pPr>
    </w:p>
    <w:p w:rsidR="00675F59" w:rsidRPr="001D6792" w:rsidP="00463694">
      <w:pPr>
        <w:autoSpaceDE w:val="0"/>
        <w:autoSpaceDN w:val="0"/>
        <w:adjustRightInd w:val="0"/>
        <w:jc w:val="both"/>
      </w:pPr>
    </w:p>
    <w:p w:rsidR="00675F59" w:rsidRPr="001D6792" w:rsidP="00463694">
      <w:pPr>
        <w:autoSpaceDE w:val="0"/>
        <w:autoSpaceDN w:val="0"/>
        <w:adjustRightInd w:val="0"/>
        <w:jc w:val="both"/>
      </w:pPr>
    </w:p>
    <w:p w:rsidR="00675F59" w:rsidRPr="001D6792" w:rsidP="001544D1">
      <w:pPr>
        <w:pStyle w:val="ListParagraph"/>
        <w:numPr>
          <w:ilvl w:val="0"/>
          <w:numId w:val="40"/>
        </w:numPr>
        <w:jc w:val="both"/>
        <w:rPr>
          <w:rFonts w:ascii="Times New Roman" w:hAnsi="Times New Roman" w:cs="Times New Roman"/>
          <w:b/>
          <w:bCs/>
        </w:rPr>
      </w:pPr>
      <w:r w:rsidRPr="001D6792">
        <w:rPr>
          <w:rFonts w:ascii="Times New Roman" w:hAnsi="Times New Roman" w:cs="Times New Roman"/>
          <w:b/>
          <w:bCs/>
        </w:rPr>
        <w:t xml:space="preserve">Determining a deprivation of liberty (children and parental consent) </w:t>
      </w:r>
    </w:p>
    <w:p w:rsidR="00675F59" w:rsidRPr="001D6792" w:rsidP="0054324D">
      <w:pPr>
        <w:jc w:val="both"/>
      </w:pPr>
    </w:p>
    <w:p w:rsidR="00675F59" w:rsidRPr="001D6792" w:rsidP="001D6792">
      <w:pPr>
        <w:pStyle w:val="ListParagraph"/>
        <w:numPr>
          <w:ilvl w:val="0"/>
          <w:numId w:val="49"/>
        </w:numPr>
        <w:jc w:val="both"/>
        <w:rPr>
          <w:rFonts w:ascii="Times New Roman" w:hAnsi="Times New Roman" w:cs="Times New Roman"/>
        </w:rPr>
      </w:pPr>
      <w:r w:rsidRPr="001D6792">
        <w:rPr>
          <w:rFonts w:ascii="Times New Roman" w:hAnsi="Times New Roman" w:cs="Times New Roman"/>
        </w:rPr>
        <w:t>The Committee will be aware of the significant concerns raised by the courts and others concerned with children’s rights about the inappropriate settings in which children and young people are deprived of their liberty.</w:t>
      </w:r>
      <w:r>
        <w:rPr>
          <w:rStyle w:val="FootnoteReference"/>
          <w:rFonts w:ascii="Times New Roman" w:hAnsi="Times New Roman" w:cs="Times New Roman"/>
        </w:rPr>
        <w:footnoteReference w:id="31"/>
      </w:r>
      <w:r w:rsidRPr="001D6792">
        <w:rPr>
          <w:rFonts w:ascii="Times New Roman" w:hAnsi="Times New Roman" w:cs="Times New Roman"/>
        </w:rPr>
        <w:t xml:space="preserve"> Less attention has been given to the situation of children aged under 16 who are placed in such settings. Some will not benefit from the safeguards required under Article 5 ECHR because their parents (or others with parental responsibility) have consented to the restrictions placed on them, which means that they are not deemed to be deprived of their liberty. </w:t>
      </w:r>
    </w:p>
    <w:p w:rsidR="00675F59" w:rsidRPr="001D6792" w:rsidP="0054324D">
      <w:pPr>
        <w:jc w:val="both"/>
      </w:pPr>
    </w:p>
    <w:p w:rsidR="00675F59" w:rsidRPr="001D6792" w:rsidP="001D6792">
      <w:pPr>
        <w:pStyle w:val="ListParagraph"/>
        <w:numPr>
          <w:ilvl w:val="0"/>
          <w:numId w:val="49"/>
        </w:numPr>
        <w:jc w:val="both"/>
        <w:rPr>
          <w:rFonts w:ascii="Times New Roman" w:hAnsi="Times New Roman" w:cs="Times New Roman"/>
        </w:rPr>
      </w:pPr>
      <w:r w:rsidRPr="001D6792">
        <w:rPr>
          <w:rFonts w:ascii="Times New Roman" w:hAnsi="Times New Roman" w:cs="Times New Roman"/>
        </w:rPr>
        <w:t>Such cases arise because a person (of any age) will not be deprived of their liberty if valid consent has been given to the person’s confinement.</w:t>
      </w:r>
      <w:r>
        <w:rPr>
          <w:rStyle w:val="FootnoteReference"/>
          <w:rFonts w:ascii="Times New Roman" w:hAnsi="Times New Roman" w:cs="Times New Roman"/>
        </w:rPr>
        <w:footnoteReference w:id="32"/>
      </w:r>
      <w:r w:rsidRPr="001D6792">
        <w:rPr>
          <w:rFonts w:ascii="Times New Roman" w:hAnsi="Times New Roman" w:cs="Times New Roman"/>
        </w:rPr>
        <w:t xml:space="preserve">  For children aged under 16 it is possible for parental consent to provide ‘valid consent’ to the child’s confinement,</w:t>
      </w:r>
      <w:r>
        <w:rPr>
          <w:rStyle w:val="FootnoteReference"/>
          <w:rFonts w:ascii="Times New Roman" w:hAnsi="Times New Roman" w:cs="Times New Roman"/>
        </w:rPr>
        <w:footnoteReference w:id="33"/>
      </w:r>
      <w:r w:rsidRPr="001D6792">
        <w:rPr>
          <w:rFonts w:ascii="Times New Roman" w:hAnsi="Times New Roman" w:cs="Times New Roman"/>
        </w:rPr>
        <w:t xml:space="preserve"> (the confinement arising when the supervision and control imposed on the child goes beyond ‘normal parental control’).</w:t>
      </w:r>
      <w:r>
        <w:rPr>
          <w:rStyle w:val="FootnoteReference"/>
          <w:rFonts w:ascii="Times New Roman" w:hAnsi="Times New Roman" w:cs="Times New Roman"/>
        </w:rPr>
        <w:footnoteReference w:id="34"/>
      </w:r>
    </w:p>
    <w:p w:rsidR="00675F59" w:rsidRPr="001D6792" w:rsidP="00463694">
      <w:pPr>
        <w:pStyle w:val="ListParagraph"/>
        <w:jc w:val="both"/>
        <w:rPr>
          <w:rFonts w:ascii="Times New Roman" w:hAnsi="Times New Roman" w:cs="Times New Roman"/>
        </w:rPr>
      </w:pPr>
    </w:p>
    <w:p w:rsidR="00675F59" w:rsidRPr="001D6792" w:rsidP="001D6792">
      <w:pPr>
        <w:pStyle w:val="ListParagraph"/>
        <w:numPr>
          <w:ilvl w:val="0"/>
          <w:numId w:val="49"/>
        </w:numPr>
        <w:jc w:val="both"/>
        <w:rPr>
          <w:rFonts w:ascii="Times New Roman" w:hAnsi="Times New Roman" w:cs="Times New Roman"/>
        </w:rPr>
      </w:pPr>
      <w:r w:rsidRPr="001D6792">
        <w:rPr>
          <w:rFonts w:ascii="Times New Roman" w:hAnsi="Times New Roman" w:cs="Times New Roman"/>
        </w:rPr>
        <w:t xml:space="preserve">This is an area in which there is a marked difference in the courts’ approach to children aged under 16 as compared to those aged 16 and over. Whereas </w:t>
      </w:r>
      <w:r w:rsidRPr="001D6792">
        <w:rPr>
          <w:rFonts w:ascii="Times New Roman" w:hAnsi="Times New Roman" w:cs="Times New Roman"/>
          <w:color w:val="000000" w:themeColor="text1"/>
        </w:rPr>
        <w:t xml:space="preserve">in </w:t>
      </w:r>
      <w:r w:rsidRPr="001D6792">
        <w:rPr>
          <w:rFonts w:ascii="Times New Roman" w:hAnsi="Times New Roman" w:cs="Times New Roman"/>
          <w:i/>
          <w:iCs/>
          <w:color w:val="000000" w:themeColor="text1"/>
        </w:rPr>
        <w:t xml:space="preserve">Re D (A Child) </w:t>
      </w:r>
      <w:r w:rsidRPr="001D6792">
        <w:rPr>
          <w:rFonts w:ascii="Times New Roman" w:hAnsi="Times New Roman" w:cs="Times New Roman"/>
          <w:color w:val="000000" w:themeColor="text1"/>
        </w:rPr>
        <w:t>(2019)</w:t>
      </w:r>
      <w:r>
        <w:rPr>
          <w:rStyle w:val="FootnoteReference"/>
          <w:rFonts w:ascii="Times New Roman" w:hAnsi="Times New Roman" w:cs="Times New Roman"/>
          <w:color w:val="000000" w:themeColor="text1"/>
        </w:rPr>
        <w:footnoteReference w:id="35"/>
      </w:r>
      <w:r w:rsidRPr="001D6792">
        <w:rPr>
          <w:rFonts w:ascii="Times New Roman" w:hAnsi="Times New Roman" w:cs="Times New Roman"/>
          <w:color w:val="000000" w:themeColor="text1"/>
        </w:rPr>
        <w:t xml:space="preserve"> the Supreme Court held that parents cannot consent to their 16- or 17-year-old child’s confinement, their decision does not apply to those aged under 16.</w:t>
      </w:r>
      <w:r w:rsidRPr="001D6792">
        <w:rPr>
          <w:rFonts w:ascii="Times New Roman" w:hAnsi="Times New Roman" w:cs="Times New Roman"/>
        </w:rPr>
        <w:t xml:space="preserve">  Where a child aged under 16 is not ‘</w:t>
      </w:r>
      <w:r w:rsidRPr="001D6792">
        <w:rPr>
          <w:rFonts w:ascii="Times New Roman" w:hAnsi="Times New Roman" w:cs="Times New Roman"/>
          <w:i/>
        </w:rPr>
        <w:t>Gillick</w:t>
      </w:r>
      <w:r w:rsidRPr="001D6792">
        <w:rPr>
          <w:rFonts w:ascii="Times New Roman" w:hAnsi="Times New Roman" w:cs="Times New Roman"/>
        </w:rPr>
        <w:t xml:space="preserve"> competent’ to do so, their parents can consent to the child’s confinement, provided that they are acting in their child’s best interests and the decision falls within the ‘zone’ or ‘scope’ of parental responsibility.</w:t>
      </w:r>
      <w:r>
        <w:rPr>
          <w:rStyle w:val="FootnoteReference"/>
          <w:rFonts w:ascii="Times New Roman" w:hAnsi="Times New Roman" w:cs="Times New Roman"/>
        </w:rPr>
        <w:footnoteReference w:id="36"/>
      </w:r>
    </w:p>
    <w:p w:rsidR="00675F59" w:rsidRPr="001D6792" w:rsidP="00463694">
      <w:pPr>
        <w:pStyle w:val="ListParagraph"/>
        <w:jc w:val="both"/>
        <w:rPr>
          <w:rFonts w:ascii="Times New Roman" w:hAnsi="Times New Roman" w:cs="Times New Roman"/>
        </w:rPr>
      </w:pPr>
    </w:p>
    <w:p w:rsidR="00675F59" w:rsidRPr="001D6792" w:rsidP="001D6792">
      <w:pPr>
        <w:pStyle w:val="ListParagraph"/>
        <w:numPr>
          <w:ilvl w:val="0"/>
          <w:numId w:val="49"/>
        </w:numPr>
        <w:jc w:val="both"/>
        <w:rPr>
          <w:rFonts w:ascii="Times New Roman" w:hAnsi="Times New Roman" w:cs="Times New Roman"/>
        </w:rPr>
      </w:pPr>
      <w:r w:rsidRPr="001D6792">
        <w:rPr>
          <w:rFonts w:ascii="Times New Roman" w:hAnsi="Times New Roman" w:cs="Times New Roman"/>
        </w:rPr>
        <w:t xml:space="preserve">An important exception is where a child is subject to a care order. The local authority responsible for the care order cannot consent to the confinement arising from the care arrangements it has put in place. The Court of Appeal has made clear that in such cases the </w:t>
      </w:r>
      <w:r w:rsidRPr="001D6792">
        <w:rPr>
          <w:rFonts w:ascii="Times New Roman" w:hAnsi="Times New Roman" w:cs="Times New Roman"/>
        </w:rPr>
        <w:t>local authority would need to apply to the court for an authorisation of the child’s deprivation of liberty.</w:t>
      </w:r>
      <w:r>
        <w:rPr>
          <w:rStyle w:val="FootnoteReference"/>
          <w:rFonts w:ascii="Times New Roman" w:hAnsi="Times New Roman" w:cs="Times New Roman"/>
        </w:rPr>
        <w:footnoteReference w:id="37"/>
      </w:r>
      <w:r w:rsidRPr="001D6792">
        <w:rPr>
          <w:rFonts w:ascii="Times New Roman" w:hAnsi="Times New Roman" w:cs="Times New Roman"/>
        </w:rPr>
        <w:t xml:space="preserve"> However, there remains significant uncertainty about the relevance of parental consent in other circumstances, such as local authority placements under section 20 of the CA 1989. For example: </w:t>
      </w:r>
    </w:p>
    <w:p w:rsidR="00675F59" w:rsidRPr="001D6792" w:rsidP="00447C94">
      <w:pPr>
        <w:jc w:val="both"/>
      </w:pPr>
    </w:p>
    <w:p w:rsidR="00675F59" w:rsidRPr="001D6792" w:rsidP="00344D6B">
      <w:pPr>
        <w:pStyle w:val="ListParagraph"/>
        <w:numPr>
          <w:ilvl w:val="0"/>
          <w:numId w:val="38"/>
        </w:numPr>
        <w:jc w:val="both"/>
        <w:rPr>
          <w:rFonts w:ascii="Times New Roman" w:hAnsi="Times New Roman" w:cs="Times New Roman"/>
        </w:rPr>
      </w:pPr>
      <w:r w:rsidRPr="001D6792">
        <w:rPr>
          <w:rFonts w:ascii="Times New Roman" w:hAnsi="Times New Roman" w:cs="Times New Roman"/>
          <w:i/>
        </w:rPr>
        <w:t>How is it determined whether a child is ‘Gillick competent’</w:t>
      </w:r>
      <w:r w:rsidRPr="001D6792">
        <w:rPr>
          <w:rFonts w:ascii="Times New Roman" w:hAnsi="Times New Roman" w:cs="Times New Roman"/>
          <w:i/>
          <w:iCs/>
        </w:rPr>
        <w:t xml:space="preserve"> or not?</w:t>
      </w:r>
      <w:r w:rsidRPr="001D6792">
        <w:rPr>
          <w:rFonts w:ascii="Times New Roman" w:hAnsi="Times New Roman" w:cs="Times New Roman"/>
        </w:rPr>
        <w:t xml:space="preserve">  As noted above, there is no established test for assessing whether a child aged under 16 can make the decision in question (namely whether to consent to the restrictions that confine them). </w:t>
      </w:r>
    </w:p>
    <w:p w:rsidR="00675F59" w:rsidRPr="001D6792" w:rsidP="00447C94">
      <w:pPr>
        <w:pStyle w:val="ListParagraph"/>
        <w:ind w:left="781"/>
        <w:jc w:val="both"/>
        <w:rPr>
          <w:rFonts w:ascii="Times New Roman" w:hAnsi="Times New Roman" w:cs="Times New Roman"/>
        </w:rPr>
      </w:pPr>
    </w:p>
    <w:p w:rsidR="00675F59" w:rsidRPr="001D6792" w:rsidP="00344D6B">
      <w:pPr>
        <w:pStyle w:val="ListParagraph"/>
        <w:numPr>
          <w:ilvl w:val="0"/>
          <w:numId w:val="38"/>
        </w:numPr>
        <w:jc w:val="both"/>
        <w:rPr>
          <w:rFonts w:ascii="Times New Roman" w:hAnsi="Times New Roman" w:cs="Times New Roman"/>
        </w:rPr>
      </w:pPr>
      <w:r w:rsidRPr="001D6792">
        <w:rPr>
          <w:rFonts w:ascii="Times New Roman" w:hAnsi="Times New Roman" w:cs="Times New Roman"/>
          <w:i/>
        </w:rPr>
        <w:t>What are the limits of the ‘zone of parental responsibility’?</w:t>
      </w:r>
      <w:r w:rsidRPr="001D6792">
        <w:rPr>
          <w:rFonts w:ascii="Times New Roman" w:hAnsi="Times New Roman" w:cs="Times New Roman"/>
        </w:rPr>
        <w:t xml:space="preserve"> While the courts emphasise that the parents must act in their child’s best interests, there is little discussion on how this is assessed. The extent to which the level of restrictions imposed, or the child’s wishes and feelings, are regarded as relevant factors is also unclear. As noted above both Article 8 ECHR and Article 12 UNCRC emphasise the importance of taking the child’s views into account. In a provision similar to Article 12 UNCRC, </w:t>
      </w:r>
      <w:r w:rsidRPr="001D6792">
        <w:rPr>
          <w:rFonts w:ascii="Times New Roman" w:hAnsi="Times New Roman" w:cs="Times New Roman"/>
          <w:color w:val="000000" w:themeColor="text1"/>
        </w:rPr>
        <w:t>Article 7(3) of UN Convention on the Rights of Persons with Disabilities (UNCRPD) adds that disabled children are ‘to be provided with disability and age-appropriate assistance to realize that right’.</w:t>
      </w:r>
    </w:p>
    <w:p w:rsidR="00675F59" w:rsidRPr="001D6792" w:rsidP="00463694">
      <w:pPr>
        <w:pStyle w:val="ListParagraph"/>
        <w:jc w:val="both"/>
        <w:rPr>
          <w:rFonts w:ascii="Times New Roman" w:hAnsi="Times New Roman" w:cs="Times New Roman"/>
        </w:rPr>
      </w:pPr>
    </w:p>
    <w:p w:rsidR="00675F59" w:rsidRPr="001D6792" w:rsidP="00344D6B">
      <w:pPr>
        <w:pStyle w:val="ListParagraph"/>
        <w:numPr>
          <w:ilvl w:val="0"/>
          <w:numId w:val="38"/>
        </w:numPr>
        <w:jc w:val="both"/>
        <w:rPr>
          <w:rFonts w:ascii="Times New Roman" w:hAnsi="Times New Roman" w:cs="Times New Roman"/>
        </w:rPr>
      </w:pPr>
      <w:r w:rsidRPr="001D6792">
        <w:rPr>
          <w:rFonts w:ascii="Times New Roman" w:hAnsi="Times New Roman" w:cs="Times New Roman"/>
          <w:i/>
        </w:rPr>
        <w:t xml:space="preserve">Is reliance on parental consent compatible with Article 14 ECHR? </w:t>
      </w:r>
      <w:r w:rsidRPr="001D6792">
        <w:rPr>
          <w:rFonts w:ascii="Times New Roman" w:hAnsi="Times New Roman" w:cs="Times New Roman"/>
        </w:rPr>
        <w:t xml:space="preserve">In the recent case of </w:t>
      </w:r>
      <w:r w:rsidRPr="001D6792">
        <w:rPr>
          <w:rFonts w:ascii="Times New Roman" w:hAnsi="Times New Roman" w:cs="Times New Roman"/>
          <w:i/>
        </w:rPr>
        <w:t>QX (Parent Consent: Deprivation of Liberty: Children under 16</w:t>
      </w:r>
      <w:r w:rsidRPr="001D6792">
        <w:rPr>
          <w:rFonts w:ascii="Times New Roman" w:hAnsi="Times New Roman" w:cs="Times New Roman"/>
          <w:i/>
          <w:iCs/>
        </w:rPr>
        <w:t>),</w:t>
      </w:r>
      <w:r w:rsidRPr="001D6792">
        <w:rPr>
          <w:rFonts w:ascii="Times New Roman" w:hAnsi="Times New Roman" w:cs="Times New Roman"/>
          <w:i/>
        </w:rPr>
        <w:t xml:space="preserve"> </w:t>
      </w:r>
      <w:r w:rsidRPr="001D6792">
        <w:rPr>
          <w:rFonts w:ascii="Times New Roman" w:hAnsi="Times New Roman" w:cs="Times New Roman"/>
        </w:rPr>
        <w:t>Burrows HHJ questioned the appropriateness of existing case law which treats disabled children differently from non-disabled children. Noting a previous case in which the decision to keep a 15 year old under constant supervision and control was found to be a responsible exercise of parental responsibility because the boy was autistic and had severe learning disabilities, whereas it would not be for a non-disabled child of the same age, the judge asked: ‘</w:t>
      </w:r>
      <w:r w:rsidRPr="001D6792">
        <w:rPr>
          <w:rFonts w:ascii="Times New Roman" w:hAnsi="Times New Roman" w:cs="Times New Roman"/>
          <w:i/>
        </w:rPr>
        <w:t>Does it not deprive the more vulnerable from the protections of Article 5 which are designed to protect the most vulnerable?’</w:t>
      </w:r>
      <w:r>
        <w:rPr>
          <w:rStyle w:val="FootnoteReference"/>
          <w:rFonts w:ascii="Times New Roman" w:hAnsi="Times New Roman" w:cs="Times New Roman"/>
          <w:i/>
        </w:rPr>
        <w:footnoteReference w:id="38"/>
      </w:r>
    </w:p>
    <w:p w:rsidR="00675F59" w:rsidRPr="001D6792" w:rsidP="00ED13D2">
      <w:pPr>
        <w:jc w:val="both"/>
      </w:pPr>
    </w:p>
    <w:p w:rsidR="00675F59" w:rsidRPr="001D6792" w:rsidP="001D6792">
      <w:pPr>
        <w:pStyle w:val="ListParagraph"/>
        <w:numPr>
          <w:ilvl w:val="0"/>
          <w:numId w:val="49"/>
        </w:numPr>
        <w:jc w:val="both"/>
        <w:rPr>
          <w:rFonts w:ascii="Times New Roman" w:hAnsi="Times New Roman" w:cs="Times New Roman"/>
        </w:rPr>
      </w:pPr>
      <w:r w:rsidRPr="001D6792">
        <w:rPr>
          <w:rFonts w:ascii="Times New Roman" w:hAnsi="Times New Roman" w:cs="Times New Roman"/>
        </w:rPr>
        <w:t>Another concern is that, given the difficulties in finding adequate placements for children with complex needs, parents may feel under pressure to consent to the proposed arrangements.</w:t>
      </w:r>
      <w:r>
        <w:rPr>
          <w:rStyle w:val="FootnoteReference"/>
          <w:rFonts w:ascii="Times New Roman" w:hAnsi="Times New Roman" w:cs="Times New Roman"/>
        </w:rPr>
        <w:footnoteReference w:id="39"/>
      </w:r>
      <w:r w:rsidRPr="001D6792">
        <w:rPr>
          <w:rFonts w:ascii="Times New Roman" w:hAnsi="Times New Roman" w:cs="Times New Roman"/>
        </w:rPr>
        <w:t xml:space="preserve">  </w:t>
      </w:r>
    </w:p>
    <w:p w:rsidR="00675F59" w:rsidRPr="001D6792" w:rsidP="00463694">
      <w:pPr>
        <w:jc w:val="both"/>
      </w:pPr>
    </w:p>
    <w:p w:rsidR="00675F59" w:rsidRPr="001D6792" w:rsidP="00463694">
      <w:pPr>
        <w:jc w:val="both"/>
      </w:pPr>
    </w:p>
    <w:p w:rsidR="00675F59" w:rsidRPr="001D6792" w:rsidP="00696FD2">
      <w:pPr>
        <w:pStyle w:val="ListParagraph"/>
        <w:ind w:left="360"/>
        <w:jc w:val="both"/>
        <w:rPr>
          <w:rFonts w:ascii="Times New Roman" w:hAnsi="Times New Roman" w:cs="Times New Roman"/>
        </w:rPr>
      </w:pPr>
    </w:p>
    <w:p w:rsidR="00675F59" w:rsidRPr="001D6792" w:rsidP="0080746A">
      <w:pPr>
        <w:pStyle w:val="ListParagraph"/>
        <w:numPr>
          <w:ilvl w:val="0"/>
          <w:numId w:val="40"/>
        </w:numPr>
        <w:jc w:val="both"/>
        <w:rPr>
          <w:rFonts w:ascii="Times New Roman" w:hAnsi="Times New Roman" w:cs="Times New Roman"/>
          <w:b/>
        </w:rPr>
      </w:pPr>
      <w:r w:rsidRPr="001D6792">
        <w:rPr>
          <w:rFonts w:ascii="Times New Roman" w:hAnsi="Times New Roman" w:cs="Times New Roman"/>
          <w:b/>
        </w:rPr>
        <w:t xml:space="preserve">In-patient Psychiatric Care: Connections with Social Care  </w:t>
      </w:r>
    </w:p>
    <w:p w:rsidR="00675F59" w:rsidRPr="001D6792" w:rsidP="00463694">
      <w:pPr>
        <w:jc w:val="both"/>
      </w:pPr>
    </w:p>
    <w:p w:rsidR="00675F59" w:rsidRPr="001D6792" w:rsidP="001D6792">
      <w:pPr>
        <w:pStyle w:val="ListParagraph"/>
        <w:numPr>
          <w:ilvl w:val="0"/>
          <w:numId w:val="49"/>
        </w:numPr>
        <w:jc w:val="both"/>
        <w:rPr>
          <w:rFonts w:ascii="Times New Roman" w:hAnsi="Times New Roman" w:cs="Times New Roman"/>
        </w:rPr>
      </w:pPr>
      <w:r w:rsidRPr="001D6792">
        <w:rPr>
          <w:rFonts w:ascii="Times New Roman" w:hAnsi="Times New Roman" w:cs="Times New Roman"/>
        </w:rPr>
        <w:t xml:space="preserve">An important consideration when reviewing the rights of children and young people in the social care system is the recognition that those with significant mental health needs may move between NHS care settings and local authority care settings. This is an area where a range of legal and policy frameworks may apply, but how they relate to one another is not always understood. For example, greater clarity is needed on the following: </w:t>
      </w:r>
    </w:p>
    <w:p w:rsidR="00675F59" w:rsidRPr="001D6792" w:rsidP="00463694">
      <w:pPr>
        <w:jc w:val="both"/>
      </w:pPr>
    </w:p>
    <w:p w:rsidR="00675F59" w:rsidRPr="001D6792" w:rsidP="00463694">
      <w:pPr>
        <w:pStyle w:val="ListParagraph"/>
        <w:numPr>
          <w:ilvl w:val="0"/>
          <w:numId w:val="45"/>
        </w:numPr>
        <w:jc w:val="both"/>
        <w:rPr>
          <w:rFonts w:ascii="Times New Roman" w:hAnsi="Times New Roman" w:cs="Times New Roman"/>
        </w:rPr>
      </w:pPr>
      <w:r w:rsidRPr="001D6792">
        <w:rPr>
          <w:rFonts w:ascii="Times New Roman" w:hAnsi="Times New Roman" w:cs="Times New Roman"/>
        </w:rPr>
        <w:t xml:space="preserve">The basis on which in-patient psychiatric services for children and young people (often referred to as ‘CAMHS Tier 4’) determine whether admission is appropriate. In </w:t>
      </w:r>
      <w:r w:rsidRPr="001D6792">
        <w:rPr>
          <w:rFonts w:ascii="Times New Roman" w:hAnsi="Times New Roman" w:cs="Times New Roman"/>
          <w:i/>
        </w:rPr>
        <w:t>Blackpool v HT,</w:t>
      </w:r>
      <w:r>
        <w:rPr>
          <w:rStyle w:val="FootnoteReference"/>
          <w:rFonts w:ascii="Times New Roman" w:hAnsi="Times New Roman" w:cs="Times New Roman"/>
          <w:i/>
        </w:rPr>
        <w:footnoteReference w:id="40"/>
      </w:r>
      <w:r w:rsidRPr="001D6792">
        <w:rPr>
          <w:rFonts w:ascii="Times New Roman" w:hAnsi="Times New Roman" w:cs="Times New Roman"/>
          <w:i/>
        </w:rPr>
        <w:t xml:space="preserve"> </w:t>
      </w:r>
      <w:r w:rsidRPr="001D6792">
        <w:rPr>
          <w:rFonts w:ascii="Times New Roman" w:hAnsi="Times New Roman" w:cs="Times New Roman"/>
        </w:rPr>
        <w:t>the court noted that such admissions are based on a process, known as ‘Access Assessments’, which is designed to help prevent inappropriate admissions. However, it seems that there is no national published policy which explains how such ‘Access Assessments’ should be undertaken.</w:t>
      </w:r>
      <w:r>
        <w:rPr>
          <w:rStyle w:val="FootnoteReference"/>
          <w:rFonts w:ascii="Times New Roman" w:hAnsi="Times New Roman" w:cs="Times New Roman"/>
        </w:rPr>
        <w:footnoteReference w:id="41"/>
      </w:r>
      <w:r w:rsidRPr="001D6792">
        <w:rPr>
          <w:rFonts w:ascii="Times New Roman" w:hAnsi="Times New Roman" w:cs="Times New Roman"/>
        </w:rPr>
        <w:t xml:space="preserve"> Clarifying the process for determining eligibility for admission to CAMHS Tier 4 services would be relevant to the work being undertaken to address the gap in provision for children and young people with complex needs and ensure that they are receiving appropriate care and support.</w:t>
      </w:r>
      <w:r>
        <w:rPr>
          <w:rStyle w:val="FootnoteReference"/>
          <w:rFonts w:ascii="Times New Roman" w:hAnsi="Times New Roman" w:cs="Times New Roman"/>
        </w:rPr>
        <w:footnoteReference w:id="42"/>
      </w:r>
      <w:r w:rsidRPr="001D6792">
        <w:rPr>
          <w:rFonts w:ascii="Times New Roman" w:hAnsi="Times New Roman" w:cs="Times New Roman"/>
        </w:rPr>
        <w:t xml:space="preserve"> </w:t>
      </w:r>
    </w:p>
    <w:p w:rsidR="00675F59" w:rsidRPr="001D6792" w:rsidP="001E2DEE">
      <w:pPr>
        <w:pStyle w:val="ListParagraph"/>
        <w:ind w:left="781"/>
        <w:jc w:val="both"/>
        <w:rPr>
          <w:rFonts w:ascii="Times New Roman" w:hAnsi="Times New Roman" w:cs="Times New Roman"/>
        </w:rPr>
      </w:pPr>
    </w:p>
    <w:p w:rsidR="00675F59" w:rsidRPr="001D6792" w:rsidP="00463694">
      <w:pPr>
        <w:pStyle w:val="ListParagraph"/>
        <w:numPr>
          <w:ilvl w:val="0"/>
          <w:numId w:val="45"/>
        </w:numPr>
        <w:jc w:val="both"/>
        <w:rPr>
          <w:rFonts w:ascii="Times New Roman" w:hAnsi="Times New Roman" w:cs="Times New Roman"/>
        </w:rPr>
      </w:pPr>
      <w:r w:rsidRPr="001D6792">
        <w:rPr>
          <w:rFonts w:ascii="Times New Roman" w:hAnsi="Times New Roman" w:cs="Times New Roman"/>
        </w:rPr>
        <w:t>Local authorities’ responsibilities for children and young people who are admitted to hospital for assessment and/or treatment for their mental health needs. These include the recognition that all such children and young people fall within the definition of a child in need under section 17 of the CA 1989</w:t>
      </w:r>
      <w:r>
        <w:rPr>
          <w:rStyle w:val="FootnoteReference"/>
          <w:rFonts w:ascii="Times New Roman" w:hAnsi="Times New Roman" w:cs="Times New Roman"/>
        </w:rPr>
        <w:footnoteReference w:id="43"/>
      </w:r>
      <w:r w:rsidRPr="001D6792">
        <w:rPr>
          <w:rFonts w:ascii="Times New Roman" w:hAnsi="Times New Roman" w:cs="Times New Roman"/>
        </w:rPr>
        <w:t xml:space="preserve"> and that local authorities have continuing responsibilities to looked after children (whether subject to a care order or having been placed in accommodation under section 20 of the CA 1989</w:t>
      </w:r>
      <w:r>
        <w:rPr>
          <w:rStyle w:val="FootnoteReference"/>
          <w:rFonts w:ascii="Times New Roman" w:hAnsi="Times New Roman" w:cs="Times New Roman"/>
        </w:rPr>
        <w:footnoteReference w:id="44"/>
      </w:r>
      <w:r w:rsidRPr="001D6792">
        <w:rPr>
          <w:rFonts w:ascii="Times New Roman" w:hAnsi="Times New Roman" w:cs="Times New Roman"/>
        </w:rPr>
        <w:t>).</w:t>
      </w:r>
    </w:p>
    <w:p w:rsidR="00675F59" w:rsidRPr="001D6792" w:rsidP="00713039">
      <w:pPr>
        <w:jc w:val="both"/>
      </w:pPr>
    </w:p>
    <w:p w:rsidR="00675F59" w:rsidRPr="001D6792" w:rsidP="00463694">
      <w:pPr>
        <w:pStyle w:val="ListParagraph"/>
        <w:numPr>
          <w:ilvl w:val="0"/>
          <w:numId w:val="45"/>
        </w:numPr>
        <w:jc w:val="both"/>
        <w:rPr>
          <w:rFonts w:ascii="Times New Roman" w:hAnsi="Times New Roman" w:cs="Times New Roman"/>
        </w:rPr>
      </w:pPr>
      <w:r w:rsidRPr="001D6792">
        <w:rPr>
          <w:rFonts w:ascii="Times New Roman" w:hAnsi="Times New Roman" w:cs="Times New Roman"/>
        </w:rPr>
        <w:t xml:space="preserve">The joint responsibilities on local authorities and NHS bodies where a child or young person is eligible for aftercare services under section 117 of the MHA 1983 and how section 117 interacts with the provisions for looked after children under the CA 1989. </w:t>
      </w:r>
    </w:p>
    <w:p w:rsidR="00675F59" w:rsidRPr="001D6792" w:rsidP="00463694">
      <w:pPr>
        <w:jc w:val="both"/>
      </w:pPr>
    </w:p>
    <w:p w:rsidR="00675F59" w:rsidRPr="001D6792" w:rsidP="001D6792">
      <w:pPr>
        <w:pStyle w:val="ListParagraph"/>
        <w:numPr>
          <w:ilvl w:val="0"/>
          <w:numId w:val="49"/>
        </w:numPr>
        <w:jc w:val="both"/>
        <w:rPr>
          <w:rFonts w:ascii="Times New Roman" w:hAnsi="Times New Roman" w:cs="Times New Roman"/>
        </w:rPr>
      </w:pPr>
      <w:r w:rsidRPr="001D6792">
        <w:rPr>
          <w:rFonts w:ascii="Times New Roman" w:hAnsi="Times New Roman" w:cs="Times New Roman"/>
        </w:rPr>
        <w:t>It should also be noted that the concerns relating to a deprivation of liberty and parental consent are relevant to the admission to hospital of children aged under 16. If a child is admitted to hospital on the basis of parental consent they will be ‘informal’ and with limited exceptions,</w:t>
      </w:r>
      <w:r>
        <w:rPr>
          <w:rStyle w:val="FootnoteReference"/>
          <w:rFonts w:ascii="Times New Roman" w:hAnsi="Times New Roman" w:cs="Times New Roman"/>
        </w:rPr>
        <w:footnoteReference w:id="45"/>
      </w:r>
      <w:r w:rsidRPr="001D6792">
        <w:rPr>
          <w:rFonts w:ascii="Times New Roman" w:hAnsi="Times New Roman" w:cs="Times New Roman"/>
        </w:rPr>
        <w:t xml:space="preserve"> the safeguards under the MHA 1983 (such as the right to the assistance of an Independent Mental Health Advocate (IMHA) do not apply to them.  </w:t>
      </w:r>
    </w:p>
    <w:p w:rsidR="00675F59" w:rsidRPr="001D6792" w:rsidP="00463694">
      <w:pPr>
        <w:jc w:val="both"/>
      </w:pPr>
    </w:p>
    <w:p w:rsidR="00675F59" w:rsidRPr="001D6792" w:rsidP="00463694">
      <w:pPr>
        <w:jc w:val="both"/>
        <w:rPr>
          <w:i/>
          <w:iCs/>
        </w:rPr>
      </w:pPr>
    </w:p>
    <w:p w:rsidR="00675F59" w:rsidRPr="001D6792" w:rsidP="00463694">
      <w:pPr>
        <w:jc w:val="both"/>
        <w:rPr>
          <w:b/>
          <w:bCs/>
        </w:rPr>
      </w:pPr>
      <w:r w:rsidRPr="001D6792">
        <w:rPr>
          <w:b/>
          <w:bCs/>
        </w:rPr>
        <w:t>Final remarks</w:t>
      </w:r>
    </w:p>
    <w:p w:rsidR="00675F59" w:rsidRPr="001D6792" w:rsidP="00463694">
      <w:pPr>
        <w:jc w:val="both"/>
        <w:rPr>
          <w:i/>
          <w:iCs/>
        </w:rPr>
      </w:pPr>
    </w:p>
    <w:p w:rsidR="00675F59" w:rsidRPr="001D6792" w:rsidP="001D6792">
      <w:pPr>
        <w:pStyle w:val="ListParagraph"/>
        <w:numPr>
          <w:ilvl w:val="0"/>
          <w:numId w:val="49"/>
        </w:numPr>
        <w:jc w:val="both"/>
        <w:rPr>
          <w:rFonts w:ascii="Times New Roman" w:hAnsi="Times New Roman" w:cs="Times New Roman"/>
        </w:rPr>
      </w:pPr>
      <w:r w:rsidRPr="001D6792">
        <w:rPr>
          <w:rFonts w:ascii="Times New Roman" w:hAnsi="Times New Roman" w:cs="Times New Roman"/>
        </w:rPr>
        <w:t xml:space="preserve">Thank you for the opportunity to submit evidence to this very important inquiry. If it would be helpful to the Committee, I would be happy to provide further information on the points raised in this submission. </w:t>
      </w:r>
    </w:p>
    <w:p w:rsidR="00675F59" w:rsidRPr="001D6792" w:rsidP="0045428F">
      <w:pPr>
        <w:jc w:val="both"/>
      </w:pPr>
    </w:p>
    <w:p w:rsidR="00675F59" w:rsidRPr="001D6792" w:rsidP="000B1DC5">
      <w:pPr>
        <w:jc w:val="both"/>
      </w:pPr>
    </w:p>
    <w:p w:rsidR="00675F59" w:rsidRPr="004565F1" w:rsidP="00463694">
      <w:pPr>
        <w:jc w:val="both"/>
        <w:rPr>
          <w:rFonts w:asciiTheme="majorHAnsi" w:hAnsiTheme="majorHAnsi"/>
          <w:b/>
          <w:bCs/>
          <w:i/>
          <w:iCs/>
        </w:rPr>
      </w:pPr>
      <w:r>
        <w:rPr>
          <w:rFonts w:asciiTheme="majorHAnsi" w:hAnsiTheme="majorHAnsi"/>
          <w:b/>
          <w:i/>
          <w:iCs/>
        </w:rPr>
        <w:t>(</w:t>
      </w:r>
      <w:r w:rsidRPr="004565F1">
        <w:rPr>
          <w:rFonts w:asciiTheme="majorHAnsi" w:hAnsiTheme="majorHAnsi"/>
          <w:b/>
          <w:i/>
          <w:iCs/>
        </w:rPr>
        <w:t>Sept 2025</w:t>
      </w:r>
      <w:r>
        <w:rPr>
          <w:rFonts w:asciiTheme="majorHAnsi" w:hAnsiTheme="majorHAnsi"/>
          <w:b/>
          <w:i/>
          <w:iCs/>
        </w:rPr>
        <w:t>)</w:t>
      </w:r>
    </w:p>
    <w:p w:rsidR="00675F59" w:rsidRPr="001D6792" w:rsidP="0045428F">
      <w:pPr>
        <w:jc w:val="both"/>
      </w:pPr>
    </w:p>
    <w:sectPr>
      <w:footerReference w:type="even" r:id="rId5"/>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2015832178"/>
      <w:docPartObj>
        <w:docPartGallery w:val="Page Numbers (Bottom of Page)"/>
        <w:docPartUnique/>
      </w:docPartObj>
    </w:sdtPr>
    <w:sdtEndPr>
      <w:rPr>
        <w:rStyle w:val="PageNumber"/>
      </w:rPr>
    </w:sdtEndPr>
    <w:sdtContent>
      <w:p w:rsidR="00675F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675F59" w:rsidP="00C62A8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5F59" w:rsidP="00C62A8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35260" w:rsidP="00E22496">
      <w:r>
        <w:separator/>
      </w:r>
    </w:p>
  </w:footnote>
  <w:footnote w:type="continuationSeparator" w:id="1">
    <w:p w:rsidR="00335260" w:rsidP="00E22496">
      <w:r>
        <w:continuationSeparator/>
      </w:r>
    </w:p>
  </w:footnote>
  <w:footnote w:id="2">
    <w:p w:rsidR="00675F59" w:rsidRPr="00D00742">
      <w:pPr>
        <w:pStyle w:val="FootnoteText"/>
      </w:pPr>
      <w:r>
        <w:rPr>
          <w:rStyle w:val="FootnoteReference"/>
        </w:rPr>
        <w:footnoteRef/>
      </w:r>
      <w:r>
        <w:t xml:space="preserve"> J MacAlister, </w:t>
      </w:r>
      <w:r>
        <w:rPr>
          <w:i/>
          <w:iCs/>
        </w:rPr>
        <w:t xml:space="preserve">The independent review of children’s social care – Final Report </w:t>
      </w:r>
      <w:r>
        <w:t xml:space="preserve">(May 2022) p.176. </w:t>
      </w:r>
    </w:p>
  </w:footnote>
  <w:footnote w:id="3">
    <w:p w:rsidR="00675F59" w:rsidP="00B94694">
      <w:pPr>
        <w:pStyle w:val="FootnoteText"/>
      </w:pPr>
      <w:r>
        <w:rPr>
          <w:rStyle w:val="FootnoteReference"/>
        </w:rPr>
        <w:footnoteRef/>
      </w:r>
      <w:r>
        <w:t xml:space="preserve"> Law Commission, Consultation Paper 265, October 2024, Paper, paragraphs 21.9-21.13  </w:t>
      </w:r>
    </w:p>
  </w:footnote>
  <w:footnote w:id="4">
    <w:p w:rsidR="00675F59" w:rsidP="00F74009">
      <w:pPr>
        <w:pStyle w:val="FootnoteText"/>
      </w:pPr>
      <w:r>
        <w:rPr>
          <w:rStyle w:val="FootnoteReference"/>
        </w:rPr>
        <w:footnoteRef/>
      </w:r>
      <w:r>
        <w:t xml:space="preserve"> Law Commission, Consultation Paper 265, October 2024, paragraph 21.11 Consultation Question 74 (page 271) sets out the proposed decisions.  </w:t>
      </w:r>
    </w:p>
  </w:footnote>
  <w:footnote w:id="5">
    <w:p w:rsidR="00675F59">
      <w:pPr>
        <w:pStyle w:val="FootnoteText"/>
      </w:pPr>
      <w:r>
        <w:rPr>
          <w:rStyle w:val="FootnoteReference"/>
        </w:rPr>
        <w:footnoteRef/>
      </w:r>
      <w:r>
        <w:t xml:space="preserve"> </w:t>
      </w:r>
      <w:r w:rsidRPr="00463694">
        <w:t>Law Commission, Consultation Paper 265, October 2024</w:t>
      </w:r>
      <w:r>
        <w:t xml:space="preserve"> (see the table on page 264). </w:t>
      </w:r>
    </w:p>
  </w:footnote>
  <w:footnote w:id="6">
    <w:p w:rsidR="00675F59">
      <w:pPr>
        <w:pStyle w:val="FootnoteText"/>
      </w:pPr>
      <w:r>
        <w:rPr>
          <w:rStyle w:val="FootnoteReference"/>
        </w:rPr>
        <w:footnoteRef/>
      </w:r>
      <w:r>
        <w:t xml:space="preserve"> Law Commission, Consultation Paper 265, Consultation Question 75</w:t>
      </w:r>
    </w:p>
  </w:footnote>
  <w:footnote w:id="7">
    <w:p w:rsidR="00675F59" w:rsidP="002309B2">
      <w:pPr>
        <w:pStyle w:val="FootnoteText"/>
      </w:pPr>
      <w:r>
        <w:rPr>
          <w:rStyle w:val="FootnoteReference"/>
        </w:rPr>
        <w:footnoteRef/>
      </w:r>
      <w:r>
        <w:t xml:space="preserve"> Law Commission, Consultation Paper 265, October 2024, Consultation Question 76. </w:t>
      </w:r>
    </w:p>
  </w:footnote>
  <w:footnote w:id="8">
    <w:p w:rsidR="00675F59" w:rsidRPr="004E207D">
      <w:pPr>
        <w:pStyle w:val="FootnoteText"/>
      </w:pPr>
      <w:r>
        <w:rPr>
          <w:rStyle w:val="FootnoteReference"/>
        </w:rPr>
        <w:footnoteRef/>
      </w:r>
      <w:r>
        <w:t xml:space="preserve"> Joint Committee on Human Rights, </w:t>
      </w:r>
      <w:r>
        <w:rPr>
          <w:i/>
          <w:iCs/>
        </w:rPr>
        <w:t xml:space="preserve">Legislative scrutiny: Mental Health Bill: Government Response, </w:t>
      </w:r>
      <w:r>
        <w:t xml:space="preserve">Third Special Report of Session 2024-25, HC 1217, p. 10. </w:t>
      </w:r>
    </w:p>
  </w:footnote>
  <w:footnote w:id="9">
    <w:p w:rsidR="00675F59" w:rsidRPr="00463694" w:rsidP="00BC775D">
      <w:pPr>
        <w:pStyle w:val="FootnoteText"/>
      </w:pPr>
      <w:r w:rsidRPr="00463694">
        <w:rPr>
          <w:rStyle w:val="FootnoteReference"/>
        </w:rPr>
        <w:footnoteRef/>
      </w:r>
      <w:r w:rsidRPr="00463694">
        <w:t xml:space="preserve"> Joint Committee on Human Rights, </w:t>
      </w:r>
      <w:r w:rsidRPr="00463694">
        <w:rPr>
          <w:i/>
          <w:iCs/>
        </w:rPr>
        <w:t xml:space="preserve">Legislative scrutiny: Mental Health Bill, </w:t>
      </w:r>
      <w:r w:rsidRPr="00463694">
        <w:t xml:space="preserve">Third Report of Session 2024-25, HC 601 / HL Paper 126, paragraphs 102-106.  </w:t>
      </w:r>
    </w:p>
  </w:footnote>
  <w:footnote w:id="10">
    <w:p w:rsidR="00675F59" w:rsidP="000919F8">
      <w:pPr>
        <w:pStyle w:val="FootnoteText"/>
      </w:pPr>
      <w:r>
        <w:rPr>
          <w:rStyle w:val="FootnoteReference"/>
        </w:rPr>
        <w:footnoteRef/>
      </w:r>
      <w:r>
        <w:t xml:space="preserve"> Joint Committee on Human Rights, </w:t>
      </w:r>
      <w:r>
        <w:rPr>
          <w:i/>
          <w:iCs/>
        </w:rPr>
        <w:t xml:space="preserve">Legislative scrutiny: Mental Health Bill, </w:t>
      </w:r>
      <w:r>
        <w:t xml:space="preserve">Third Report of Session 2024-25, HC 601 / HL Paper 126, paragraph 106. </w:t>
      </w:r>
    </w:p>
  </w:footnote>
  <w:footnote w:id="11">
    <w:p w:rsidR="00675F59" w:rsidP="0077252B">
      <w:pPr>
        <w:pStyle w:val="FootnoteText"/>
      </w:pPr>
      <w:r>
        <w:rPr>
          <w:rStyle w:val="FootnoteReference"/>
        </w:rPr>
        <w:footnoteRef/>
      </w:r>
      <w:r>
        <w:t xml:space="preserve"> Law Commission, Consultation Paper 265, October 2024, paragraph 21.25. </w:t>
      </w:r>
    </w:p>
  </w:footnote>
  <w:footnote w:id="12">
    <w:p w:rsidR="00675F59" w:rsidRPr="00463694" w:rsidP="00122A6A">
      <w:pPr>
        <w:jc w:val="both"/>
        <w:rPr>
          <w:sz w:val="20"/>
          <w:szCs w:val="20"/>
        </w:rPr>
      </w:pPr>
      <w:r w:rsidRPr="00463694">
        <w:rPr>
          <w:rStyle w:val="FootnoteReference"/>
          <w:sz w:val="20"/>
          <w:szCs w:val="20"/>
        </w:rPr>
        <w:footnoteRef/>
      </w:r>
      <w:r w:rsidRPr="00463694">
        <w:rPr>
          <w:sz w:val="20"/>
          <w:szCs w:val="20"/>
        </w:rPr>
        <w:t xml:space="preserve"> </w:t>
      </w:r>
      <w:r w:rsidRPr="00122A6A">
        <w:rPr>
          <w:sz w:val="20"/>
          <w:szCs w:val="20"/>
        </w:rPr>
        <w:t xml:space="preserve">Joint Committee on the Draft Mental Health Bill, </w:t>
      </w:r>
      <w:r w:rsidRPr="00122A6A">
        <w:rPr>
          <w:i/>
          <w:iCs/>
          <w:sz w:val="20"/>
          <w:szCs w:val="20"/>
        </w:rPr>
        <w:t>Draft Mental Health Bill 2022</w:t>
      </w:r>
      <w:r w:rsidRPr="00122A6A">
        <w:rPr>
          <w:i/>
          <w:sz w:val="20"/>
          <w:szCs w:val="20"/>
        </w:rPr>
        <w:t xml:space="preserve"> </w:t>
      </w:r>
      <w:r w:rsidRPr="008C0E4D">
        <w:rPr>
          <w:rFonts w:eastAsiaTheme="minorHAnsi"/>
          <w:sz w:val="20"/>
          <w:szCs w:val="20"/>
        </w:rPr>
        <w:t>Report of Session 2022-</w:t>
      </w:r>
      <w:r w:rsidRPr="00122A6A">
        <w:rPr>
          <w:rFonts w:eastAsiaTheme="minorHAnsi"/>
          <w:sz w:val="20"/>
          <w:szCs w:val="20"/>
        </w:rPr>
        <w:t>23, January 2023, paragraph 216</w:t>
      </w:r>
    </w:p>
  </w:footnote>
  <w:footnote w:id="13">
    <w:p w:rsidR="00675F59">
      <w:pPr>
        <w:pStyle w:val="FootnoteText"/>
      </w:pPr>
      <w:r>
        <w:rPr>
          <w:rStyle w:val="FootnoteReference"/>
        </w:rPr>
        <w:footnoteRef/>
      </w:r>
      <w:r>
        <w:t xml:space="preserve"> [1985] UKHL 7 </w:t>
      </w:r>
    </w:p>
  </w:footnote>
  <w:footnote w:id="14">
    <w:p w:rsidR="00675F59" w:rsidRPr="00185E20" w:rsidP="0077252B">
      <w:pPr>
        <w:pStyle w:val="FootnoteText"/>
      </w:pPr>
      <w:r>
        <w:rPr>
          <w:rStyle w:val="FootnoteReference"/>
        </w:rPr>
        <w:footnoteRef/>
      </w:r>
      <w:r>
        <w:t xml:space="preserve"> As noted by Hedley in </w:t>
      </w:r>
      <w:r>
        <w:rPr>
          <w:i/>
          <w:iCs/>
        </w:rPr>
        <w:t xml:space="preserve">Mr L v Mrs P </w:t>
      </w:r>
      <w:r>
        <w:t>[2011] EWHC 3399 (paragraph 20), the te</w:t>
      </w:r>
    </w:p>
  </w:footnote>
  <w:footnote w:id="15">
    <w:p w:rsidR="00675F59" w:rsidP="0077252B">
      <w:pPr>
        <w:pStyle w:val="FootnoteText"/>
      </w:pPr>
      <w:r>
        <w:rPr>
          <w:rStyle w:val="FootnoteReference"/>
        </w:rPr>
        <w:footnoteRef/>
      </w:r>
      <w:r>
        <w:t xml:space="preserve"> S</w:t>
      </w:r>
      <w:r w:rsidRPr="00463694">
        <w:t>ee</w:t>
      </w:r>
      <w:r w:rsidRPr="008B5A26">
        <w:t xml:space="preserve"> for example Jane Fortin, </w:t>
      </w:r>
      <w:r w:rsidRPr="008B5A26">
        <w:rPr>
          <w:i/>
          <w:iCs/>
        </w:rPr>
        <w:t>Children’s Rights and</w:t>
      </w:r>
      <w:r>
        <w:rPr>
          <w:i/>
          <w:iCs/>
        </w:rPr>
        <w:t xml:space="preserve"> </w:t>
      </w:r>
      <w:r w:rsidRPr="008B5A26">
        <w:rPr>
          <w:i/>
          <w:iCs/>
        </w:rPr>
        <w:t xml:space="preserve">Developing Law </w:t>
      </w:r>
      <w:r w:rsidRPr="008B5A26">
        <w:t xml:space="preserve">(3rd edn, CUP, 2009) pp 148-149 and Aoife Daly, </w:t>
      </w:r>
      <w:r w:rsidRPr="005D51D1">
        <w:rPr>
          <w:i/>
        </w:rPr>
        <w:t>Assessing Children’s Capacity: Reconceptualising our Understanding through the UN Convention on the Rights of the Assessing Children’s Capacity: Reconceptualising our Understanding through the UN Convention on the Rights of the Child</w:t>
      </w:r>
      <w:r w:rsidRPr="00DB062A">
        <w:t xml:space="preserve"> (July 28,</w:t>
      </w:r>
      <w:r>
        <w:t xml:space="preserve"> </w:t>
      </w:r>
      <w:r w:rsidRPr="00DB062A">
        <w:t>2020). International Journal of Children's Rights 2020, in particular pages 1 and 19.</w:t>
      </w:r>
    </w:p>
  </w:footnote>
  <w:footnote w:id="16">
    <w:p w:rsidR="00675F59" w:rsidP="00091D2F">
      <w:pPr>
        <w:pStyle w:val="FootnoteText"/>
      </w:pPr>
      <w:r>
        <w:rPr>
          <w:rStyle w:val="FootnoteReference"/>
        </w:rPr>
        <w:footnoteRef/>
      </w:r>
      <w:r>
        <w:t xml:space="preserve"> </w:t>
      </w:r>
      <w:r w:rsidRPr="00463694">
        <w:t>Th</w:t>
      </w:r>
      <w:r>
        <w:t xml:space="preserve">is expression is coined by Alex Ruck Keene, see: </w:t>
      </w:r>
      <w:r>
        <w:fldChar w:fldCharType="begin"/>
      </w:r>
      <w:r>
        <w:instrText xml:space="preserve"> HYPERLINK "https://www.mentalcapacitylawandpolicy.org.uk/gillick-is-not-a-universal-test-an-important-clarification-from-the-court-of-appeal/" </w:instrText>
      </w:r>
      <w:r>
        <w:fldChar w:fldCharType="separate"/>
      </w:r>
      <w:r w:rsidRPr="000B7452">
        <w:rPr>
          <w:rStyle w:val="Hyperlink"/>
        </w:rPr>
        <w:t>https://www.mentalcapacitylawandpolicy.org.uk/gillick-is-not-a-universal-test-an-important-clarification-from-the-court-of-appeal/</w:t>
      </w:r>
      <w:r>
        <w:fldChar w:fldCharType="end"/>
      </w:r>
      <w:r>
        <w:t xml:space="preserve"> (posted 30</w:t>
      </w:r>
      <w:r w:rsidRPr="0078734D">
        <w:rPr>
          <w:vertAlign w:val="superscript"/>
        </w:rPr>
        <w:t>th</w:t>
      </w:r>
      <w:r>
        <w:t xml:space="preserve"> July 2025). </w:t>
      </w:r>
    </w:p>
  </w:footnote>
  <w:footnote w:id="17">
    <w:p w:rsidR="00675F59">
      <w:pPr>
        <w:pStyle w:val="FootnoteText"/>
      </w:pPr>
      <w:r>
        <w:rPr>
          <w:rStyle w:val="FootnoteReference"/>
        </w:rPr>
        <w:footnoteRef/>
      </w:r>
      <w:r>
        <w:t xml:space="preserve"> [2025] EWCA Civ 1011. </w:t>
      </w:r>
    </w:p>
  </w:footnote>
  <w:footnote w:id="18">
    <w:p w:rsidR="00675F59" w:rsidP="00091D2F">
      <w:pPr>
        <w:pStyle w:val="FootnoteText"/>
      </w:pPr>
      <w:r>
        <w:rPr>
          <w:rStyle w:val="FootnoteReference"/>
        </w:rPr>
        <w:footnoteRef/>
      </w:r>
      <w:r>
        <w:t xml:space="preserve"> </w:t>
      </w:r>
      <w:r w:rsidRPr="00783B4F">
        <w:rPr>
          <w:i/>
          <w:iCs/>
        </w:rPr>
        <w:t>Re S</w:t>
      </w:r>
      <w:r>
        <w:t xml:space="preserve"> (2025), paragraph 45 </w:t>
      </w:r>
    </w:p>
  </w:footnote>
  <w:footnote w:id="19">
    <w:p w:rsidR="00675F59" w:rsidP="00091D2F">
      <w:pPr>
        <w:pStyle w:val="FootnoteText"/>
      </w:pPr>
      <w:r>
        <w:rPr>
          <w:rStyle w:val="FootnoteReference"/>
        </w:rPr>
        <w:footnoteRef/>
      </w:r>
      <w:r>
        <w:t xml:space="preserve"> </w:t>
      </w:r>
      <w:r w:rsidRPr="00783B4F">
        <w:rPr>
          <w:i/>
          <w:iCs/>
        </w:rPr>
        <w:t>Re S</w:t>
      </w:r>
      <w:r>
        <w:t xml:space="preserve"> (2025), paragraph 47 </w:t>
      </w:r>
    </w:p>
  </w:footnote>
  <w:footnote w:id="20">
    <w:p w:rsidR="00675F59" w:rsidP="0077252B">
      <w:pPr>
        <w:pStyle w:val="FootnoteText"/>
      </w:pPr>
      <w:r>
        <w:rPr>
          <w:rStyle w:val="FootnoteReference"/>
        </w:rPr>
        <w:footnoteRef/>
      </w:r>
      <w:r>
        <w:t xml:space="preserve"> Baroness Merron, Minister for Patient Safety, Women’s Health and Mental Health, Column 1760 Mental Health Bill [HL] Voume 842, col 1760.  </w:t>
      </w:r>
    </w:p>
  </w:footnote>
  <w:footnote w:id="21">
    <w:p w:rsidR="00675F59" w:rsidP="0077252B">
      <w:pPr>
        <w:pStyle w:val="FootnoteText"/>
      </w:pPr>
      <w:r>
        <w:rPr>
          <w:rStyle w:val="FootnoteReference"/>
        </w:rPr>
        <w:footnoteRef/>
      </w:r>
      <w:r>
        <w:t xml:space="preserve"> Law Commission, Consultation Paper 265, October 2024, paragraph 21.29  </w:t>
      </w:r>
    </w:p>
  </w:footnote>
  <w:footnote w:id="22">
    <w:p w:rsidR="00675F59" w:rsidP="0077252B">
      <w:pPr>
        <w:pStyle w:val="FootnoteText"/>
      </w:pPr>
      <w:r>
        <w:rPr>
          <w:rStyle w:val="FootnoteReference"/>
        </w:rPr>
        <w:footnoteRef/>
      </w:r>
      <w:r>
        <w:t xml:space="preserve"> [2017] EWHC 2729 (Fam). </w:t>
      </w:r>
    </w:p>
  </w:footnote>
  <w:footnote w:id="23">
    <w:p w:rsidR="00675F59" w:rsidP="0077252B">
      <w:pPr>
        <w:pStyle w:val="FootnoteText"/>
      </w:pPr>
      <w:r>
        <w:rPr>
          <w:rStyle w:val="FootnoteReference"/>
        </w:rPr>
        <w:footnoteRef/>
      </w:r>
      <w:r>
        <w:t xml:space="preserve"> [2021] EWHC 65 (Fam). </w:t>
      </w:r>
    </w:p>
  </w:footnote>
  <w:footnote w:id="24">
    <w:p w:rsidR="00675F59" w:rsidP="0077252B">
      <w:pPr>
        <w:pStyle w:val="FootnoteText"/>
      </w:pPr>
      <w:r>
        <w:rPr>
          <w:rStyle w:val="FootnoteReference"/>
        </w:rPr>
        <w:footnoteRef/>
      </w:r>
      <w:r>
        <w:t xml:space="preserve"> [2021] EWCA Civ 1363. </w:t>
      </w:r>
    </w:p>
  </w:footnote>
  <w:footnote w:id="25">
    <w:p w:rsidR="00675F59" w:rsidP="0077252B">
      <w:pPr>
        <w:pStyle w:val="FootnoteText"/>
      </w:pPr>
      <w:r>
        <w:rPr>
          <w:rStyle w:val="FootnoteReference"/>
        </w:rPr>
        <w:footnoteRef/>
      </w:r>
      <w:r>
        <w:t xml:space="preserve"> </w:t>
      </w:r>
      <w:r w:rsidRPr="00463694">
        <w:rPr>
          <w:color w:val="000000"/>
        </w:rPr>
        <w:t>[2025] EWCA Civ 1011</w:t>
      </w:r>
    </w:p>
  </w:footnote>
  <w:footnote w:id="26">
    <w:p w:rsidR="00675F59" w:rsidP="0077252B">
      <w:pPr>
        <w:pStyle w:val="FootnoteText"/>
      </w:pPr>
      <w:r>
        <w:rPr>
          <w:rStyle w:val="FootnoteReference"/>
        </w:rPr>
        <w:footnoteRef/>
      </w:r>
      <w:r>
        <w:t xml:space="preserve"> [2017] EWHC 2729 (Fam). </w:t>
      </w:r>
    </w:p>
  </w:footnote>
  <w:footnote w:id="27">
    <w:p w:rsidR="00675F59" w:rsidP="0077252B">
      <w:pPr>
        <w:pStyle w:val="FootnoteText"/>
      </w:pPr>
      <w:r>
        <w:rPr>
          <w:rStyle w:val="FootnoteReference"/>
        </w:rPr>
        <w:footnoteRef/>
      </w:r>
      <w:r>
        <w:t xml:space="preserve"> Alex Ruck Keene </w:t>
      </w:r>
      <w:r>
        <w:fldChar w:fldCharType="begin"/>
      </w:r>
      <w:r>
        <w:instrText xml:space="preserve"> HYPERLINK "https://www.mentalcapacitylawandpolicy.org.uk/gillick-is-not-a-universal-test-an-important-clarification-from-the-court-of-appeal/" </w:instrText>
      </w:r>
      <w:r>
        <w:fldChar w:fldCharType="separate"/>
      </w:r>
      <w:r w:rsidRPr="00B6660F">
        <w:rPr>
          <w:rStyle w:val="Hyperlink"/>
        </w:rPr>
        <w:t>https://www.mentalcapacitylawandpolicy.org.uk/gillick-is-not-a-universal-test-an-important-clarification-from-the-court-of-appeal/</w:t>
      </w:r>
      <w:r>
        <w:fldChar w:fldCharType="end"/>
      </w:r>
      <w:r>
        <w:t xml:space="preserve">  (posted 30</w:t>
      </w:r>
      <w:r w:rsidRPr="00A57286">
        <w:rPr>
          <w:vertAlign w:val="superscript"/>
        </w:rPr>
        <w:t>th</w:t>
      </w:r>
      <w:r>
        <w:t xml:space="preserve"> July 2025). </w:t>
      </w:r>
    </w:p>
  </w:footnote>
  <w:footnote w:id="28">
    <w:p w:rsidR="00675F59" w:rsidRPr="00E52F48" w:rsidP="00DE2BEA">
      <w:pPr>
        <w:pStyle w:val="FootnoteText"/>
      </w:pPr>
      <w:r>
        <w:rPr>
          <w:rStyle w:val="FootnoteReference"/>
        </w:rPr>
        <w:footnoteRef/>
      </w:r>
      <w:r>
        <w:t xml:space="preserve"> CRC, General Comment No. 14 (2013) </w:t>
      </w:r>
      <w:r w:rsidRPr="00E46556">
        <w:rPr>
          <w:i/>
          <w:iCs/>
        </w:rPr>
        <w:t>on the right of the child to have his or her best interests as a primary consideration</w:t>
      </w:r>
      <w:r>
        <w:rPr>
          <w:i/>
          <w:iCs/>
        </w:rPr>
        <w:t xml:space="preserve">, </w:t>
      </w:r>
      <w:r>
        <w:t xml:space="preserve">paragraph 44. </w:t>
      </w:r>
    </w:p>
  </w:footnote>
  <w:footnote w:id="29">
    <w:p w:rsidR="00675F59" w:rsidP="001F3216">
      <w:pPr>
        <w:pStyle w:val="FootnoteText"/>
      </w:pPr>
      <w:r>
        <w:rPr>
          <w:rStyle w:val="FootnoteReference"/>
        </w:rPr>
        <w:footnoteRef/>
      </w:r>
      <w:r w:rsidRPr="00463694">
        <w:t xml:space="preserve"> </w:t>
      </w:r>
      <w:r>
        <w:t xml:space="preserve">See for example, </w:t>
      </w:r>
      <w:r w:rsidRPr="002822FF">
        <w:rPr>
          <w:i/>
          <w:iCs/>
        </w:rPr>
        <w:t>M and M v Croatia</w:t>
      </w:r>
      <w:r>
        <w:t xml:space="preserve"> (2015) (application no. 10161/13), see paragraphs 179-187.  </w:t>
      </w:r>
    </w:p>
  </w:footnote>
  <w:footnote w:id="30">
    <w:p w:rsidR="00675F59" w:rsidRPr="001A7720" w:rsidP="001F3216">
      <w:pPr>
        <w:pStyle w:val="FootnoteText"/>
      </w:pPr>
      <w:r>
        <w:rPr>
          <w:rStyle w:val="FootnoteReference"/>
        </w:rPr>
        <w:footnoteRef/>
      </w:r>
      <w:r w:rsidRPr="00463694">
        <w:t xml:space="preserve"> </w:t>
      </w:r>
      <w:r>
        <w:t xml:space="preserve">See for example, </w:t>
      </w:r>
      <w:r>
        <w:rPr>
          <w:i/>
          <w:iCs/>
        </w:rPr>
        <w:t xml:space="preserve">Mabon v Mabon </w:t>
      </w:r>
      <w:r>
        <w:t xml:space="preserve">[2005] EWCA Civ 634. See also </w:t>
      </w:r>
      <w:r>
        <w:rPr>
          <w:i/>
          <w:iCs/>
        </w:rPr>
        <w:t xml:space="preserve">Re S (Wardship: Removal to Ghana) </w:t>
      </w:r>
      <w:r>
        <w:t xml:space="preserve">[2025] EWCA Civ 1011, paragraph 7. </w:t>
      </w:r>
    </w:p>
  </w:footnote>
  <w:footnote w:id="31">
    <w:p w:rsidR="00675F59" w:rsidRPr="009A40D7">
      <w:pPr>
        <w:pStyle w:val="FootnoteText"/>
      </w:pPr>
      <w:r>
        <w:rPr>
          <w:rStyle w:val="FootnoteReference"/>
        </w:rPr>
        <w:footnoteRef/>
      </w:r>
      <w:r>
        <w:t xml:space="preserve"> See for example, </w:t>
      </w:r>
      <w:r>
        <w:rPr>
          <w:i/>
          <w:iCs/>
        </w:rPr>
        <w:t xml:space="preserve">Re X (Secure Accommodation: Lack of Provision) </w:t>
      </w:r>
      <w:r>
        <w:t xml:space="preserve">[2023[ EWHC 129 (Fam) and </w:t>
      </w:r>
      <w:r w:rsidRPr="00463694">
        <w:rPr>
          <w:color w:val="000000" w:themeColor="text1"/>
        </w:rPr>
        <w:t xml:space="preserve">Children’s Commissioner, </w:t>
      </w:r>
      <w:r w:rsidRPr="00463694">
        <w:rPr>
          <w:i/>
          <w:color w:val="000000" w:themeColor="text1"/>
        </w:rPr>
        <w:t xml:space="preserve">Children with complex needs who are deprived of liberty – Interviews with children to understand their experiences of being deprived of their liberty, </w:t>
      </w:r>
      <w:r w:rsidRPr="00463694">
        <w:rPr>
          <w:color w:val="000000" w:themeColor="text1"/>
        </w:rPr>
        <w:t>November 2024</w:t>
      </w:r>
      <w:r>
        <w:t xml:space="preserve"> </w:t>
      </w:r>
    </w:p>
  </w:footnote>
  <w:footnote w:id="32">
    <w:p w:rsidR="00675F59" w:rsidRPr="003360AF" w:rsidP="00B442CF">
      <w:pPr>
        <w:pStyle w:val="FootnoteText"/>
      </w:pPr>
      <w:r>
        <w:rPr>
          <w:rStyle w:val="FootnoteReference"/>
        </w:rPr>
        <w:footnoteRef/>
      </w:r>
      <w:r>
        <w:t xml:space="preserve"> See </w:t>
      </w:r>
      <w:r w:rsidRPr="00FD7992">
        <w:rPr>
          <w:i/>
          <w:iCs/>
          <w:color w:val="000000" w:themeColor="text1"/>
        </w:rPr>
        <w:t xml:space="preserve">Storck v Germany </w:t>
      </w:r>
      <w:r w:rsidRPr="00FD7992">
        <w:rPr>
          <w:color w:val="000000"/>
        </w:rPr>
        <w:t xml:space="preserve">2005) 43 EHHR 96 </w:t>
      </w:r>
      <w:r w:rsidRPr="00463694">
        <w:rPr>
          <w:i/>
          <w:color w:val="000000" w:themeColor="text1"/>
        </w:rPr>
        <w:t xml:space="preserve">Surrey County Council v P; Cheshire West and Chester Council v P </w:t>
      </w:r>
      <w:r w:rsidRPr="00463694">
        <w:rPr>
          <w:color w:val="000000" w:themeColor="text1"/>
        </w:rPr>
        <w:t xml:space="preserve">(commonly known as </w:t>
      </w:r>
      <w:r w:rsidRPr="00463694">
        <w:rPr>
          <w:i/>
          <w:color w:val="000000" w:themeColor="text1"/>
        </w:rPr>
        <w:t>‘Cheshire West’</w:t>
      </w:r>
      <w:r w:rsidRPr="00FD7992">
        <w:t xml:space="preserve"> [2014] UKSC 19, and </w:t>
      </w:r>
      <w:r w:rsidRPr="00FD7992">
        <w:rPr>
          <w:i/>
        </w:rPr>
        <w:t xml:space="preserve">Re D </w:t>
      </w:r>
      <w:r w:rsidRPr="00FD7992">
        <w:rPr>
          <w:i/>
          <w:iCs/>
        </w:rPr>
        <w:t xml:space="preserve">(A Child) </w:t>
      </w:r>
      <w:r w:rsidRPr="00FD7992">
        <w:t>[2019] UKSC 42.</w:t>
      </w:r>
      <w:r>
        <w:t xml:space="preserve">  For an explanation of deprivation of liberty as it relates to children and young people aged under 18, see: The Law Society </w:t>
      </w:r>
      <w:r>
        <w:rPr>
          <w:i/>
          <w:iCs/>
        </w:rPr>
        <w:t xml:space="preserve">Identifying a deprivation of liberty: a practical guide – Chapter 4, </w:t>
      </w:r>
      <w:r>
        <w:t>(March 2024).</w:t>
      </w:r>
    </w:p>
  </w:footnote>
  <w:footnote w:id="33">
    <w:p w:rsidR="00675F59" w:rsidRPr="00B9241B" w:rsidP="003640A5">
      <w:pPr>
        <w:jc w:val="both"/>
        <w:rPr>
          <w:color w:val="000000" w:themeColor="text1"/>
          <w:sz w:val="20"/>
          <w:szCs w:val="20"/>
        </w:rPr>
      </w:pPr>
      <w:r w:rsidRPr="000A286B">
        <w:rPr>
          <w:rStyle w:val="FootnoteReference"/>
          <w:sz w:val="20"/>
          <w:szCs w:val="20"/>
        </w:rPr>
        <w:footnoteRef/>
      </w:r>
      <w:r>
        <w:rPr>
          <w:sz w:val="20"/>
          <w:szCs w:val="20"/>
        </w:rPr>
        <w:t xml:space="preserve"> </w:t>
      </w:r>
      <w:r w:rsidRPr="00463694">
        <w:rPr>
          <w:i/>
          <w:sz w:val="20"/>
          <w:szCs w:val="20"/>
        </w:rPr>
        <w:t xml:space="preserve">Re D (A Child; deprivation of liberty) </w:t>
      </w:r>
      <w:r w:rsidRPr="00463694">
        <w:rPr>
          <w:sz w:val="20"/>
          <w:szCs w:val="20"/>
        </w:rPr>
        <w:t xml:space="preserve">[2015] EWHC 922. </w:t>
      </w:r>
    </w:p>
  </w:footnote>
  <w:footnote w:id="34">
    <w:p w:rsidR="00675F59" w:rsidRPr="00001360">
      <w:pPr>
        <w:pStyle w:val="FootnoteText"/>
      </w:pPr>
      <w:r>
        <w:rPr>
          <w:rStyle w:val="FootnoteReference"/>
        </w:rPr>
        <w:footnoteRef/>
      </w:r>
      <w:r>
        <w:t xml:space="preserve"> </w:t>
      </w:r>
      <w:r>
        <w:rPr>
          <w:i/>
          <w:iCs/>
        </w:rPr>
        <w:t xml:space="preserve">Re D (A Child) </w:t>
      </w:r>
      <w:r>
        <w:t>[2019] UKSC 42, paragraph 39.</w:t>
      </w:r>
    </w:p>
  </w:footnote>
  <w:footnote w:id="35">
    <w:p w:rsidR="00675F59" w:rsidRPr="00463694" w:rsidP="002A18B4">
      <w:pPr>
        <w:pStyle w:val="FootnoteText"/>
      </w:pPr>
      <w:r w:rsidRPr="00463694">
        <w:rPr>
          <w:rStyle w:val="FootnoteReference"/>
        </w:rPr>
        <w:footnoteRef/>
      </w:r>
      <w:r w:rsidRPr="00463694">
        <w:t xml:space="preserve"> [2019] UKSC 42. </w:t>
      </w:r>
    </w:p>
  </w:footnote>
  <w:footnote w:id="36">
    <w:p w:rsidR="00675F59">
      <w:pPr>
        <w:pStyle w:val="FootnoteText"/>
      </w:pPr>
      <w:r>
        <w:rPr>
          <w:rStyle w:val="FootnoteReference"/>
        </w:rPr>
        <w:footnoteRef/>
      </w:r>
      <w:r>
        <w:t xml:space="preserve"> </w:t>
      </w:r>
      <w:r w:rsidRPr="00463694">
        <w:t xml:space="preserve">See for example: </w:t>
      </w:r>
      <w:r w:rsidRPr="00463694">
        <w:rPr>
          <w:i/>
        </w:rPr>
        <w:t xml:space="preserve">Re D (A Child; deprivation of liberty) </w:t>
      </w:r>
      <w:r w:rsidRPr="00463694">
        <w:t xml:space="preserve">[2015] EWHC 922 and </w:t>
      </w:r>
      <w:r w:rsidRPr="00463694">
        <w:rPr>
          <w:i/>
        </w:rPr>
        <w:t xml:space="preserve">Lincolnshire CC v TGA &amp; Ors </w:t>
      </w:r>
      <w:r w:rsidRPr="00463694">
        <w:t>[2022] EWHC 2323.</w:t>
      </w:r>
    </w:p>
  </w:footnote>
  <w:footnote w:id="37">
    <w:p w:rsidR="00675F59" w:rsidRPr="00F72C6C">
      <w:pPr>
        <w:pStyle w:val="FootnoteText"/>
      </w:pPr>
      <w:r>
        <w:rPr>
          <w:rStyle w:val="FootnoteReference"/>
        </w:rPr>
        <w:footnoteRef/>
      </w:r>
      <w:r>
        <w:t xml:space="preserve"> </w:t>
      </w:r>
      <w:r>
        <w:rPr>
          <w:i/>
          <w:iCs/>
        </w:rPr>
        <w:t xml:space="preserve">J v Bath and North East Somerset Council &amp; Others </w:t>
      </w:r>
      <w:r>
        <w:t xml:space="preserve">[2025] EWCA Civ 478. </w:t>
      </w:r>
    </w:p>
  </w:footnote>
  <w:footnote w:id="38">
    <w:p w:rsidR="00675F59">
      <w:pPr>
        <w:pStyle w:val="FootnoteText"/>
      </w:pPr>
      <w:r>
        <w:rPr>
          <w:rStyle w:val="FootnoteReference"/>
        </w:rPr>
        <w:footnoteRef/>
      </w:r>
      <w:r>
        <w:t xml:space="preserve"> </w:t>
      </w:r>
      <w:r>
        <w:rPr>
          <w:i/>
          <w:iCs/>
        </w:rPr>
        <w:t xml:space="preserve">QX (Parent Consent: Deprivation of Liberty: Children under 16) </w:t>
      </w:r>
      <w:r>
        <w:t xml:space="preserve">[2025] EWHC 745, paragraph 57. </w:t>
      </w:r>
    </w:p>
  </w:footnote>
  <w:footnote w:id="39">
    <w:p w:rsidR="00675F59">
      <w:pPr>
        <w:pStyle w:val="FootnoteText"/>
      </w:pPr>
      <w:r>
        <w:rPr>
          <w:rStyle w:val="FootnoteReference"/>
        </w:rPr>
        <w:footnoteRef/>
      </w:r>
      <w:r>
        <w:t xml:space="preserve"> See </w:t>
      </w:r>
      <w:r>
        <w:rPr>
          <w:i/>
          <w:iCs/>
        </w:rPr>
        <w:t xml:space="preserve">QX (Parent Consent: Deprivation of Liberty: Children under 16) </w:t>
      </w:r>
      <w:r>
        <w:t xml:space="preserve">[2025] EWHC 745 – the judge (at paragraph 67) highlighted the need for local authorities to bring a case to court in cases where the parents may feel overwhelmed by the situation or may change their minds.  </w:t>
      </w:r>
    </w:p>
  </w:footnote>
  <w:footnote w:id="40">
    <w:p w:rsidR="00675F59" w:rsidRPr="00676746">
      <w:pPr>
        <w:pStyle w:val="FootnoteText"/>
      </w:pPr>
      <w:r>
        <w:rPr>
          <w:rStyle w:val="FootnoteReference"/>
        </w:rPr>
        <w:footnoteRef/>
      </w:r>
      <w:r>
        <w:t xml:space="preserve"> </w:t>
      </w:r>
      <w:r>
        <w:rPr>
          <w:i/>
          <w:iCs/>
        </w:rPr>
        <w:t xml:space="preserve">Blackpool BC v HT (A Minor) &amp; Others </w:t>
      </w:r>
      <w:r>
        <w:t xml:space="preserve">[2022] EWHC 1480 (Fam). </w:t>
      </w:r>
    </w:p>
  </w:footnote>
  <w:footnote w:id="41">
    <w:p w:rsidR="00675F59" w:rsidRPr="001B4FCA">
      <w:pPr>
        <w:pStyle w:val="FootnoteText"/>
      </w:pPr>
      <w:r>
        <w:rPr>
          <w:rStyle w:val="FootnoteReference"/>
        </w:rPr>
        <w:footnoteRef/>
      </w:r>
      <w:r w:rsidRPr="00463694">
        <w:t xml:space="preserve"> The </w:t>
      </w:r>
      <w:r>
        <w:t xml:space="preserve">process for admission to CAMHS Tier 4 units is discussed by Alice Livermore and Anishvarya Ni Nhorain in </w:t>
      </w:r>
      <w:r>
        <w:rPr>
          <w:i/>
          <w:iCs/>
        </w:rPr>
        <w:t xml:space="preserve">Mental health: focus, </w:t>
      </w:r>
      <w:r>
        <w:t xml:space="preserve">LegalAction, May 2005 </w:t>
      </w:r>
    </w:p>
  </w:footnote>
  <w:footnote w:id="42">
    <w:p w:rsidR="00675F59" w:rsidRPr="00FD7456">
      <w:pPr>
        <w:pStyle w:val="FootnoteText"/>
      </w:pPr>
      <w:r>
        <w:rPr>
          <w:rStyle w:val="FootnoteReference"/>
        </w:rPr>
        <w:footnoteRef/>
      </w:r>
      <w:r>
        <w:t xml:space="preserve"> The proposals for meeting the gap in provision for children and young people with complex needs are discuss in Department of Education, </w:t>
      </w:r>
      <w:r>
        <w:rPr>
          <w:i/>
          <w:iCs/>
        </w:rPr>
        <w:t xml:space="preserve">Keeping Children Safe, Helping Families Thrive, </w:t>
      </w:r>
      <w:r>
        <w:t xml:space="preserve">November 2024, pages 21-22. </w:t>
      </w:r>
    </w:p>
  </w:footnote>
  <w:footnote w:id="43">
    <w:p w:rsidR="00675F59">
      <w:pPr>
        <w:pStyle w:val="FootnoteText"/>
      </w:pPr>
      <w:r>
        <w:rPr>
          <w:rStyle w:val="FootnoteReference"/>
        </w:rPr>
        <w:footnoteRef/>
      </w:r>
      <w:r>
        <w:t xml:space="preserve"> The Government acknowledged that all such children will be ‘a child in need’, but rejected the recommendation by the Independent Review of the MHA 1983 that this should be made clear in the MH Bill (</w:t>
      </w:r>
      <w:r>
        <w:rPr>
          <w:i/>
          <w:iCs/>
        </w:rPr>
        <w:t xml:space="preserve">Reforming the Mental Health Act, </w:t>
      </w:r>
      <w:r>
        <w:t xml:space="preserve">January 2021, CP 355, pages 164-165).  </w:t>
      </w:r>
    </w:p>
  </w:footnote>
  <w:footnote w:id="44">
    <w:p w:rsidR="00675F59" w:rsidRPr="00A32D32">
      <w:pPr>
        <w:pStyle w:val="FootnoteText"/>
      </w:pPr>
      <w:r>
        <w:rPr>
          <w:rStyle w:val="FootnoteReference"/>
        </w:rPr>
        <w:footnoteRef/>
      </w:r>
      <w:r>
        <w:t xml:space="preserve"> In the case of </w:t>
      </w:r>
      <w:r>
        <w:rPr>
          <w:i/>
          <w:iCs/>
        </w:rPr>
        <w:t xml:space="preserve">Re T (Children) </w:t>
      </w:r>
      <w:r>
        <w:t xml:space="preserve">[2014] EWFC B116 the judge criticised the local authority for ending a child’s looked after status (having been accommodated under section 20 of the Children Act 1989) when the child was detained under section 3 of the Mental Health Act 1983. </w:t>
      </w:r>
    </w:p>
  </w:footnote>
  <w:footnote w:id="45">
    <w:p w:rsidR="00675F59">
      <w:pPr>
        <w:pStyle w:val="FootnoteText"/>
      </w:pPr>
      <w:r>
        <w:rPr>
          <w:rStyle w:val="FootnoteReference"/>
        </w:rPr>
        <w:footnoteRef/>
      </w:r>
      <w:r>
        <w:t xml:space="preserve"> Section 131A (age appropriate environment) applies to all those aged under 18, whether they are informally admitted or detained under the Mental Health Act 1983.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502A83"/>
    <w:multiLevelType w:val="hybridMultilevel"/>
    <w:tmpl w:val="4762F46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16A6CE1"/>
    <w:multiLevelType w:val="hybridMultilevel"/>
    <w:tmpl w:val="94CCC6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41838DD"/>
    <w:multiLevelType w:val="hybridMultilevel"/>
    <w:tmpl w:val="E54C5488"/>
    <w:lvl w:ilvl="0">
      <w:start w:val="1"/>
      <w:numFmt w:val="lowerLetter"/>
      <w:lvlText w:val="%1)"/>
      <w:lvlJc w:val="left"/>
      <w:pPr>
        <w:ind w:left="360" w:hanging="360"/>
      </w:pPr>
      <w:rPr>
        <w:rFonts w:hint="default"/>
      </w:rPr>
    </w:lvl>
    <w:lvl w:ilvl="1" w:tentative="1">
      <w:start w:val="1"/>
      <w:numFmt w:val="bullet"/>
      <w:lvlText w:val="o"/>
      <w:lvlJc w:val="left"/>
      <w:pPr>
        <w:ind w:left="0" w:hanging="360"/>
      </w:pPr>
      <w:rPr>
        <w:rFonts w:ascii="Courier New" w:hAnsi="Courier New" w:cs="Courier New" w:hint="default"/>
      </w:rPr>
    </w:lvl>
    <w:lvl w:ilvl="2" w:tentative="1">
      <w:start w:val="1"/>
      <w:numFmt w:val="bullet"/>
      <w:lvlText w:val=""/>
      <w:lvlJc w:val="left"/>
      <w:pPr>
        <w:ind w:left="720" w:hanging="360"/>
      </w:pPr>
      <w:rPr>
        <w:rFonts w:ascii="Wingdings" w:hAnsi="Wingdings" w:hint="default"/>
      </w:rPr>
    </w:lvl>
    <w:lvl w:ilvl="3" w:tentative="1">
      <w:start w:val="1"/>
      <w:numFmt w:val="bullet"/>
      <w:lvlText w:val=""/>
      <w:lvlJc w:val="left"/>
      <w:pPr>
        <w:ind w:left="1440" w:hanging="360"/>
      </w:pPr>
      <w:rPr>
        <w:rFonts w:ascii="Symbol" w:hAnsi="Symbol" w:hint="default"/>
      </w:rPr>
    </w:lvl>
    <w:lvl w:ilvl="4" w:tentative="1">
      <w:start w:val="1"/>
      <w:numFmt w:val="bullet"/>
      <w:lvlText w:val="o"/>
      <w:lvlJc w:val="left"/>
      <w:pPr>
        <w:ind w:left="2160" w:hanging="360"/>
      </w:pPr>
      <w:rPr>
        <w:rFonts w:ascii="Courier New" w:hAnsi="Courier New" w:cs="Courier New" w:hint="default"/>
      </w:rPr>
    </w:lvl>
    <w:lvl w:ilvl="5" w:tentative="1">
      <w:start w:val="1"/>
      <w:numFmt w:val="bullet"/>
      <w:lvlText w:val=""/>
      <w:lvlJc w:val="left"/>
      <w:pPr>
        <w:ind w:left="2880" w:hanging="360"/>
      </w:pPr>
      <w:rPr>
        <w:rFonts w:ascii="Wingdings" w:hAnsi="Wingdings" w:hint="default"/>
      </w:rPr>
    </w:lvl>
    <w:lvl w:ilvl="6" w:tentative="1">
      <w:start w:val="1"/>
      <w:numFmt w:val="bullet"/>
      <w:lvlText w:val=""/>
      <w:lvlJc w:val="left"/>
      <w:pPr>
        <w:ind w:left="3600" w:hanging="360"/>
      </w:pPr>
      <w:rPr>
        <w:rFonts w:ascii="Symbol" w:hAnsi="Symbol" w:hint="default"/>
      </w:rPr>
    </w:lvl>
    <w:lvl w:ilvl="7" w:tentative="1">
      <w:start w:val="1"/>
      <w:numFmt w:val="bullet"/>
      <w:lvlText w:val="o"/>
      <w:lvlJc w:val="left"/>
      <w:pPr>
        <w:ind w:left="4320" w:hanging="360"/>
      </w:pPr>
      <w:rPr>
        <w:rFonts w:ascii="Courier New" w:hAnsi="Courier New" w:cs="Courier New" w:hint="default"/>
      </w:rPr>
    </w:lvl>
    <w:lvl w:ilvl="8" w:tentative="1">
      <w:start w:val="1"/>
      <w:numFmt w:val="bullet"/>
      <w:lvlText w:val=""/>
      <w:lvlJc w:val="left"/>
      <w:pPr>
        <w:ind w:left="5040" w:hanging="360"/>
      </w:pPr>
      <w:rPr>
        <w:rFonts w:ascii="Wingdings" w:hAnsi="Wingdings" w:hint="default"/>
      </w:rPr>
    </w:lvl>
  </w:abstractNum>
  <w:abstractNum w:abstractNumId="3">
    <w:nsid w:val="06BB70E6"/>
    <w:multiLevelType w:val="hybridMultilevel"/>
    <w:tmpl w:val="F9EEA1B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A3969AA"/>
    <w:multiLevelType w:val="hybridMultilevel"/>
    <w:tmpl w:val="E260416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0D082610"/>
    <w:multiLevelType w:val="hybridMultilevel"/>
    <w:tmpl w:val="37A894C4"/>
    <w:lvl w:ilvl="0">
      <w:start w:val="1"/>
      <w:numFmt w:val="lowerRoman"/>
      <w:lvlText w:val="%1."/>
      <w:lvlJc w:val="right"/>
      <w:pPr>
        <w:ind w:left="360" w:hanging="360"/>
      </w:pPr>
      <w:rPr>
        <w:rFonts w:hint="default"/>
        <w:i/>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9020B38"/>
    <w:multiLevelType w:val="hybridMultilevel"/>
    <w:tmpl w:val="AEA6B6D8"/>
    <w:lvl w:ilvl="0">
      <w:start w:val="1"/>
      <w:numFmt w:val="decimal"/>
      <w:lvlText w:val="%1."/>
      <w:lvlJc w:val="left"/>
      <w:pPr>
        <w:ind w:left="720" w:hanging="360"/>
      </w:pPr>
      <w:rPr>
        <w:rFonts w:hint="default"/>
        <w:color w:val="000000" w:themeColor="text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98002A3"/>
    <w:multiLevelType w:val="hybridMultilevel"/>
    <w:tmpl w:val="CB400B1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1B096EA8"/>
    <w:multiLevelType w:val="hybridMultilevel"/>
    <w:tmpl w:val="ED14CED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CEF3EE5"/>
    <w:multiLevelType w:val="hybridMultilevel"/>
    <w:tmpl w:val="2A8C9A6C"/>
    <w:lvl w:ilvl="0">
      <w:start w:val="1"/>
      <w:numFmt w:val="lowerRoman"/>
      <w:lvlText w:val="(%1)"/>
      <w:lvlJc w:val="left"/>
      <w:pPr>
        <w:ind w:left="720" w:hanging="720"/>
      </w:pPr>
      <w:rPr>
        <w:rFonts w:ascii="-webkit-standard" w:hAnsi="-webkit-standard" w:hint="default"/>
        <w:i w:val="0"/>
        <w:color w:val="000000"/>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20E82037"/>
    <w:multiLevelType w:val="hybridMultilevel"/>
    <w:tmpl w:val="4D588F76"/>
    <w:lvl w:ilvl="0">
      <w:start w:val="1"/>
      <w:numFmt w:val="bullet"/>
      <w:lvlText w:val=""/>
      <w:lvlJc w:val="left"/>
      <w:pPr>
        <w:ind w:left="781" w:hanging="360"/>
      </w:pPr>
      <w:rPr>
        <w:rFonts w:ascii="Symbol" w:hAnsi="Symbol" w:hint="default"/>
      </w:rPr>
    </w:lvl>
    <w:lvl w:ilvl="1" w:tentative="1">
      <w:start w:val="1"/>
      <w:numFmt w:val="bullet"/>
      <w:lvlText w:val="o"/>
      <w:lvlJc w:val="left"/>
      <w:pPr>
        <w:ind w:left="1501" w:hanging="360"/>
      </w:pPr>
      <w:rPr>
        <w:rFonts w:ascii="Courier New" w:hAnsi="Courier New" w:cs="Courier New" w:hint="default"/>
      </w:rPr>
    </w:lvl>
    <w:lvl w:ilvl="2" w:tentative="1">
      <w:start w:val="1"/>
      <w:numFmt w:val="bullet"/>
      <w:lvlText w:val=""/>
      <w:lvlJc w:val="left"/>
      <w:pPr>
        <w:ind w:left="2221" w:hanging="360"/>
      </w:pPr>
      <w:rPr>
        <w:rFonts w:ascii="Wingdings" w:hAnsi="Wingdings" w:hint="default"/>
      </w:rPr>
    </w:lvl>
    <w:lvl w:ilvl="3" w:tentative="1">
      <w:start w:val="1"/>
      <w:numFmt w:val="bullet"/>
      <w:lvlText w:val=""/>
      <w:lvlJc w:val="left"/>
      <w:pPr>
        <w:ind w:left="2941" w:hanging="360"/>
      </w:pPr>
      <w:rPr>
        <w:rFonts w:ascii="Symbol" w:hAnsi="Symbol" w:hint="default"/>
      </w:rPr>
    </w:lvl>
    <w:lvl w:ilvl="4" w:tentative="1">
      <w:start w:val="1"/>
      <w:numFmt w:val="bullet"/>
      <w:lvlText w:val="o"/>
      <w:lvlJc w:val="left"/>
      <w:pPr>
        <w:ind w:left="3661" w:hanging="360"/>
      </w:pPr>
      <w:rPr>
        <w:rFonts w:ascii="Courier New" w:hAnsi="Courier New" w:cs="Courier New" w:hint="default"/>
      </w:rPr>
    </w:lvl>
    <w:lvl w:ilvl="5" w:tentative="1">
      <w:start w:val="1"/>
      <w:numFmt w:val="bullet"/>
      <w:lvlText w:val=""/>
      <w:lvlJc w:val="left"/>
      <w:pPr>
        <w:ind w:left="4381" w:hanging="360"/>
      </w:pPr>
      <w:rPr>
        <w:rFonts w:ascii="Wingdings" w:hAnsi="Wingdings" w:hint="default"/>
      </w:rPr>
    </w:lvl>
    <w:lvl w:ilvl="6" w:tentative="1">
      <w:start w:val="1"/>
      <w:numFmt w:val="bullet"/>
      <w:lvlText w:val=""/>
      <w:lvlJc w:val="left"/>
      <w:pPr>
        <w:ind w:left="5101" w:hanging="360"/>
      </w:pPr>
      <w:rPr>
        <w:rFonts w:ascii="Symbol" w:hAnsi="Symbol" w:hint="default"/>
      </w:rPr>
    </w:lvl>
    <w:lvl w:ilvl="7" w:tentative="1">
      <w:start w:val="1"/>
      <w:numFmt w:val="bullet"/>
      <w:lvlText w:val="o"/>
      <w:lvlJc w:val="left"/>
      <w:pPr>
        <w:ind w:left="5821" w:hanging="360"/>
      </w:pPr>
      <w:rPr>
        <w:rFonts w:ascii="Courier New" w:hAnsi="Courier New" w:cs="Courier New" w:hint="default"/>
      </w:rPr>
    </w:lvl>
    <w:lvl w:ilvl="8" w:tentative="1">
      <w:start w:val="1"/>
      <w:numFmt w:val="bullet"/>
      <w:lvlText w:val=""/>
      <w:lvlJc w:val="left"/>
      <w:pPr>
        <w:ind w:left="6541" w:hanging="360"/>
      </w:pPr>
      <w:rPr>
        <w:rFonts w:ascii="Wingdings" w:hAnsi="Wingdings" w:hint="default"/>
      </w:rPr>
    </w:lvl>
  </w:abstractNum>
  <w:abstractNum w:abstractNumId="11">
    <w:nsid w:val="21D3422E"/>
    <w:multiLevelType w:val="hybridMultilevel"/>
    <w:tmpl w:val="4A8EB0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2AC5346"/>
    <w:multiLevelType w:val="hybridMultilevel"/>
    <w:tmpl w:val="A28A319A"/>
    <w:lvl w:ilvl="0">
      <w:start w:val="1"/>
      <w:numFmt w:val="lowerLetter"/>
      <w:lvlText w:val="%1)"/>
      <w:lvlJc w:val="left"/>
      <w:pPr>
        <w:ind w:left="720" w:hanging="360"/>
      </w:pPr>
    </w:lvl>
    <w:lvl w:ilvl="1">
      <w:start w:val="1"/>
      <w:numFmt w:val="bullet"/>
      <w:lvlText w:val=""/>
      <w:lvlJc w:val="left"/>
      <w:pPr>
        <w:ind w:left="108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3C86BF9"/>
    <w:multiLevelType w:val="hybridMultilevel"/>
    <w:tmpl w:val="03844042"/>
    <w:lvl w:ilvl="0">
      <w:start w:val="1"/>
      <w:numFmt w:val="lowerRoman"/>
      <w:lvlText w:val="(%1)"/>
      <w:lvlJc w:val="right"/>
      <w:pPr>
        <w:ind w:left="360" w:hanging="360"/>
      </w:pPr>
      <w:rPr>
        <w:rFonts w:ascii="Times New Roman" w:eastAsia="Times New Roman" w:hAnsi="Times New Roman" w:cs="Times New Roman"/>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23D00EA3"/>
    <w:multiLevelType w:val="hybridMultilevel"/>
    <w:tmpl w:val="07EC5C5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269C7181"/>
    <w:multiLevelType w:val="hybridMultilevel"/>
    <w:tmpl w:val="F9EEA1BE"/>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28034870"/>
    <w:multiLevelType w:val="hybridMultilevel"/>
    <w:tmpl w:val="97F05F6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294214D1"/>
    <w:multiLevelType w:val="hybridMultilevel"/>
    <w:tmpl w:val="4F94382E"/>
    <w:lvl w:ilvl="0">
      <w:start w:val="9"/>
      <w:numFmt w:val="lowerLetter"/>
      <w:lvlText w:val="(%1)"/>
      <w:lvlJc w:val="left"/>
      <w:pPr>
        <w:ind w:left="360" w:hanging="360"/>
      </w:pPr>
      <w:rPr>
        <w:rFonts w:hint="default"/>
        <w:i/>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29584D3F"/>
    <w:multiLevelType w:val="hybridMultilevel"/>
    <w:tmpl w:val="50A673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2C4F1B51"/>
    <w:multiLevelType w:val="hybridMultilevel"/>
    <w:tmpl w:val="7C424FFC"/>
    <w:lvl w:ilvl="0">
      <w:start w:val="1"/>
      <w:numFmt w:val="lowerRoman"/>
      <w:lvlText w:val="%1)"/>
      <w:lvlJc w:val="right"/>
      <w:pPr>
        <w:ind w:left="720" w:hanging="360"/>
      </w:pPr>
      <w:rPr>
        <w:rFonts w:ascii="Times New Roman" w:eastAsia="Times New Roman" w:hAnsi="Times New Roman" w:cs="Times New Roman"/>
      </w:rPr>
    </w:lvl>
    <w:lvl w:ilvl="1">
      <w:start w:val="1"/>
      <w:numFmt w:val="bullet"/>
      <w:lvlText w:val=""/>
      <w:lvlJc w:val="left"/>
      <w:pPr>
        <w:ind w:left="108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4FA160C"/>
    <w:multiLevelType w:val="hybridMultilevel"/>
    <w:tmpl w:val="E4C87FD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3A133D70"/>
    <w:multiLevelType w:val="hybridMultilevel"/>
    <w:tmpl w:val="4D040ED2"/>
    <w:lvl w:ilvl="0">
      <w:start w:val="1"/>
      <w:numFmt w:val="upp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3A384279"/>
    <w:multiLevelType w:val="hybridMultilevel"/>
    <w:tmpl w:val="DA4C5622"/>
    <w:lvl w:ilvl="0">
      <w:start w:val="1"/>
      <w:numFmt w:val="decimal"/>
      <w:lvlText w:val="%1."/>
      <w:lvlJc w:val="left"/>
      <w:pPr>
        <w:ind w:left="360" w:hanging="360"/>
      </w:pPr>
      <w:rPr>
        <w:rFonts w:hint="default"/>
        <w:i w:val="0"/>
        <w:iCs w:val="0"/>
        <w:color w:val="000000" w:themeColor="text1"/>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3A8831AE"/>
    <w:multiLevelType w:val="hybridMultilevel"/>
    <w:tmpl w:val="8540732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3B207971"/>
    <w:multiLevelType w:val="hybridMultilevel"/>
    <w:tmpl w:val="490CA1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3EF6313E"/>
    <w:multiLevelType w:val="hybridMultilevel"/>
    <w:tmpl w:val="8EB8BF0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6">
    <w:nsid w:val="41023163"/>
    <w:multiLevelType w:val="hybridMultilevel"/>
    <w:tmpl w:val="FDAC32B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7">
    <w:nsid w:val="41330A4E"/>
    <w:multiLevelType w:val="hybridMultilevel"/>
    <w:tmpl w:val="239EDB8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8">
    <w:nsid w:val="46382836"/>
    <w:multiLevelType w:val="hybridMultilevel"/>
    <w:tmpl w:val="35FC6D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4B9D12BD"/>
    <w:multiLevelType w:val="hybridMultilevel"/>
    <w:tmpl w:val="FC3EA208"/>
    <w:lvl w:ilvl="0">
      <w:start w:val="1"/>
      <w:numFmt w:val="decimal"/>
      <w:lvlText w:val="%1."/>
      <w:lvlJc w:val="left"/>
      <w:pPr>
        <w:ind w:left="360" w:hanging="360"/>
      </w:pPr>
      <w:rPr>
        <w:rFonts w:hint="default"/>
        <w:color w:val="000000" w:themeColor="text1"/>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4D69781E"/>
    <w:multiLevelType w:val="hybridMultilevel"/>
    <w:tmpl w:val="0852827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1">
    <w:nsid w:val="4F1068D0"/>
    <w:multiLevelType w:val="hybridMultilevel"/>
    <w:tmpl w:val="CAE42DE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upperLetter"/>
      <w:lvlText w:val="%3)"/>
      <w:lvlJc w:val="left"/>
      <w:pPr>
        <w:ind w:left="2340" w:hanging="360"/>
      </w:pPr>
      <w:rPr>
        <w:rFonts w:hint="default"/>
      </w:rPr>
    </w:lvl>
    <w:lvl w:ilvl="3">
      <w:start w:val="2"/>
      <w:numFmt w:val="lowerRoman"/>
      <w:lvlText w:val="(%4)"/>
      <w:lvlJc w:val="left"/>
      <w:pPr>
        <w:ind w:left="3240" w:hanging="720"/>
      </w:pPr>
      <w:rPr>
        <w:rFonts w:hint="default"/>
      </w:rPr>
    </w:lvl>
    <w:lvl w:ilvl="4">
      <w:start w:val="1"/>
      <w:numFmt w:val="lowerRoman"/>
      <w:lvlText w:val="%5."/>
      <w:lvlJc w:val="left"/>
      <w:pPr>
        <w:ind w:left="3960" w:hanging="720"/>
      </w:pPr>
      <w:rPr>
        <w:rFonts w:hint="default"/>
        <w:i/>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0726D78"/>
    <w:multiLevelType w:val="hybridMultilevel"/>
    <w:tmpl w:val="0A06DC22"/>
    <w:lvl w:ilvl="0">
      <w:start w:val="1"/>
      <w:numFmt w:val="lowerRoman"/>
      <w:lvlText w:val="%1)"/>
      <w:lvlJc w:val="right"/>
      <w:pPr>
        <w:ind w:left="720" w:hanging="360"/>
      </w:pPr>
      <w:rPr>
        <w:rFonts w:ascii="Times New Roman" w:eastAsia="Times New Roman" w:hAnsi="Times New Roman" w:cs="Times New Roman"/>
      </w:rPr>
    </w:lvl>
    <w:lvl w:ilvl="1">
      <w:start w:val="1"/>
      <w:numFmt w:val="bullet"/>
      <w:lvlText w:val=""/>
      <w:lvlJc w:val="left"/>
      <w:pPr>
        <w:ind w:left="108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190446D"/>
    <w:multiLevelType w:val="hybridMultilevel"/>
    <w:tmpl w:val="BEB6BF9A"/>
    <w:lvl w:ilvl="0">
      <w:start w:val="1"/>
      <w:numFmt w:val="lowerRoman"/>
      <w:lvlText w:val="%1)"/>
      <w:lvlJc w:val="right"/>
      <w:pPr>
        <w:ind w:left="720" w:hanging="360"/>
      </w:pPr>
      <w:rPr>
        <w:rFonts w:ascii="Times New Roman" w:eastAsia="Times New Roman" w:hAnsi="Times New Roman" w:cs="Times New Roman"/>
      </w:rPr>
    </w:lvl>
    <w:lvl w:ilvl="1">
      <w:start w:val="1"/>
      <w:numFmt w:val="bullet"/>
      <w:lvlText w:val=""/>
      <w:lvlJc w:val="left"/>
      <w:pPr>
        <w:ind w:left="108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2B8264A"/>
    <w:multiLevelType w:val="hybridMultilevel"/>
    <w:tmpl w:val="34261136"/>
    <w:lvl w:ilvl="0">
      <w:start w:val="1"/>
      <w:numFmt w:val="decimal"/>
      <w:lvlText w:val="(%1)"/>
      <w:lvlJc w:val="left"/>
      <w:pPr>
        <w:ind w:left="360" w:hanging="360"/>
      </w:pPr>
      <w:rPr>
        <w:rFonts w:eastAsia="Times New Roman"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5">
    <w:nsid w:val="53FF281B"/>
    <w:multiLevelType w:val="hybridMultilevel"/>
    <w:tmpl w:val="79D43CB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558646E7"/>
    <w:multiLevelType w:val="hybridMultilevel"/>
    <w:tmpl w:val="81004B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58545E30"/>
    <w:multiLevelType w:val="hybridMultilevel"/>
    <w:tmpl w:val="66B0E5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5B7600AC"/>
    <w:multiLevelType w:val="hybridMultilevel"/>
    <w:tmpl w:val="F97E047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5D8330E2"/>
    <w:multiLevelType w:val="hybridMultilevel"/>
    <w:tmpl w:val="E97AB416"/>
    <w:lvl w:ilvl="0">
      <w:start w:val="1"/>
      <w:numFmt w:val="decimal"/>
      <w:lvlText w:val="(%1)"/>
      <w:lvlJc w:val="left"/>
      <w:pPr>
        <w:ind w:left="720" w:hanging="360"/>
      </w:pPr>
      <w:rPr>
        <w:rFonts w:hint="default"/>
        <w:color w:val="000000" w:themeColor="text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5E105A07"/>
    <w:multiLevelType w:val="hybridMultilevel"/>
    <w:tmpl w:val="34261136"/>
    <w:lvl w:ilvl="0">
      <w:start w:val="1"/>
      <w:numFmt w:val="decimal"/>
      <w:lvlText w:val="(%1)"/>
      <w:lvlJc w:val="left"/>
      <w:pPr>
        <w:ind w:left="360" w:hanging="360"/>
      </w:pPr>
      <w:rPr>
        <w:rFonts w:eastAsia="Times New Roman"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1">
    <w:nsid w:val="5FCD0248"/>
    <w:multiLevelType w:val="hybridMultilevel"/>
    <w:tmpl w:val="7EDEAF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60EB6DDC"/>
    <w:multiLevelType w:val="hybridMultilevel"/>
    <w:tmpl w:val="B9489940"/>
    <w:lvl w:ilvl="0">
      <w:start w:val="1"/>
      <w:numFmt w:val="bullet"/>
      <w:lvlText w:val=""/>
      <w:lvlJc w:val="left"/>
      <w:pPr>
        <w:ind w:left="781" w:hanging="360"/>
      </w:pPr>
      <w:rPr>
        <w:rFonts w:ascii="Symbol" w:hAnsi="Symbol" w:hint="default"/>
      </w:rPr>
    </w:lvl>
    <w:lvl w:ilvl="1" w:tentative="1">
      <w:start w:val="1"/>
      <w:numFmt w:val="bullet"/>
      <w:lvlText w:val="o"/>
      <w:lvlJc w:val="left"/>
      <w:pPr>
        <w:ind w:left="1501" w:hanging="360"/>
      </w:pPr>
      <w:rPr>
        <w:rFonts w:ascii="Courier New" w:hAnsi="Courier New" w:cs="Courier New" w:hint="default"/>
      </w:rPr>
    </w:lvl>
    <w:lvl w:ilvl="2" w:tentative="1">
      <w:start w:val="1"/>
      <w:numFmt w:val="bullet"/>
      <w:lvlText w:val=""/>
      <w:lvlJc w:val="left"/>
      <w:pPr>
        <w:ind w:left="2221" w:hanging="360"/>
      </w:pPr>
      <w:rPr>
        <w:rFonts w:ascii="Wingdings" w:hAnsi="Wingdings" w:hint="default"/>
      </w:rPr>
    </w:lvl>
    <w:lvl w:ilvl="3" w:tentative="1">
      <w:start w:val="1"/>
      <w:numFmt w:val="bullet"/>
      <w:lvlText w:val=""/>
      <w:lvlJc w:val="left"/>
      <w:pPr>
        <w:ind w:left="2941" w:hanging="360"/>
      </w:pPr>
      <w:rPr>
        <w:rFonts w:ascii="Symbol" w:hAnsi="Symbol" w:hint="default"/>
      </w:rPr>
    </w:lvl>
    <w:lvl w:ilvl="4" w:tentative="1">
      <w:start w:val="1"/>
      <w:numFmt w:val="bullet"/>
      <w:lvlText w:val="o"/>
      <w:lvlJc w:val="left"/>
      <w:pPr>
        <w:ind w:left="3661" w:hanging="360"/>
      </w:pPr>
      <w:rPr>
        <w:rFonts w:ascii="Courier New" w:hAnsi="Courier New" w:cs="Courier New" w:hint="default"/>
      </w:rPr>
    </w:lvl>
    <w:lvl w:ilvl="5" w:tentative="1">
      <w:start w:val="1"/>
      <w:numFmt w:val="bullet"/>
      <w:lvlText w:val=""/>
      <w:lvlJc w:val="left"/>
      <w:pPr>
        <w:ind w:left="4381" w:hanging="360"/>
      </w:pPr>
      <w:rPr>
        <w:rFonts w:ascii="Wingdings" w:hAnsi="Wingdings" w:hint="default"/>
      </w:rPr>
    </w:lvl>
    <w:lvl w:ilvl="6" w:tentative="1">
      <w:start w:val="1"/>
      <w:numFmt w:val="bullet"/>
      <w:lvlText w:val=""/>
      <w:lvlJc w:val="left"/>
      <w:pPr>
        <w:ind w:left="5101" w:hanging="360"/>
      </w:pPr>
      <w:rPr>
        <w:rFonts w:ascii="Symbol" w:hAnsi="Symbol" w:hint="default"/>
      </w:rPr>
    </w:lvl>
    <w:lvl w:ilvl="7" w:tentative="1">
      <w:start w:val="1"/>
      <w:numFmt w:val="bullet"/>
      <w:lvlText w:val="o"/>
      <w:lvlJc w:val="left"/>
      <w:pPr>
        <w:ind w:left="5821" w:hanging="360"/>
      </w:pPr>
      <w:rPr>
        <w:rFonts w:ascii="Courier New" w:hAnsi="Courier New" w:cs="Courier New" w:hint="default"/>
      </w:rPr>
    </w:lvl>
    <w:lvl w:ilvl="8" w:tentative="1">
      <w:start w:val="1"/>
      <w:numFmt w:val="bullet"/>
      <w:lvlText w:val=""/>
      <w:lvlJc w:val="left"/>
      <w:pPr>
        <w:ind w:left="6541" w:hanging="360"/>
      </w:pPr>
      <w:rPr>
        <w:rFonts w:ascii="Wingdings" w:hAnsi="Wingdings" w:hint="default"/>
      </w:rPr>
    </w:lvl>
  </w:abstractNum>
  <w:abstractNum w:abstractNumId="43">
    <w:nsid w:val="65703EF1"/>
    <w:multiLevelType w:val="hybridMultilevel"/>
    <w:tmpl w:val="B9E07CB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4">
    <w:nsid w:val="657B7AD1"/>
    <w:multiLevelType w:val="hybridMultilevel"/>
    <w:tmpl w:val="860053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66355073"/>
    <w:multiLevelType w:val="hybridMultilevel"/>
    <w:tmpl w:val="14544A4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6">
    <w:nsid w:val="69344AA5"/>
    <w:multiLevelType w:val="hybridMultilevel"/>
    <w:tmpl w:val="BBF4F5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7554755C"/>
    <w:multiLevelType w:val="hybridMultilevel"/>
    <w:tmpl w:val="D430E7DC"/>
    <w:lvl w:ilvl="0">
      <w:start w:val="1"/>
      <w:numFmt w:val="lowerLetter"/>
      <w:lvlText w:val="%1)"/>
      <w:lvlJc w:val="left"/>
      <w:pPr>
        <w:ind w:left="360" w:hanging="360"/>
      </w:pPr>
      <w:rPr>
        <w:rFonts w:hint="default"/>
        <w:b/>
        <w:bCs w:val="0"/>
        <w:i/>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8">
    <w:nsid w:val="7CD25B3D"/>
    <w:multiLevelType w:val="hybridMultilevel"/>
    <w:tmpl w:val="8A1CD25C"/>
    <w:lvl w:ilvl="0">
      <w:start w:val="1"/>
      <w:numFmt w:val="decimal"/>
      <w:lvlText w:val="(%1)"/>
      <w:lvlJc w:val="left"/>
      <w:pPr>
        <w:ind w:left="720" w:hanging="360"/>
      </w:pPr>
      <w:rPr>
        <w:rFonts w:ascii="Times New Roman" w:eastAsia="Times New Roman" w:hAnsi="Times New Roman" w:cs="Times New Roman"/>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0"/>
  </w:num>
  <w:num w:numId="2">
    <w:abstractNumId w:val="8"/>
  </w:num>
  <w:num w:numId="3">
    <w:abstractNumId w:val="14"/>
  </w:num>
  <w:num w:numId="4">
    <w:abstractNumId w:val="16"/>
  </w:num>
  <w:num w:numId="5">
    <w:abstractNumId w:val="28"/>
  </w:num>
  <w:num w:numId="6">
    <w:abstractNumId w:val="0"/>
  </w:num>
  <w:num w:numId="7">
    <w:abstractNumId w:val="20"/>
  </w:num>
  <w:num w:numId="8">
    <w:abstractNumId w:val="44"/>
  </w:num>
  <w:num w:numId="9">
    <w:abstractNumId w:val="4"/>
  </w:num>
  <w:num w:numId="10">
    <w:abstractNumId w:val="39"/>
  </w:num>
  <w:num w:numId="11">
    <w:abstractNumId w:val="48"/>
  </w:num>
  <w:num w:numId="12">
    <w:abstractNumId w:val="31"/>
  </w:num>
  <w:num w:numId="13">
    <w:abstractNumId w:val="7"/>
  </w:num>
  <w:num w:numId="14">
    <w:abstractNumId w:val="27"/>
  </w:num>
  <w:num w:numId="15">
    <w:abstractNumId w:val="21"/>
  </w:num>
  <w:num w:numId="16">
    <w:abstractNumId w:val="33"/>
  </w:num>
  <w:num w:numId="17">
    <w:abstractNumId w:val="19"/>
  </w:num>
  <w:num w:numId="18">
    <w:abstractNumId w:val="32"/>
  </w:num>
  <w:num w:numId="19">
    <w:abstractNumId w:val="12"/>
  </w:num>
  <w:num w:numId="20">
    <w:abstractNumId w:val="26"/>
  </w:num>
  <w:num w:numId="21">
    <w:abstractNumId w:val="11"/>
  </w:num>
  <w:num w:numId="22">
    <w:abstractNumId w:val="3"/>
  </w:num>
  <w:num w:numId="23">
    <w:abstractNumId w:val="15"/>
  </w:num>
  <w:num w:numId="24">
    <w:abstractNumId w:val="9"/>
  </w:num>
  <w:num w:numId="25">
    <w:abstractNumId w:val="46"/>
  </w:num>
  <w:num w:numId="26">
    <w:abstractNumId w:val="37"/>
  </w:num>
  <w:num w:numId="27">
    <w:abstractNumId w:val="2"/>
  </w:num>
  <w:num w:numId="28">
    <w:abstractNumId w:val="45"/>
  </w:num>
  <w:num w:numId="29">
    <w:abstractNumId w:val="5"/>
  </w:num>
  <w:num w:numId="30">
    <w:abstractNumId w:val="17"/>
  </w:num>
  <w:num w:numId="31">
    <w:abstractNumId w:val="35"/>
  </w:num>
  <w:num w:numId="32">
    <w:abstractNumId w:val="13"/>
  </w:num>
  <w:num w:numId="33">
    <w:abstractNumId w:val="1"/>
  </w:num>
  <w:num w:numId="34">
    <w:abstractNumId w:val="34"/>
  </w:num>
  <w:num w:numId="35">
    <w:abstractNumId w:val="47"/>
  </w:num>
  <w:num w:numId="36">
    <w:abstractNumId w:val="23"/>
  </w:num>
  <w:num w:numId="37">
    <w:abstractNumId w:val="38"/>
  </w:num>
  <w:num w:numId="38">
    <w:abstractNumId w:val="42"/>
  </w:num>
  <w:num w:numId="39">
    <w:abstractNumId w:val="36"/>
  </w:num>
  <w:num w:numId="40">
    <w:abstractNumId w:val="40"/>
  </w:num>
  <w:num w:numId="41">
    <w:abstractNumId w:val="6"/>
  </w:num>
  <w:num w:numId="42">
    <w:abstractNumId w:val="43"/>
  </w:num>
  <w:num w:numId="43">
    <w:abstractNumId w:val="25"/>
  </w:num>
  <w:num w:numId="44">
    <w:abstractNumId w:val="29"/>
  </w:num>
  <w:num w:numId="45">
    <w:abstractNumId w:val="10"/>
  </w:num>
  <w:num w:numId="46">
    <w:abstractNumId w:val="41"/>
  </w:num>
  <w:num w:numId="47">
    <w:abstractNumId w:val="18"/>
  </w:num>
  <w:num w:numId="48">
    <w:abstractNumId w:val="24"/>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2A93"/>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B63E8"/>
    <w:pPr>
      <w:keepNext/>
      <w:keepLines/>
      <w:spacing w:before="360" w:after="80"/>
      <w:outlineLvl w:val="0"/>
    </w:pPr>
    <w:rPr>
      <w:rFonts w:ascii="Arial" w:hAnsi="Arial" w:eastAsiaTheme="majorEastAsia" w:cstheme="majorBidi"/>
      <w:b/>
      <w:color w:val="0F4761" w:themeColor="accent1" w:themeShade="BF"/>
      <w:sz w:val="28"/>
      <w:szCs w:val="40"/>
    </w:rPr>
  </w:style>
  <w:style w:type="paragraph" w:styleId="Heading2">
    <w:name w:val="heading 2"/>
    <w:basedOn w:val="Normal"/>
    <w:next w:val="Normal"/>
    <w:link w:val="Heading2Char"/>
    <w:uiPriority w:val="9"/>
    <w:unhideWhenUsed/>
    <w:qFormat/>
    <w:rsid w:val="005B63E8"/>
    <w:pPr>
      <w:keepNext/>
      <w:keepLines/>
      <w:spacing w:before="160" w:after="80"/>
      <w:outlineLvl w:val="1"/>
    </w:pPr>
    <w:rPr>
      <w:rFonts w:ascii="Arial" w:hAnsi="Arial" w:eastAsiaTheme="majorEastAsia" w:cstheme="majorBidi"/>
      <w:b/>
      <w:color w:val="0F4761" w:themeColor="accent1" w:themeShade="BF"/>
      <w:szCs w:val="32"/>
    </w:rPr>
  </w:style>
  <w:style w:type="paragraph" w:styleId="Heading3">
    <w:name w:val="heading 3"/>
    <w:basedOn w:val="Normal"/>
    <w:next w:val="Normal"/>
    <w:link w:val="Heading3Char"/>
    <w:uiPriority w:val="9"/>
    <w:unhideWhenUsed/>
    <w:qFormat/>
    <w:rsid w:val="005B63E8"/>
    <w:pPr>
      <w:keepNext/>
      <w:keepLines/>
      <w:spacing w:before="160" w:after="80"/>
      <w:outlineLvl w:val="2"/>
    </w:pPr>
    <w:rPr>
      <w:rFonts w:ascii="Arial" w:hAnsi="Arial" w:eastAsiaTheme="majorEastAsia" w:cstheme="majorBidi"/>
      <w:i/>
      <w:color w:val="0F4761" w:themeColor="accent1" w:themeShade="BF"/>
      <w:szCs w:val="28"/>
    </w:rPr>
  </w:style>
  <w:style w:type="paragraph" w:styleId="Heading4">
    <w:name w:val="heading 4"/>
    <w:basedOn w:val="Normal"/>
    <w:next w:val="Normal"/>
    <w:link w:val="Heading4Char"/>
    <w:uiPriority w:val="9"/>
    <w:semiHidden/>
    <w:unhideWhenUsed/>
    <w:qFormat/>
    <w:rsid w:val="00342A93"/>
    <w:pPr>
      <w:keepNext/>
      <w:keepLines/>
      <w:spacing w:before="80" w:after="40"/>
      <w:outlineLvl w:val="3"/>
    </w:pPr>
    <w:rPr>
      <w:rFonts w:asciiTheme="minorHAnsi" w:eastAsiaTheme="majorEastAsia" w:hAnsiTheme="minorHAnsi"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342A93"/>
    <w:pPr>
      <w:keepNext/>
      <w:keepLines/>
      <w:spacing w:before="80" w:after="40"/>
      <w:outlineLvl w:val="4"/>
    </w:pPr>
    <w:rPr>
      <w:rFonts w:asciiTheme="minorHAnsi" w:eastAsiaTheme="majorEastAsia" w:hAnsiTheme="minorHAnsi"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342A93"/>
    <w:pPr>
      <w:keepNext/>
      <w:keepLines/>
      <w:spacing w:before="4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342A93"/>
    <w:pPr>
      <w:keepNext/>
      <w:keepLines/>
      <w:spacing w:before="4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342A93"/>
    <w:pPr>
      <w:keepNext/>
      <w:keepLines/>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342A93"/>
    <w:pPr>
      <w:keepNext/>
      <w:keepLines/>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3E8"/>
    <w:rPr>
      <w:rFonts w:eastAsiaTheme="majorEastAsia" w:cstheme="majorBidi"/>
      <w:b/>
      <w:color w:val="0F4761" w:themeColor="accent1" w:themeShade="BF"/>
      <w:sz w:val="28"/>
      <w:szCs w:val="40"/>
      <w:lang w:eastAsia="en-GB"/>
    </w:rPr>
  </w:style>
  <w:style w:type="character" w:customStyle="1" w:styleId="Heading2Char">
    <w:name w:val="Heading 2 Char"/>
    <w:basedOn w:val="DefaultParagraphFont"/>
    <w:link w:val="Heading2"/>
    <w:uiPriority w:val="9"/>
    <w:rsid w:val="005B63E8"/>
    <w:rPr>
      <w:rFonts w:eastAsiaTheme="majorEastAsia" w:cstheme="majorBidi"/>
      <w:b/>
      <w:color w:val="0F4761" w:themeColor="accent1" w:themeShade="BF"/>
      <w:szCs w:val="32"/>
      <w:lang w:eastAsia="en-GB"/>
    </w:rPr>
  </w:style>
  <w:style w:type="character" w:customStyle="1" w:styleId="Heading3Char">
    <w:name w:val="Heading 3 Char"/>
    <w:basedOn w:val="DefaultParagraphFont"/>
    <w:link w:val="Heading3"/>
    <w:uiPriority w:val="9"/>
    <w:rsid w:val="005B63E8"/>
    <w:rPr>
      <w:rFonts w:eastAsiaTheme="majorEastAsia" w:cstheme="majorBidi"/>
      <w:i/>
      <w:color w:val="0F4761" w:themeColor="accent1" w:themeShade="BF"/>
      <w:szCs w:val="28"/>
      <w:lang w:eastAsia="en-GB"/>
    </w:rPr>
  </w:style>
  <w:style w:type="character" w:customStyle="1" w:styleId="Heading4Char">
    <w:name w:val="Heading 4 Char"/>
    <w:basedOn w:val="DefaultParagraphFont"/>
    <w:link w:val="Heading4"/>
    <w:uiPriority w:val="9"/>
    <w:semiHidden/>
    <w:rsid w:val="00342A9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2A9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2A9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2A9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2A9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2A9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2A93"/>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342A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A93"/>
    <w:pPr>
      <w:numPr>
        <w:ilvl w:val="1"/>
      </w:numPr>
      <w:spacing w:after="16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342A9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2A93"/>
    <w:pPr>
      <w:spacing w:before="160" w:after="160"/>
      <w:jc w:val="center"/>
    </w:pPr>
    <w:rPr>
      <w:rFonts w:ascii="Arial" w:hAnsi="Arial" w:eastAsiaTheme="minorHAnsi" w:cs="Arial"/>
      <w:i/>
      <w:iCs/>
      <w:color w:val="404040" w:themeColor="text1" w:themeTint="BF"/>
      <w:lang w:eastAsia="en-US"/>
    </w:rPr>
  </w:style>
  <w:style w:type="character" w:customStyle="1" w:styleId="QuoteChar">
    <w:name w:val="Quote Char"/>
    <w:basedOn w:val="DefaultParagraphFont"/>
    <w:link w:val="Quote"/>
    <w:uiPriority w:val="29"/>
    <w:rsid w:val="00342A93"/>
    <w:rPr>
      <w:i/>
      <w:iCs/>
      <w:color w:val="404040" w:themeColor="text1" w:themeTint="BF"/>
    </w:rPr>
  </w:style>
  <w:style w:type="paragraph" w:styleId="ListParagraph">
    <w:name w:val="List Paragraph"/>
    <w:basedOn w:val="Normal"/>
    <w:uiPriority w:val="34"/>
    <w:qFormat/>
    <w:rsid w:val="00342A93"/>
    <w:pPr>
      <w:ind w:left="720"/>
      <w:contextualSpacing/>
    </w:pPr>
    <w:rPr>
      <w:rFonts w:ascii="Arial" w:hAnsi="Arial" w:eastAsiaTheme="minorHAnsi" w:cs="Arial"/>
      <w:lang w:eastAsia="en-US"/>
    </w:rPr>
  </w:style>
  <w:style w:type="character" w:styleId="IntenseEmphasis">
    <w:name w:val="Intense Emphasis"/>
    <w:basedOn w:val="DefaultParagraphFont"/>
    <w:uiPriority w:val="21"/>
    <w:qFormat/>
    <w:rsid w:val="00342A93"/>
    <w:rPr>
      <w:i/>
      <w:iCs/>
      <w:color w:val="0F4761" w:themeColor="accent1" w:themeShade="BF"/>
    </w:rPr>
  </w:style>
  <w:style w:type="paragraph" w:styleId="IntenseQuote">
    <w:name w:val="Intense Quote"/>
    <w:basedOn w:val="Normal"/>
    <w:next w:val="Normal"/>
    <w:link w:val="IntenseQuoteChar"/>
    <w:uiPriority w:val="30"/>
    <w:qFormat/>
    <w:rsid w:val="00342A93"/>
    <w:pPr>
      <w:pBdr>
        <w:top w:val="single" w:sz="4" w:space="10" w:color="0F4761" w:themeColor="accent1" w:themeShade="BF"/>
        <w:bottom w:val="single" w:sz="4" w:space="10" w:color="0F4761" w:themeColor="accent1" w:themeShade="BF"/>
      </w:pBdr>
      <w:spacing w:before="360" w:after="360"/>
      <w:ind w:left="864" w:right="864"/>
      <w:jc w:val="center"/>
    </w:pPr>
    <w:rPr>
      <w:rFonts w:ascii="Arial" w:hAnsi="Arial" w:eastAsiaTheme="minorHAnsi" w:cs="Arial"/>
      <w:i/>
      <w:iCs/>
      <w:color w:val="0F4761" w:themeColor="accent1" w:themeShade="BF"/>
      <w:lang w:eastAsia="en-US"/>
    </w:rPr>
  </w:style>
  <w:style w:type="character" w:customStyle="1" w:styleId="IntenseQuoteChar">
    <w:name w:val="Intense Quote Char"/>
    <w:basedOn w:val="DefaultParagraphFont"/>
    <w:link w:val="IntenseQuote"/>
    <w:uiPriority w:val="30"/>
    <w:rsid w:val="00342A93"/>
    <w:rPr>
      <w:i/>
      <w:iCs/>
      <w:color w:val="0F4761" w:themeColor="accent1" w:themeShade="BF"/>
    </w:rPr>
  </w:style>
  <w:style w:type="character" w:styleId="IntenseReference">
    <w:name w:val="Intense Reference"/>
    <w:basedOn w:val="DefaultParagraphFont"/>
    <w:uiPriority w:val="32"/>
    <w:qFormat/>
    <w:rsid w:val="00342A93"/>
    <w:rPr>
      <w:b/>
      <w:bCs/>
      <w:smallCaps/>
      <w:color w:val="0F4761" w:themeColor="accent1" w:themeShade="BF"/>
      <w:spacing w:val="5"/>
    </w:rPr>
  </w:style>
  <w:style w:type="paragraph" w:styleId="FootnoteText">
    <w:name w:val="footnote text"/>
    <w:basedOn w:val="Normal"/>
    <w:link w:val="FootnoteTextChar"/>
    <w:uiPriority w:val="99"/>
    <w:unhideWhenUsed/>
    <w:rsid w:val="00E22496"/>
    <w:rPr>
      <w:sz w:val="20"/>
      <w:szCs w:val="20"/>
    </w:rPr>
  </w:style>
  <w:style w:type="character" w:customStyle="1" w:styleId="FootnoteTextChar">
    <w:name w:val="Footnote Text Char"/>
    <w:basedOn w:val="DefaultParagraphFont"/>
    <w:link w:val="FootnoteText"/>
    <w:uiPriority w:val="99"/>
    <w:rsid w:val="00E22496"/>
    <w:rPr>
      <w:rFonts w:ascii="Times New Roman" w:eastAsia="Times New Roman" w:hAnsi="Times New Roman" w:cs="Times New Roman"/>
      <w:sz w:val="20"/>
      <w:szCs w:val="20"/>
      <w:lang w:eastAsia="en-GB"/>
    </w:rPr>
  </w:style>
  <w:style w:type="character" w:styleId="FootnoteReference">
    <w:name w:val="footnote reference"/>
    <w:aliases w:val="4_G,4_G Char Char Char Char,BVI fnr Car Car Car Car Char Char1 Char Char,BVI fnr Car Car Char Char Char Char,BVI fnr Car Char Char Char Char,BVI fnr Char Char Char Char,Footnotes refss Char Char Char Char,ftref Char Char Char Char"/>
    <w:basedOn w:val="DefaultParagraphFont"/>
    <w:link w:val="4GCharCharChar"/>
    <w:uiPriority w:val="99"/>
    <w:unhideWhenUsed/>
    <w:qFormat/>
    <w:rsid w:val="00E22496"/>
    <w:rPr>
      <w:vertAlign w:val="superscript"/>
    </w:rPr>
  </w:style>
  <w:style w:type="table" w:styleId="TableGrid">
    <w:name w:val="Table Grid"/>
    <w:basedOn w:val="TableNormal"/>
    <w:uiPriority w:val="39"/>
    <w:rsid w:val="00910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62A82"/>
    <w:pPr>
      <w:tabs>
        <w:tab w:val="center" w:pos="4513"/>
        <w:tab w:val="right" w:pos="9026"/>
      </w:tabs>
    </w:pPr>
  </w:style>
  <w:style w:type="character" w:customStyle="1" w:styleId="FooterChar">
    <w:name w:val="Footer Char"/>
    <w:basedOn w:val="DefaultParagraphFont"/>
    <w:link w:val="Footer"/>
    <w:uiPriority w:val="99"/>
    <w:rsid w:val="00C62A82"/>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C62A82"/>
  </w:style>
  <w:style w:type="character" w:styleId="Hyperlink">
    <w:name w:val="Hyperlink"/>
    <w:basedOn w:val="DefaultParagraphFont"/>
    <w:uiPriority w:val="99"/>
    <w:unhideWhenUsed/>
    <w:rsid w:val="008E4D3C"/>
    <w:rPr>
      <w:color w:val="467886" w:themeColor="hyperlink"/>
      <w:u w:val="single"/>
    </w:rPr>
  </w:style>
  <w:style w:type="character" w:customStyle="1" w:styleId="UnresolvedMention1">
    <w:name w:val="Unresolved Mention1"/>
    <w:basedOn w:val="DefaultParagraphFont"/>
    <w:uiPriority w:val="99"/>
    <w:semiHidden/>
    <w:unhideWhenUsed/>
    <w:rsid w:val="008E4D3C"/>
    <w:rPr>
      <w:color w:val="605E5C"/>
      <w:shd w:val="clear" w:color="auto" w:fill="E1DFDD"/>
    </w:rPr>
  </w:style>
  <w:style w:type="paragraph" w:styleId="Header">
    <w:name w:val="header"/>
    <w:basedOn w:val="Normal"/>
    <w:link w:val="HeaderChar"/>
    <w:uiPriority w:val="99"/>
    <w:unhideWhenUsed/>
    <w:rsid w:val="00867F43"/>
    <w:pPr>
      <w:tabs>
        <w:tab w:val="center" w:pos="4513"/>
        <w:tab w:val="right" w:pos="9026"/>
      </w:tabs>
    </w:pPr>
  </w:style>
  <w:style w:type="character" w:customStyle="1" w:styleId="HeaderChar">
    <w:name w:val="Header Char"/>
    <w:basedOn w:val="DefaultParagraphFont"/>
    <w:link w:val="Header"/>
    <w:uiPriority w:val="99"/>
    <w:rsid w:val="00867F43"/>
    <w:rPr>
      <w:rFonts w:ascii="Times New Roman" w:eastAsia="Times New Roman" w:hAnsi="Times New Roman" w:cs="Times New Roman"/>
      <w:lang w:eastAsia="en-GB"/>
    </w:rPr>
  </w:style>
  <w:style w:type="character" w:customStyle="1" w:styleId="apple-converted-space">
    <w:name w:val="apple-converted-space"/>
    <w:basedOn w:val="DefaultParagraphFont"/>
    <w:rsid w:val="00041EC9"/>
  </w:style>
  <w:style w:type="character" w:styleId="Emphasis">
    <w:name w:val="Emphasis"/>
    <w:basedOn w:val="DefaultParagraphFont"/>
    <w:uiPriority w:val="20"/>
    <w:qFormat/>
    <w:rsid w:val="00041EC9"/>
    <w:rPr>
      <w:i/>
      <w:iCs/>
    </w:rPr>
  </w:style>
  <w:style w:type="paragraph" w:customStyle="1" w:styleId="4GCharCharChar">
    <w:name w:val="4_G Char Char Char"/>
    <w:aliases w:val="BVI fnr Car Car Car Car Char Char1 Char,BVI fnr Car Car Char Char Char,BVI fnr Car Char Char Char,BVI fnr Char Car Car Car Char Char Char,BVI fnr Char Char Char,Footnotes refss Char Char Char,ftref Char Char Char"/>
    <w:basedOn w:val="Normal"/>
    <w:link w:val="FootnoteReference"/>
    <w:uiPriority w:val="99"/>
    <w:rsid w:val="00024ED6"/>
    <w:pPr>
      <w:spacing w:after="120" w:line="240" w:lineRule="exact"/>
      <w:jc w:val="both"/>
    </w:pPr>
    <w:rPr>
      <w:rFonts w:ascii="Arial" w:hAnsi="Arial" w:eastAsiaTheme="minorHAnsi" w:cs="Arial"/>
      <w:vertAlign w:val="superscript"/>
      <w:lang w:eastAsia="en-US"/>
    </w:rPr>
  </w:style>
  <w:style w:type="character" w:styleId="FollowedHyperlink">
    <w:name w:val="FollowedHyperlink"/>
    <w:basedOn w:val="DefaultParagraphFont"/>
    <w:uiPriority w:val="99"/>
    <w:semiHidden/>
    <w:unhideWhenUsed/>
    <w:rsid w:val="002D275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CSC0082</dc:title>
  <cp:revision>0</cp:revision>
</cp:coreProperties>
</file>