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154AD" w:rsidRPr="009154AD" w:rsidP="009154AD">
      <w:pPr>
        <w:pStyle w:val="Title"/>
        <w:jc w:val="center"/>
        <w:rPr>
          <w:rFonts w:eastAsia="Arial" w:cs="Calibri"/>
          <w:color w:val="auto"/>
          <w:sz w:val="28"/>
          <w:szCs w:val="28"/>
        </w:rPr>
      </w:pPr>
      <w:r w:rsidRPr="009154AD">
        <w:rPr>
          <w:rFonts w:eastAsia="Arial" w:cs="Calibri"/>
          <w:color w:val="auto"/>
          <w:sz w:val="28"/>
          <w:szCs w:val="28"/>
        </w:rPr>
        <w:t>Written evidence submitted by the Agricultural Industries Confederation (AIC) (APH0182)</w:t>
      </w:r>
    </w:p>
    <w:p w:rsidR="009154AD" w:rsidP="00D32AC7">
      <w:pPr>
        <w:pStyle w:val="Title"/>
        <w:jc w:val="both"/>
        <w:rPr>
          <w:rFonts w:eastAsia="Arial" w:asciiTheme="minorHAnsi" w:hAnsiTheme="minorHAnsi" w:cs="Calibri Light"/>
        </w:rPr>
      </w:pPr>
    </w:p>
    <w:p w:rsidR="009154AD" w:rsidP="00D32AC7">
      <w:pPr>
        <w:pStyle w:val="Title"/>
        <w:jc w:val="both"/>
        <w:rPr>
          <w:rFonts w:eastAsia="Arial" w:asciiTheme="minorHAnsi" w:hAnsiTheme="minorHAnsi" w:cs="Calibri Light"/>
        </w:rPr>
      </w:pPr>
      <w:r w:rsidRPr="00711217">
        <w:rPr>
          <w:rFonts w:eastAsia="Arial" w:asciiTheme="minorHAnsi" w:hAnsiTheme="minorHAnsi" w:cs="Calibri Light"/>
        </w:rPr>
        <w:t xml:space="preserve">Efra Select Committee </w:t>
      </w:r>
      <w:r w:rsidRPr="00F80CC0">
        <w:rPr>
          <w:rFonts w:eastAsia="Arial" w:asciiTheme="minorHAnsi" w:hAnsiTheme="minorHAnsi" w:cs="Calibri Light"/>
          <w:i/>
          <w:iCs/>
        </w:rPr>
        <w:t>Call for Evidence</w:t>
      </w:r>
      <w:r w:rsidRPr="00711217">
        <w:rPr>
          <w:rFonts w:eastAsia="Arial" w:asciiTheme="minorHAnsi" w:hAnsiTheme="minorHAnsi" w:cs="Calibri Light"/>
        </w:rPr>
        <w:t xml:space="preserve">: </w:t>
      </w:r>
    </w:p>
    <w:p w:rsidR="009154AD" w:rsidRPr="00D32AC7" w:rsidP="00D32AC7">
      <w:pPr>
        <w:pStyle w:val="Title"/>
        <w:jc w:val="both"/>
        <w:rPr>
          <w:rFonts w:eastAsia="Arial" w:asciiTheme="minorHAnsi" w:hAnsiTheme="minorHAnsi" w:cs="Calibri Light"/>
        </w:rPr>
      </w:pPr>
      <w:r w:rsidRPr="00711217">
        <w:rPr>
          <w:rFonts w:eastAsia="Arial" w:asciiTheme="minorHAnsi" w:hAnsiTheme="minorHAnsi" w:cs="Calibri Light"/>
        </w:rPr>
        <w:t>Priorities for a UK-EU SPS agreement</w:t>
      </w:r>
      <w:r>
        <w:rPr>
          <w:rFonts w:eastAsia="Arial" w:asciiTheme="minorHAnsi" w:hAnsiTheme="minorHAnsi" w:cs="Calibri Light"/>
        </w:rPr>
        <w:t xml:space="preserve"> </w:t>
      </w:r>
    </w:p>
    <w:tbl>
      <w:tblPr>
        <w:tblStyle w:val="AICTable"/>
        <w:tblW w:w="0" w:type="auto"/>
        <w:tblLook w:val="04A0"/>
      </w:tblPr>
      <w:tblGrid>
        <w:gridCol w:w="9016"/>
      </w:tblGrid>
      <w:tr w:rsidTr="006430F2">
        <w:tblPrEx>
          <w:tblW w:w="0" w:type="auto"/>
          <w:tblLook w:val="04A0"/>
        </w:tblPrEx>
        <w:tc>
          <w:tcPr>
            <w:tcW w:w="9016" w:type="dxa"/>
          </w:tcPr>
          <w:p w:rsidR="009154AD" w:rsidP="006430F2">
            <w:pPr>
              <w:spacing w:before="60" w:after="60" w:line="240" w:lineRule="auto"/>
              <w:jc w:val="center"/>
              <w:rPr>
                <w:rFonts w:eastAsia="Arial" w:cs="Calibri Light"/>
              </w:rPr>
            </w:pPr>
            <w:r>
              <w:rPr>
                <w:rFonts w:eastAsia="Arial" w:cs="Calibri Light"/>
              </w:rPr>
              <w:t>Summary</w:t>
            </w:r>
          </w:p>
        </w:tc>
      </w:tr>
      <w:tr w:rsidTr="006430F2">
        <w:tblPrEx>
          <w:tblW w:w="0" w:type="auto"/>
          <w:tblLook w:val="04A0"/>
        </w:tblPrEx>
        <w:tc>
          <w:tcPr>
            <w:tcW w:w="9016" w:type="dxa"/>
          </w:tcPr>
          <w:p w:rsidR="009154AD" w:rsidRPr="001C7F28" w:rsidP="006D1C8C">
            <w:pPr>
              <w:jc w:val="both"/>
              <w:rPr>
                <w:bCs/>
              </w:rPr>
            </w:pPr>
          </w:p>
          <w:p w:rsidR="009154AD" w:rsidRPr="00AC617A" w:rsidP="006D1C8C">
            <w:pPr>
              <w:pStyle w:val="ListParagraph"/>
              <w:numPr>
                <w:ilvl w:val="0"/>
                <w:numId w:val="7"/>
              </w:numPr>
              <w:jc w:val="both"/>
              <w:rPr>
                <w:bCs/>
              </w:rPr>
            </w:pPr>
            <w:r w:rsidRPr="00AC617A">
              <w:rPr>
                <w:color w:val="auto"/>
              </w:rPr>
              <w:t>Timeline for Negotiation and Implementation</w:t>
            </w:r>
            <w:r w:rsidRPr="00AC617A">
              <w:rPr>
                <w:b w:val="0"/>
                <w:bCs/>
                <w:color w:val="auto"/>
              </w:rPr>
              <w:t>: AIC emphasises the need for a realistic timeline for transitioning to full alignment with the EU on SPS matters, especially for products that are not currently aligned.</w:t>
            </w:r>
          </w:p>
          <w:p w:rsidR="009154AD" w:rsidRPr="00AC617A" w:rsidP="006D1C8C">
            <w:pPr>
              <w:pStyle w:val="ListParagraph"/>
              <w:numPr>
                <w:ilvl w:val="0"/>
                <w:numId w:val="7"/>
              </w:numPr>
              <w:jc w:val="both"/>
              <w:rPr>
                <w:bCs/>
              </w:rPr>
            </w:pPr>
            <w:r w:rsidRPr="00AC617A">
              <w:rPr>
                <w:color w:val="auto"/>
              </w:rPr>
              <w:t>Dynamic Regulatory Alignment:</w:t>
            </w:r>
            <w:r w:rsidRPr="00AC617A">
              <w:rPr>
                <w:b w:val="0"/>
                <w:bCs/>
                <w:color w:val="auto"/>
              </w:rPr>
              <w:t xml:space="preserve"> AIC acknowledges the trade-offs of dynamic alignment with the EU, including the potential loss of influence over certain decisions. It is essential Government appreciate where the impacts may be felt the most, by farming sector and by region of the UK.  </w:t>
            </w:r>
          </w:p>
          <w:p w:rsidR="009154AD" w:rsidRPr="00AC617A" w:rsidP="006D1C8C">
            <w:pPr>
              <w:pStyle w:val="ListParagraph"/>
              <w:numPr>
                <w:ilvl w:val="0"/>
                <w:numId w:val="7"/>
              </w:numPr>
              <w:jc w:val="both"/>
              <w:rPr>
                <w:bCs/>
              </w:rPr>
            </w:pPr>
            <w:r w:rsidRPr="00AC617A">
              <w:rPr>
                <w:color w:val="auto"/>
              </w:rPr>
              <w:t>Preparation for Regulatory Divergence:</w:t>
            </w:r>
            <w:r w:rsidRPr="00AC617A">
              <w:rPr>
                <w:b w:val="0"/>
                <w:bCs/>
                <w:color w:val="auto"/>
              </w:rPr>
              <w:t xml:space="preserve"> AIC stresses the importance of adequate lead-in time for industry and supply chain to adapt to changes in practice or products, highlighting the need for clear timeframes and transitional arrangements.</w:t>
            </w:r>
          </w:p>
          <w:p w:rsidR="009154AD" w:rsidRPr="00AC617A" w:rsidP="006D1C8C">
            <w:pPr>
              <w:pStyle w:val="ListParagraph"/>
              <w:numPr>
                <w:ilvl w:val="0"/>
                <w:numId w:val="7"/>
              </w:numPr>
              <w:jc w:val="both"/>
              <w:rPr>
                <w:bCs/>
              </w:rPr>
            </w:pPr>
            <w:r w:rsidRPr="00AC617A">
              <w:rPr>
                <w:color w:val="auto"/>
              </w:rPr>
              <w:t>Engagement with Stakeholders:</w:t>
            </w:r>
            <w:r w:rsidRPr="00AC617A">
              <w:rPr>
                <w:b w:val="0"/>
                <w:bCs/>
                <w:color w:val="auto"/>
              </w:rPr>
              <w:t xml:space="preserve"> AIC calls for the UK Government to engage with industry stakeholders and devolved administrations to ensure the SPS agreement aligns with wider policies. Expectation management will be essential, especially where there will be </w:t>
            </w:r>
            <w:r w:rsidRPr="00AC617A">
              <w:rPr>
                <w:b w:val="0"/>
                <w:bCs/>
                <w:color w:val="auto"/>
              </w:rPr>
              <w:t>trade-offs</w:t>
            </w:r>
            <w:r w:rsidRPr="00AC617A">
              <w:rPr>
                <w:b w:val="0"/>
                <w:bCs/>
                <w:color w:val="auto"/>
              </w:rPr>
              <w:t>.</w:t>
            </w:r>
            <w:r w:rsidRPr="00AC617A">
              <w:t xml:space="preserve"> </w:t>
            </w:r>
          </w:p>
        </w:tc>
      </w:tr>
    </w:tbl>
    <w:p w:rsidR="009154AD" w:rsidRPr="001B3A0E" w:rsidP="001B3A0E">
      <w:pPr>
        <w:pStyle w:val="Heading1"/>
      </w:pPr>
      <w:r>
        <w:t>About the AIC</w:t>
      </w:r>
    </w:p>
    <w:p w:rsidR="009154AD" w:rsidRPr="003C77F5" w:rsidP="006A7CA0">
      <w:pPr>
        <w:spacing w:before="120"/>
        <w:jc w:val="both"/>
        <w:rPr>
          <w:rFonts w:eastAsia="Arial" w:cs="Calibri Light"/>
        </w:rPr>
      </w:pPr>
      <w:r w:rsidRPr="00537C36">
        <w:rPr>
          <w:rFonts w:eastAsia="Arial" w:asciiTheme="minorHAnsi" w:hAnsiTheme="minorHAnsi" w:cs="Calibri Light"/>
        </w:rPr>
        <w:t>The Agricultural Industries Confederation (AIC) is the</w:t>
      </w:r>
      <w:r>
        <w:rPr>
          <w:rFonts w:eastAsia="Arial" w:cs="Calibri Light"/>
        </w:rPr>
        <w:t xml:space="preserve"> UK</w:t>
      </w:r>
      <w:r w:rsidRPr="00537C36">
        <w:rPr>
          <w:rFonts w:eastAsia="Arial" w:asciiTheme="minorHAnsi" w:hAnsiTheme="minorHAnsi" w:cs="Calibri Light"/>
        </w:rPr>
        <w:t xml:space="preserve"> agri-supply industry’s trade association with over 230 Members, representing £17.8 billion turnover at farmgate. AIC represents several sectors including: Animal Feed; Combinable Crops; Crop Protection and Agronomy; Fertilisers; Seed. AIC is represented </w:t>
      </w:r>
      <w:r>
        <w:rPr>
          <w:rFonts w:eastAsia="Arial" w:cs="Calibri Light"/>
        </w:rPr>
        <w:t>in all four nations of the UK</w:t>
      </w:r>
      <w:r w:rsidRPr="00537C36">
        <w:rPr>
          <w:rFonts w:eastAsia="Arial" w:asciiTheme="minorHAnsi" w:hAnsiTheme="minorHAnsi" w:cs="Calibri Light"/>
        </w:rPr>
        <w:t xml:space="preserve"> and in Europe</w:t>
      </w:r>
      <w:r>
        <w:rPr>
          <w:rFonts w:eastAsia="Arial" w:asciiTheme="minorHAnsi" w:hAnsiTheme="minorHAnsi" w:cs="Calibri Light"/>
        </w:rPr>
        <w:t xml:space="preserve">, </w:t>
      </w:r>
      <w:r>
        <w:rPr>
          <w:rFonts w:eastAsia="Arial" w:cs="Calibri Light"/>
        </w:rPr>
        <w:t>where we remain active members of four European Associations: Coceral, Fefac, Euroseeds and EFBA.</w:t>
      </w:r>
    </w:p>
    <w:p w:rsidR="009154AD" w:rsidP="006A7CA0">
      <w:pPr>
        <w:spacing w:before="120"/>
        <w:jc w:val="both"/>
        <w:rPr>
          <w:rFonts w:eastAsia="Arial" w:asciiTheme="minorHAnsi" w:hAnsiTheme="minorHAnsi" w:cs="Calibri Light"/>
        </w:rPr>
      </w:pPr>
    </w:p>
    <w:p w:rsidR="009154AD" w:rsidRPr="009347F0" w:rsidP="006A7CA0">
      <w:pPr>
        <w:jc w:val="both"/>
        <w:rPr>
          <w:b/>
        </w:rPr>
      </w:pPr>
      <w:r w:rsidRPr="54C74323">
        <w:rPr>
          <w:b/>
        </w:rPr>
        <w:t xml:space="preserve">1. What is a realistic timeline for the negotiation and implementation of an SPS </w:t>
      </w:r>
      <w:r w:rsidRPr="54C74323">
        <w:rPr>
          <w:b/>
        </w:rPr>
        <w:t>agreement?</w:t>
      </w:r>
    </w:p>
    <w:p w:rsidR="009154AD" w:rsidP="006A7CA0">
      <w:pPr>
        <w:jc w:val="both"/>
      </w:pPr>
      <w:r w:rsidRPr="006A7CA0">
        <w:t>Even though GB has remained aligned with the EU across the majority of SPS matters, the work for Government and industry, that will be required in order to</w:t>
      </w:r>
      <w:r w:rsidRPr="006A7CA0">
        <w:t xml:space="preserve"> transition to full alignment for those goods or issues that are not aligned on, will still be considerable. For example, GB has had a number of </w:t>
      </w:r>
      <w:r w:rsidRPr="006A7CA0">
        <w:t xml:space="preserve">agricultural products that have been recently authorised for use but are not authorised in the EU, such as regulated products (such as feed additives and GMOs) or plant protection products (PPPs). </w:t>
      </w:r>
    </w:p>
    <w:p w:rsidR="009154AD" w:rsidRPr="006A7CA0" w:rsidP="006A7CA0">
      <w:pPr>
        <w:jc w:val="both"/>
      </w:pPr>
    </w:p>
    <w:p w:rsidR="009154AD" w:rsidRPr="006A7CA0" w:rsidP="006A7CA0">
      <w:pPr>
        <w:jc w:val="both"/>
      </w:pPr>
      <w:r w:rsidRPr="00CF1B6A">
        <w:rPr>
          <w:u w:val="single"/>
        </w:rPr>
        <w:t>Example</w:t>
      </w:r>
      <w:r w:rsidRPr="006A7CA0">
        <w:t xml:space="preserve">: feed additives. 3-Nitrooxypropanol (3-NOP), which reduces methane emissions in ruminants is approved for all ruminants for milk production and reproduction whereas in the EU it is limited only to dairy cows. </w:t>
      </w:r>
    </w:p>
    <w:p w:rsidR="009154AD" w:rsidRPr="006A7CA0" w:rsidP="006A7CA0">
      <w:pPr>
        <w:jc w:val="both"/>
      </w:pPr>
    </w:p>
    <w:p w:rsidR="009154AD" w:rsidP="006A7CA0">
      <w:pPr>
        <w:jc w:val="both"/>
      </w:pPr>
      <w:r w:rsidRPr="006A7CA0">
        <w:t xml:space="preserve">Where such products may have to be removed for use in GB, there must be a realistic timeline in which to transition. This is especially true on inputs to farmers that may be used over whole seasons (such as PPPs), or for animal feed products that need transitioning out for animal health reasons. </w:t>
      </w:r>
    </w:p>
    <w:p w:rsidR="009154AD" w:rsidRPr="006A7CA0" w:rsidP="006A7CA0">
      <w:pPr>
        <w:jc w:val="both"/>
      </w:pPr>
    </w:p>
    <w:p w:rsidR="009154AD" w:rsidP="006A7CA0">
      <w:pPr>
        <w:jc w:val="both"/>
      </w:pPr>
      <w:r w:rsidRPr="00CF1B6A">
        <w:rPr>
          <w:u w:val="single"/>
        </w:rPr>
        <w:t>Example</w:t>
      </w:r>
      <w:r w:rsidRPr="006A7CA0">
        <w:t>: bixlozone and cinmethylin, both used to control grass weeds in wheat, have recently been approved for use in GB following EU Exit. The assessment of both active substances continues in the EU but is not yet complete. They may be approved for use in the EU when the assessments are complete, but this is not certain. Another example is flufenacet, a herbicide used on wheat, barley, and oats which the EU has proposed to withdraw from use, whilst it is currently approved for use in GB.</w:t>
      </w:r>
    </w:p>
    <w:p w:rsidR="009154AD" w:rsidRPr="006A7CA0" w:rsidP="006A7CA0">
      <w:pPr>
        <w:jc w:val="both"/>
      </w:pPr>
    </w:p>
    <w:p w:rsidR="009154AD" w:rsidP="006A7CA0">
      <w:pPr>
        <w:jc w:val="both"/>
      </w:pPr>
      <w:r w:rsidRPr="006A7CA0">
        <w:t>Government has been clear that the transition could be ‘years, not months’, and AIC is broadly understanding of this. This should not however hinder any attempts to align sooner with the EU in areas where it is easier and mutually beneficial to do so, such as sectors like seeds.</w:t>
      </w:r>
    </w:p>
    <w:p w:rsidR="009154AD" w:rsidRPr="006A7CA0" w:rsidP="006A7CA0">
      <w:pPr>
        <w:jc w:val="both"/>
      </w:pPr>
    </w:p>
    <w:p w:rsidR="009154AD" w:rsidRPr="006A7CA0" w:rsidP="006A7CA0">
      <w:pPr>
        <w:jc w:val="both"/>
      </w:pPr>
      <w:r w:rsidRPr="006A7CA0">
        <w:t>The most important issue for business is to ensure there is a clear timetable and clear guidance to work towards in terms of products that will be phased out or have changes of how they are used. This is equally important for new products that may be available on the market which are currently permitted for use in the EU.</w:t>
      </w:r>
    </w:p>
    <w:p w:rsidR="009154AD" w:rsidRPr="00672993" w:rsidP="006A7CA0">
      <w:pPr>
        <w:jc w:val="both"/>
      </w:pPr>
    </w:p>
    <w:p w:rsidR="009154AD" w:rsidRPr="009347F0" w:rsidP="006A7CA0">
      <w:pPr>
        <w:jc w:val="both"/>
        <w:rPr>
          <w:b/>
        </w:rPr>
      </w:pPr>
      <w:r w:rsidRPr="54C74323">
        <w:rPr>
          <w:b/>
        </w:rPr>
        <w:t>2. What opportunities and risks are posed by the introduction of dynamic regulatory alignment with the EU?</w:t>
      </w:r>
    </w:p>
    <w:p w:rsidR="009154AD" w:rsidP="006A7CA0">
      <w:pPr>
        <w:jc w:val="both"/>
      </w:pPr>
      <w:r w:rsidRPr="006A7CA0">
        <w:t xml:space="preserve">Dynamic alignment inevitably will bring trade-offs, given its clear meaning, leaving limited room for exemptions or opt outs. This ‘all in’ approach will naturally mean a reversion to the pre–EU Exit environment in which GB stakeholders or the UK Government will be required to sign up to standards </w:t>
      </w:r>
      <w:r w:rsidRPr="006A7CA0">
        <w:t>or decisions that they may not agree with. However, Government is clear that it the overall need for</w:t>
      </w:r>
      <w:r w:rsidRPr="00342748">
        <w:rPr>
          <w:i/>
          <w:iCs/>
        </w:rPr>
        <w:t xml:space="preserve"> </w:t>
      </w:r>
      <w:r w:rsidRPr="006A7CA0">
        <w:t xml:space="preserve">alignment outweighs the challenges from dynamic alignment, even if they are more pronounced in specific sectors. </w:t>
      </w:r>
    </w:p>
    <w:p w:rsidR="009154AD" w:rsidRPr="006A7CA0" w:rsidP="006A7CA0">
      <w:pPr>
        <w:jc w:val="both"/>
      </w:pPr>
    </w:p>
    <w:p w:rsidR="009154AD" w:rsidRPr="006A7CA0" w:rsidP="00B63E53">
      <w:pPr>
        <w:jc w:val="both"/>
      </w:pPr>
      <w:r w:rsidRPr="006A7CA0">
        <w:t>AIC has identified the biggest risks to be:</w:t>
      </w:r>
    </w:p>
    <w:p w:rsidR="009154AD" w:rsidRPr="006A7CA0" w:rsidP="00B63E53">
      <w:pPr>
        <w:pStyle w:val="ListParagraph"/>
        <w:numPr>
          <w:ilvl w:val="0"/>
          <w:numId w:val="13"/>
        </w:numPr>
        <w:jc w:val="both"/>
      </w:pPr>
      <w:r w:rsidRPr="006A7CA0">
        <w:t>PPPs and active substance removals from the GB market that growers rely upon (flufenacet, cynmethylin), without a say or influence over;</w:t>
      </w:r>
    </w:p>
    <w:p w:rsidR="009154AD" w:rsidRPr="006A7CA0" w:rsidP="00B63E53">
      <w:pPr>
        <w:pStyle w:val="ListParagraph"/>
        <w:numPr>
          <w:ilvl w:val="0"/>
          <w:numId w:val="13"/>
        </w:numPr>
        <w:jc w:val="both"/>
      </w:pPr>
      <w:r w:rsidRPr="006A7CA0">
        <w:t>Removal of feed additives or products that are needed in GB where we have different climate and systems (especially true of ruminant sectors);</w:t>
      </w:r>
    </w:p>
    <w:p w:rsidR="009154AD" w:rsidRPr="006A7CA0" w:rsidP="00B63E53">
      <w:pPr>
        <w:pStyle w:val="ListParagraph"/>
        <w:numPr>
          <w:ilvl w:val="0"/>
          <w:numId w:val="13"/>
        </w:numPr>
        <w:jc w:val="both"/>
      </w:pPr>
      <w:r w:rsidRPr="006A7CA0">
        <w:t>Changes to the conditions of approval for additives that may not meet nutritional requirements of UK livestock (forage based ruminant production systems);</w:t>
      </w:r>
    </w:p>
    <w:p w:rsidR="009154AD" w:rsidRPr="006A7CA0" w:rsidP="00B63E53">
      <w:pPr>
        <w:pStyle w:val="ListParagraph"/>
        <w:numPr>
          <w:ilvl w:val="0"/>
          <w:numId w:val="13"/>
        </w:numPr>
        <w:jc w:val="both"/>
      </w:pPr>
      <w:r w:rsidRPr="006A7CA0">
        <w:t xml:space="preserve">Eventual implementation of the Genetic Technologies (Precision Breeding) Act and </w:t>
      </w:r>
      <w:r w:rsidRPr="006A7CA0">
        <w:t>its</w:t>
      </w:r>
      <w:r w:rsidRPr="006A7CA0">
        <w:t xml:space="preserve"> interaction with the EU’s ‘New Genomic Techniques’. </w:t>
      </w:r>
    </w:p>
    <w:p w:rsidR="009154AD" w:rsidP="00B63E53">
      <w:pPr>
        <w:pStyle w:val="ListParagraph"/>
        <w:numPr>
          <w:ilvl w:val="0"/>
          <w:numId w:val="13"/>
        </w:numPr>
        <w:jc w:val="both"/>
      </w:pPr>
      <w:r w:rsidRPr="006A7CA0">
        <w:t>Risk of regulatory inertia in UK during a transition period – particularly for regulated products such as feed additives and GMOs where FSA may not commit sufficient resource to assessment of dossiers on the grounds that once an SPS agreement is in place, those regulated products up for assessment in UK will be available in the market where they are already approved in EU.</w:t>
      </w:r>
    </w:p>
    <w:p w:rsidR="009154AD" w:rsidRPr="006A7CA0" w:rsidP="00B63E53">
      <w:pPr>
        <w:pStyle w:val="ListParagraph"/>
        <w:jc w:val="both"/>
      </w:pPr>
    </w:p>
    <w:p w:rsidR="009154AD" w:rsidRPr="006A7CA0" w:rsidP="00B63E53">
      <w:pPr>
        <w:jc w:val="both"/>
      </w:pPr>
      <w:r w:rsidRPr="006A7CA0">
        <w:t xml:space="preserve">AIC believes that the opportunities are: </w:t>
      </w:r>
    </w:p>
    <w:p w:rsidR="009154AD" w:rsidRPr="006A7CA0" w:rsidP="00B63E53">
      <w:pPr>
        <w:pStyle w:val="ListParagraph"/>
        <w:numPr>
          <w:ilvl w:val="0"/>
          <w:numId w:val="14"/>
        </w:numPr>
        <w:jc w:val="both"/>
      </w:pPr>
      <w:r w:rsidRPr="006A7CA0">
        <w:t xml:space="preserve">Alignment on Maximum Residue Limits (MRLs) and contaminants offers opportunities on removing export barriers to UK grains and oilseeds to EU and non-EU markets. </w:t>
      </w:r>
    </w:p>
    <w:p w:rsidR="009154AD" w:rsidRPr="006A7CA0" w:rsidP="00B63E53">
      <w:pPr>
        <w:pStyle w:val="ListParagraph"/>
        <w:numPr>
          <w:ilvl w:val="0"/>
          <w:numId w:val="14"/>
        </w:numPr>
        <w:jc w:val="both"/>
      </w:pPr>
      <w:r w:rsidRPr="006A7CA0">
        <w:t xml:space="preserve">No phytosanitary certificates and associated costs (a </w:t>
      </w:r>
      <w:r w:rsidRPr="006A7CA0">
        <w:t>major source of trade friction for the seed sector)</w:t>
      </w:r>
    </w:p>
    <w:p w:rsidR="009154AD" w:rsidRPr="006A7CA0" w:rsidP="00B63E53">
      <w:pPr>
        <w:pStyle w:val="ListParagraph"/>
        <w:numPr>
          <w:ilvl w:val="0"/>
          <w:numId w:val="14"/>
        </w:numPr>
        <w:jc w:val="both"/>
      </w:pPr>
      <w:r w:rsidRPr="006A7CA0">
        <w:t>No Export Health Certificates</w:t>
      </w:r>
    </w:p>
    <w:p w:rsidR="009154AD" w:rsidRPr="006A7CA0" w:rsidP="00B63E53">
      <w:pPr>
        <w:pStyle w:val="ListParagraph"/>
        <w:numPr>
          <w:ilvl w:val="0"/>
          <w:numId w:val="14"/>
        </w:numPr>
        <w:jc w:val="both"/>
      </w:pPr>
      <w:r w:rsidRPr="006A7CA0">
        <w:t xml:space="preserve">No organic inspection certificates (Example: one AIC SME member business trading combinable crops has estimated their annual cost for generating organic </w:t>
      </w:r>
      <w:r w:rsidRPr="006A7CA0">
        <w:t>certificates is £7,500 a year).</w:t>
      </w:r>
    </w:p>
    <w:p w:rsidR="009154AD" w:rsidRPr="006A7CA0" w:rsidP="00B63E53">
      <w:pPr>
        <w:pStyle w:val="ListParagraph"/>
        <w:numPr>
          <w:ilvl w:val="0"/>
          <w:numId w:val="14"/>
        </w:numPr>
        <w:jc w:val="both"/>
      </w:pPr>
      <w:r w:rsidRPr="006A7CA0">
        <w:t>Groupage orders between GB and NI again, benefiting farmers in Northern Ireland</w:t>
      </w:r>
    </w:p>
    <w:p w:rsidR="009154AD" w:rsidRPr="006A7CA0" w:rsidP="00B63E53">
      <w:pPr>
        <w:pStyle w:val="ListParagraph"/>
        <w:numPr>
          <w:ilvl w:val="0"/>
          <w:numId w:val="14"/>
        </w:numPr>
        <w:jc w:val="both"/>
      </w:pPr>
      <w:r w:rsidRPr="006A7CA0">
        <w:t>Single PPP approvals, no duplication on costs</w:t>
      </w:r>
    </w:p>
    <w:p w:rsidR="009154AD" w:rsidRPr="006A7CA0" w:rsidP="00B63E53">
      <w:pPr>
        <w:pStyle w:val="ListParagraph"/>
        <w:numPr>
          <w:ilvl w:val="0"/>
          <w:numId w:val="14"/>
        </w:numPr>
        <w:jc w:val="both"/>
      </w:pPr>
      <w:r w:rsidRPr="006A7CA0">
        <w:t xml:space="preserve">Industry not having to monitor divergence </w:t>
      </w:r>
      <w:r w:rsidRPr="006A7CA0">
        <w:t>itself.</w:t>
      </w:r>
    </w:p>
    <w:p w:rsidR="009154AD" w:rsidRPr="006A7CA0" w:rsidP="00B63E53">
      <w:pPr>
        <w:pStyle w:val="ListParagraph"/>
        <w:numPr>
          <w:ilvl w:val="0"/>
          <w:numId w:val="14"/>
        </w:numPr>
        <w:jc w:val="both"/>
      </w:pPr>
      <w:r w:rsidRPr="006A7CA0">
        <w:t xml:space="preserve">Harmonisation of the catalogue of feed and seed materials </w:t>
      </w:r>
    </w:p>
    <w:p w:rsidR="009154AD" w:rsidRPr="006A7CA0" w:rsidP="007816A0">
      <w:pPr>
        <w:pStyle w:val="ListParagraph"/>
        <w:numPr>
          <w:ilvl w:val="0"/>
          <w:numId w:val="14"/>
        </w:numPr>
      </w:pPr>
      <w:r w:rsidRPr="006A7CA0">
        <w:t xml:space="preserve">Quicker access to new GMOs and feed additives given the EU approval process is currently operating more quickly than the UK </w:t>
      </w:r>
      <w:r w:rsidRPr="006A7CA0">
        <w:t>process.</w:t>
      </w:r>
      <w:r w:rsidRPr="006A7CA0">
        <w:t xml:space="preserve"> </w:t>
      </w:r>
    </w:p>
    <w:p w:rsidR="009154AD" w:rsidRPr="00342748" w:rsidP="006A7CA0">
      <w:pPr>
        <w:jc w:val="both"/>
        <w:rPr>
          <w:i/>
          <w:iCs/>
        </w:rPr>
      </w:pPr>
    </w:p>
    <w:p w:rsidR="009154AD" w:rsidRPr="009347F0" w:rsidP="009347F0">
      <w:pPr>
        <w:jc w:val="both"/>
        <w:rPr>
          <w:b/>
        </w:rPr>
      </w:pPr>
      <w:r w:rsidRPr="54C74323">
        <w:rPr>
          <w:b/>
        </w:rPr>
        <w:t>3. How should traders, producers, businesses and policy makers prepare in sectors where regulatory divergence already exists or may emerge, such as in precision breeding, animal welfare and crop protection?</w:t>
      </w:r>
    </w:p>
    <w:p w:rsidR="009154AD" w:rsidP="009347F0">
      <w:pPr>
        <w:jc w:val="both"/>
      </w:pPr>
      <w:r w:rsidRPr="006A7CA0">
        <w:t>There needs to be an adequate lead in time with industry so that changes in practice or products can be notified, and ultimately feed this back to farmers. Removing a product from use or changing its use conditions (such as glyphosate) requires industry time to adapt to alternative strategies. Equally, having access to products that are not currently on the market could offer some opportunities. These have to be given a clear timeframe for the sector to work to.</w:t>
      </w:r>
    </w:p>
    <w:p w:rsidR="009154AD" w:rsidRPr="006A7CA0" w:rsidP="009347F0">
      <w:pPr>
        <w:jc w:val="both"/>
      </w:pPr>
    </w:p>
    <w:p w:rsidR="009154AD" w:rsidP="009347F0">
      <w:pPr>
        <w:jc w:val="both"/>
      </w:pPr>
      <w:r w:rsidRPr="006A7CA0">
        <w:t>The greater area for clarity is the legislative lead in time that UK Government can work to. The big problem with EU Exit was that we were lurching between short term and uncertain timelines without a clear overarching timeline for introduction of change.</w:t>
      </w:r>
    </w:p>
    <w:p w:rsidR="009154AD" w:rsidRPr="006A7CA0" w:rsidP="009347F0">
      <w:pPr>
        <w:jc w:val="both"/>
      </w:pPr>
    </w:p>
    <w:p w:rsidR="009154AD" w:rsidP="009347F0">
      <w:pPr>
        <w:jc w:val="both"/>
      </w:pPr>
      <w:r w:rsidRPr="006A7CA0">
        <w:t>Precision Breeding is a separate issue altogether and is unique given the regulatory approach having been taken in England, compared to the rest of the UK. In addition, the EU is not standing still and is seeking to implement similar legislation of its own that although similar in certain aspects, has notable differences. AIC is satisfied that Defra and wider Government understands the need to preserve the Precision Breeding Act as a leading piece of legislation, whilst balancing the compatibility with an S</w:t>
      </w:r>
      <w:r w:rsidRPr="006A7CA0">
        <w:t>PS agreement, and ‘red lines’ set out by the Commission. Defra is engaging stakeholder and businesses on this.</w:t>
      </w:r>
    </w:p>
    <w:p w:rsidR="009154AD" w:rsidRPr="006A7CA0" w:rsidP="006A7CA0">
      <w:pPr>
        <w:spacing w:after="160" w:line="259" w:lineRule="auto"/>
        <w:jc w:val="both"/>
      </w:pPr>
    </w:p>
    <w:p w:rsidR="009154AD" w:rsidRPr="006A7CA0" w:rsidP="006A7CA0">
      <w:pPr>
        <w:jc w:val="both"/>
        <w:rPr>
          <w:u w:val="single"/>
        </w:rPr>
      </w:pPr>
      <w:r w:rsidRPr="006A7CA0">
        <w:rPr>
          <w:u w:val="single"/>
        </w:rPr>
        <w:t xml:space="preserve">Examples on divergence: </w:t>
      </w:r>
    </w:p>
    <w:p w:rsidR="009154AD" w:rsidRPr="006A7CA0" w:rsidP="009347F0">
      <w:pPr>
        <w:pStyle w:val="ListParagraph"/>
        <w:numPr>
          <w:ilvl w:val="0"/>
          <w:numId w:val="11"/>
        </w:numPr>
        <w:jc w:val="both"/>
      </w:pPr>
      <w:r w:rsidRPr="006A7CA0">
        <w:t xml:space="preserve">Maximum Residue Limits (MRLs). MRLs are the highest legally permitted amounts of pesticide residues allowed on or in food and feed, when pesticides are used according to good agricultural practices. They ensure food safety by setting limits on pesticide residues in food, particularly for raw agricultural commodities. MRLs are often amended in line with evidence submissions and risk, and will vary from individual product and crop type. </w:t>
      </w:r>
    </w:p>
    <w:p w:rsidR="009154AD" w:rsidRPr="006A7CA0" w:rsidP="006A7CA0">
      <w:pPr>
        <w:pStyle w:val="ListParagraph"/>
        <w:numPr>
          <w:ilvl w:val="0"/>
          <w:numId w:val="11"/>
        </w:numPr>
        <w:jc w:val="both"/>
      </w:pPr>
      <w:r w:rsidRPr="006A7CA0">
        <w:t>AIC analysis suggests that there are approximately 254 active substances for which MRLs are required across 11 crop categories (</w:t>
      </w:r>
      <w:r w:rsidRPr="006A7CA0">
        <w:t>i.e.</w:t>
      </w:r>
      <w:r w:rsidRPr="006A7CA0">
        <w:t xml:space="preserve"> beans, wheat, barley, maize etc), meaning that there </w:t>
      </w:r>
      <w:r w:rsidRPr="006A7CA0">
        <w:t>are potentially over 2,500 individual MRLs that businesses must comply with. For various reasons, some of these MRLs have varied between EU and GB since EU Exit, and all parts of the supply chain, from input suppliers, to farmers, to end markets will now have to implement these and make possible changes. As explained above, this required lead in times to do it.</w:t>
      </w:r>
    </w:p>
    <w:p w:rsidR="009154AD" w:rsidRPr="006A7CA0" w:rsidP="006A7CA0">
      <w:pPr>
        <w:pStyle w:val="ListParagraph"/>
        <w:numPr>
          <w:ilvl w:val="0"/>
          <w:numId w:val="11"/>
        </w:numPr>
        <w:jc w:val="both"/>
      </w:pPr>
      <w:r w:rsidRPr="006A7CA0">
        <w:t xml:space="preserve">AIC analysis suggests that there are circa 39 active PPP substances available in GB and not in the EU. Meanwhile there is approximately 68 substances available in the EU for use and not in GB. Many of these are biopesticides and so their value to GB crop protection is not clear as the crops they are recommended on or the pest controlled may not be relevant to GB. </w:t>
      </w:r>
    </w:p>
    <w:p w:rsidR="009154AD" w:rsidRPr="006A7CA0" w:rsidP="006A7CA0">
      <w:pPr>
        <w:pStyle w:val="ListParagraph"/>
        <w:numPr>
          <w:ilvl w:val="0"/>
          <w:numId w:val="11"/>
        </w:numPr>
        <w:jc w:val="both"/>
      </w:pPr>
      <w:r w:rsidRPr="006A7CA0">
        <w:t xml:space="preserve">Glyphosate. The above variation in active substances does not begin to cover the variation of conditions of use that may be applied to individual PPPs. One notable example is glyphosate, a vital herbicide for growers in GB to desiccate crops prior to harvest (bringing down drying costs) as well as removing weeds (this is especially important in minimum or no-tillage systems). </w:t>
      </w:r>
      <w:r w:rsidRPr="006A7CA0">
        <w:t xml:space="preserve">The EU renewed approval of glyphosate in 2023 attaching a condition that it may not be used for desiccation of a crop pre-harvest under certain circumstances. This will be challenging for many growers, especially those in colder or wetter areas of the UK such as the North of England or Scotland. AIC analysis suggests that whilst use as a desiccant in wheat, barley or beans is variable (~20% of the crops), around 60-80% of oilseed crops require this desiccation. </w:t>
      </w:r>
    </w:p>
    <w:p w:rsidR="009154AD" w:rsidRPr="006A7CA0" w:rsidP="006A7CA0">
      <w:pPr>
        <w:pStyle w:val="ListParagraph"/>
        <w:numPr>
          <w:ilvl w:val="0"/>
          <w:numId w:val="11"/>
        </w:numPr>
        <w:jc w:val="both"/>
      </w:pPr>
      <w:r w:rsidRPr="006A7CA0">
        <w:t xml:space="preserve">Feed additives, particularly in vitamins and amino-acids where new fermentation strains are brought forward regularly. Amino Acids are essential for livestock health, as well as reducing farmers’ overall feed costs. Vitamin B12 and Lysine are two such ammino acids, which are examples of where businesses need to commit time and resource to ensuring they use the correct additives for the destination market and in some </w:t>
      </w:r>
      <w:r w:rsidRPr="006A7CA0">
        <w:t>cases,</w:t>
      </w:r>
      <w:r w:rsidRPr="006A7CA0">
        <w:t xml:space="preserve"> this requires cleaning down production lines to ensure no cross-contamination. Separate storage requirements and carrying more stock lines to cover the requirements of all markets are other examples of adding cost and complexity resulting from divergence.</w:t>
      </w:r>
    </w:p>
    <w:p w:rsidR="009154AD" w:rsidRPr="00672993" w:rsidP="006A7CA0">
      <w:pPr>
        <w:jc w:val="both"/>
      </w:pPr>
    </w:p>
    <w:p w:rsidR="009154AD" w:rsidP="006A7CA0">
      <w:pPr>
        <w:jc w:val="both"/>
        <w:rPr>
          <w:b/>
        </w:rPr>
      </w:pPr>
      <w:r w:rsidRPr="54C74323">
        <w:rPr>
          <w:b/>
        </w:rPr>
        <w:t>4. How should the UK Government engage with industry stakeholders and devolved administrations to ensure the agreement aligns with wider agri-food and environmental goals?</w:t>
      </w:r>
    </w:p>
    <w:p w:rsidR="009154AD" w:rsidRPr="006A7CA0" w:rsidP="006A7CA0">
      <w:pPr>
        <w:jc w:val="both"/>
      </w:pPr>
      <w:r w:rsidRPr="006A7CA0">
        <w:t xml:space="preserve">Government Departments must work alongside devolved administrations relevant in ensuring that their priority sectors are taken into account, alongside possible climactic considerations unique to </w:t>
      </w:r>
      <w:r w:rsidRPr="006A7CA0">
        <w:t xml:space="preserve">them. For regulated products such as feed additives and GMOs, it is vital that the ‘common framework’ agreed between the four food standards agencies in each nation of the UK is maintained. </w:t>
      </w:r>
    </w:p>
    <w:p w:rsidR="009154AD" w:rsidRPr="006A7CA0" w:rsidP="006A7CA0">
      <w:pPr>
        <w:jc w:val="both"/>
      </w:pPr>
    </w:p>
    <w:p w:rsidR="009154AD" w:rsidRPr="006A7CA0" w:rsidP="006A7CA0">
      <w:pPr>
        <w:jc w:val="both"/>
      </w:pPr>
      <w:r w:rsidRPr="006A7CA0">
        <w:t xml:space="preserve">Both Wales and Scotland have a greater agricultural focus upon ruminant sectors, and therefore feed ingredients or grassland PPPs will be of considerable interest. As mentioned above, glyphosate as a desiccant will be of notable importance, as will possible limits on ‘HT/HT2’ contaminants in oats. We cannot overlook the importance of the aquaculture sector, noting that the UK fish feed sector contributes over £100m to the Scottish economy for example. </w:t>
      </w:r>
    </w:p>
    <w:p w:rsidR="009154AD" w:rsidRPr="006A7CA0" w:rsidP="006A7CA0">
      <w:pPr>
        <w:jc w:val="both"/>
      </w:pPr>
    </w:p>
    <w:p w:rsidR="009154AD" w:rsidRPr="006A7CA0" w:rsidP="006A7CA0">
      <w:pPr>
        <w:jc w:val="both"/>
      </w:pPr>
      <w:r w:rsidRPr="006A7CA0">
        <w:t xml:space="preserve">For Northern Ireland, it is essential that businesses have a clear understanding of how the Windsor Framework will still apply alongside an SPS agreement and what kind of friction, if any, will remain. The main difference to pre-EU Exit will be that whilst the UK and EU will be aligned once again on SPS matters, this is will not be the case on trade or customs and therefore processes will still need to be followed in order to capture this information for goods going in either direction. </w:t>
      </w:r>
    </w:p>
    <w:p w:rsidR="009154AD" w:rsidRPr="006A7CA0" w:rsidP="006A7CA0">
      <w:pPr>
        <w:jc w:val="both"/>
      </w:pPr>
      <w:r w:rsidRPr="006A7CA0">
        <w:t xml:space="preserve">For stakeholders, Government needs to try and ensure it has all the best available information to anticipate the possible consequences of SPS and dynamic alignment. It will therefore require a focus upon objective, real world data from industry, to ensure that it understands practical impacts and not theoretical ones. For example, if a product is to be withdrawn, are there strategies available for farm businesses to compensate for it? </w:t>
      </w:r>
    </w:p>
    <w:p w:rsidR="009154AD" w:rsidRPr="006A7CA0" w:rsidP="006A7CA0">
      <w:pPr>
        <w:jc w:val="both"/>
      </w:pPr>
    </w:p>
    <w:p w:rsidR="009154AD" w:rsidRPr="006A7CA0" w:rsidP="006A7CA0">
      <w:pPr>
        <w:jc w:val="both"/>
      </w:pPr>
      <w:r w:rsidRPr="006A7CA0">
        <w:t xml:space="preserve">AIC would commend the Government’s approach taken so far in providing sufficient information in order to manage expectations, as well taking time to address the profound challenges that have arisen for businesses since EU Exit. </w:t>
      </w:r>
      <w:r w:rsidRPr="006A7CA0">
        <w:t>However,</w:t>
      </w:r>
      <w:r w:rsidRPr="006A7CA0">
        <w:t xml:space="preserve"> as the SPS agreement reaches negotiation stages, we cannot overlook the potential time pressures that could emerge. </w:t>
      </w:r>
    </w:p>
    <w:p w:rsidR="009154AD" w:rsidRPr="00672993" w:rsidP="006A7CA0">
      <w:pPr>
        <w:jc w:val="both"/>
        <w:rPr>
          <w:i/>
        </w:rPr>
      </w:pPr>
    </w:p>
    <w:p w:rsidR="009154AD" w:rsidP="006A7CA0">
      <w:pPr>
        <w:jc w:val="both"/>
        <w:rPr>
          <w:b/>
        </w:rPr>
      </w:pPr>
      <w:r w:rsidRPr="54C74323">
        <w:rPr>
          <w:b/>
        </w:rPr>
        <w:t>5. What could the implications of an SPS agreement for trade and border controls be, including border infrastructure, resources, biosecurity, trade friction, growth and the treatment of imports from non-EU countries?</w:t>
      </w:r>
    </w:p>
    <w:p w:rsidR="009154AD" w:rsidRPr="006A7CA0" w:rsidP="006A7CA0">
      <w:pPr>
        <w:jc w:val="both"/>
        <w:rPr>
          <w:iCs/>
        </w:rPr>
      </w:pPr>
      <w:r w:rsidRPr="006A7CA0">
        <w:rPr>
          <w:iCs/>
        </w:rPr>
        <w:t xml:space="preserve">The SPS agreement needs to ensure that UK biosecurity is protected and that special measures to manage or control imports of products from EU and third countries that might be having to manage animal disease outbreaks. This is particularly important for the import of animal by products where disease outbreaks might result in the risk of disease being brought into the UK. Lumpy skin disease </w:t>
      </w:r>
      <w:r w:rsidRPr="006A7CA0">
        <w:rPr>
          <w:iCs/>
        </w:rPr>
        <w:t>and milk products imported from affected areas, as well as African Swine Fever, are examples of this – UK must be able to take its own biosecurity measures to protect animals and the industry under the terms of the SPS agreement whilst at the same time minimising the impact on trade.</w:t>
      </w:r>
    </w:p>
    <w:p w:rsidR="009154AD" w:rsidRPr="00672993" w:rsidP="006A7CA0">
      <w:pPr>
        <w:jc w:val="both"/>
      </w:pPr>
    </w:p>
    <w:p w:rsidR="009154AD" w:rsidP="006A7CA0">
      <w:pPr>
        <w:jc w:val="both"/>
        <w:rPr>
          <w:b/>
        </w:rPr>
      </w:pPr>
      <w:r w:rsidRPr="54C74323">
        <w:rPr>
          <w:b/>
        </w:rPr>
        <w:t>6. How might an SPS agreement affect the UK’s internal market, particularly considering regulatory divergence across the devolved nations?</w:t>
      </w:r>
    </w:p>
    <w:p w:rsidR="009154AD" w:rsidP="006A7CA0">
      <w:pPr>
        <w:jc w:val="both"/>
        <w:rPr>
          <w:b/>
        </w:rPr>
      </w:pPr>
    </w:p>
    <w:p w:rsidR="009154AD" w:rsidRPr="006A7CA0" w:rsidP="006A7CA0">
      <w:pPr>
        <w:jc w:val="both"/>
        <w:rPr>
          <w:iCs/>
        </w:rPr>
      </w:pPr>
      <w:r w:rsidRPr="006A7CA0">
        <w:rPr>
          <w:iCs/>
        </w:rPr>
        <w:t xml:space="preserve">In theory </w:t>
      </w:r>
      <w:r>
        <w:rPr>
          <w:iCs/>
        </w:rPr>
        <w:t>an SPS agreement should help provide constituency for the internal market of the UK</w:t>
      </w:r>
      <w:r w:rsidRPr="006A7CA0">
        <w:rPr>
          <w:iCs/>
        </w:rPr>
        <w:t>, as SPS</w:t>
      </w:r>
      <w:r>
        <w:rPr>
          <w:iCs/>
        </w:rPr>
        <w:t xml:space="preserve"> measures</w:t>
      </w:r>
      <w:r w:rsidRPr="006A7CA0">
        <w:rPr>
          <w:iCs/>
        </w:rPr>
        <w:t xml:space="preserve"> will apply equally across all four nations. Issues to date have arisen from devolved administrations having either different approval timelines or approaches (</w:t>
      </w:r>
      <w:r w:rsidRPr="006A7CA0">
        <w:rPr>
          <w:iCs/>
        </w:rPr>
        <w:t>i.e.</w:t>
      </w:r>
      <w:r w:rsidRPr="006A7CA0">
        <w:rPr>
          <w:iCs/>
        </w:rPr>
        <w:t xml:space="preserve"> regulated products) or fundamental differences between GB and NI. This underscores the need for all four nations to work closely to ensure best outcomes for internal market. AIC would state that the Office of the Internal Market should </w:t>
      </w:r>
      <w:r>
        <w:rPr>
          <w:iCs/>
        </w:rPr>
        <w:t>see this</w:t>
      </w:r>
      <w:r w:rsidRPr="006A7CA0">
        <w:rPr>
          <w:iCs/>
        </w:rPr>
        <w:t xml:space="preserve"> pr</w:t>
      </w:r>
      <w:r w:rsidRPr="006A7CA0">
        <w:rPr>
          <w:iCs/>
        </w:rPr>
        <w:t>ocess</w:t>
      </w:r>
      <w:r>
        <w:rPr>
          <w:iCs/>
        </w:rPr>
        <w:t xml:space="preserve"> as a priority for its work. </w:t>
      </w:r>
    </w:p>
    <w:p w:rsidR="009154AD" w:rsidP="006A7CA0">
      <w:pPr>
        <w:jc w:val="both"/>
        <w:rPr>
          <w:i/>
        </w:rPr>
      </w:pPr>
    </w:p>
    <w:p w:rsidR="009154AD" w:rsidRPr="00672993" w:rsidP="006A7CA0">
      <w:pPr>
        <w:jc w:val="both"/>
        <w:rPr>
          <w:i/>
        </w:rPr>
      </w:pPr>
    </w:p>
    <w:p w:rsidR="009154AD" w:rsidRPr="00672993" w:rsidP="006A7CA0">
      <w:pPr>
        <w:jc w:val="both"/>
        <w:rPr>
          <w:b/>
        </w:rPr>
      </w:pPr>
      <w:r w:rsidRPr="54C74323">
        <w:rPr>
          <w:b/>
        </w:rPr>
        <w:t>7. What impact could the proposed SPS agreement have on upcoming Defra agri-food and environmental strategies, such as the Land Use Framework, Food Strategy, Farming Roadmap, and efforts to improve farming profitability and sustainable growth?</w:t>
      </w:r>
    </w:p>
    <w:p w:rsidR="009154AD" w:rsidP="006A7CA0">
      <w:pPr>
        <w:jc w:val="both"/>
        <w:rPr>
          <w:iCs/>
        </w:rPr>
      </w:pPr>
      <w:r w:rsidRPr="006A7CA0">
        <w:rPr>
          <w:iCs/>
        </w:rPr>
        <w:t xml:space="preserve">As ever, AIC would urge Government, through every step of negotiations, to consider what impacts could be on growing crops or rearing animals profitably. The need for long term predictable time frames on available tools and inputs to farmers will be essential. In addition, the ease of trade on importing these goods, and accessing EU and non-EU markets because of harmonised SPS approaches will ultimately benefit UK farmers and growers. </w:t>
      </w:r>
    </w:p>
    <w:p w:rsidR="009154AD" w:rsidRPr="006A7CA0" w:rsidP="006A7CA0">
      <w:pPr>
        <w:jc w:val="both"/>
        <w:rPr>
          <w:iCs/>
        </w:rPr>
      </w:pPr>
    </w:p>
    <w:p w:rsidR="009154AD" w:rsidRPr="006A7CA0" w:rsidP="006A7CA0">
      <w:pPr>
        <w:jc w:val="both"/>
        <w:rPr>
          <w:iCs/>
        </w:rPr>
      </w:pPr>
      <w:r w:rsidRPr="006A7CA0">
        <w:rPr>
          <w:iCs/>
        </w:rPr>
        <w:t>As explained above, better access to seed and PPPs for minor use crops may help with wider crop rotations, something that has declined alarmingly over the past decade. It is of great concern to the wider supply chain that the arable sector is seeing a contraction in this variation of crops grown. Most significant has been the decline in the pulses and oilseed sectors, which in 2025 are forecast to decline further across the UK due to climate factors, seed import barriers, the removal of active substances, a</w:t>
      </w:r>
      <w:r w:rsidRPr="006A7CA0">
        <w:rPr>
          <w:iCs/>
        </w:rPr>
        <w:t xml:space="preserve">nd competition from Sustainable Farming Incentive (SFI) options. Oilseed output in the UK is set to drop to 0.8 million tonnes, down from 2.4 million tonnes twelve years ago, while pulse crops currently make up only 5% of the UK cropped area. </w:t>
      </w:r>
    </w:p>
    <w:p w:rsidR="009154AD" w:rsidRPr="006A7CA0" w:rsidP="006A7CA0">
      <w:pPr>
        <w:jc w:val="both"/>
        <w:rPr>
          <w:iCs/>
        </w:rPr>
      </w:pPr>
    </w:p>
    <w:p w:rsidR="009154AD" w:rsidP="006A7CA0">
      <w:pPr>
        <w:jc w:val="both"/>
        <w:rPr>
          <w:iCs/>
        </w:rPr>
      </w:pPr>
      <w:r w:rsidRPr="006A7CA0">
        <w:rPr>
          <w:iCs/>
        </w:rPr>
        <w:t xml:space="preserve">Although an SPS agreement will help positively address parts of the Land Use Framework, Food Strategy and Farming Roadmap, it </w:t>
      </w:r>
      <w:r>
        <w:rPr>
          <w:iCs/>
        </w:rPr>
        <w:t>should</w:t>
      </w:r>
      <w:r w:rsidRPr="006A7CA0">
        <w:rPr>
          <w:iCs/>
        </w:rPr>
        <w:t xml:space="preserve"> be </w:t>
      </w:r>
      <w:r>
        <w:rPr>
          <w:iCs/>
        </w:rPr>
        <w:t>considered</w:t>
      </w:r>
      <w:r w:rsidRPr="006A7CA0">
        <w:rPr>
          <w:iCs/>
        </w:rPr>
        <w:t xml:space="preserve"> one measure of many needed for sustainable, productive and profitable agriculture. </w:t>
      </w:r>
      <w:r>
        <w:rPr>
          <w:iCs/>
        </w:rPr>
        <w:t xml:space="preserve">In its first year, Government has provided positive sentiments towards the sector’s </w:t>
      </w:r>
      <w:r>
        <w:rPr>
          <w:iCs/>
        </w:rPr>
        <w:t>profitability, sustainability and resilience. It no</w:t>
      </w:r>
      <w:r w:rsidRPr="006A7CA0">
        <w:rPr>
          <w:iCs/>
        </w:rPr>
        <w:t>w</w:t>
      </w:r>
      <w:r>
        <w:rPr>
          <w:iCs/>
        </w:rPr>
        <w:t xml:space="preserve"> needs to work with industry</w:t>
      </w:r>
      <w:r w:rsidRPr="006A7CA0">
        <w:rPr>
          <w:iCs/>
        </w:rPr>
        <w:t xml:space="preserve"> to convert </w:t>
      </w:r>
      <w:r>
        <w:rPr>
          <w:iCs/>
        </w:rPr>
        <w:t xml:space="preserve">this </w:t>
      </w:r>
      <w:r w:rsidRPr="006A7CA0">
        <w:rPr>
          <w:iCs/>
        </w:rPr>
        <w:t>rhetoric</w:t>
      </w:r>
      <w:r>
        <w:rPr>
          <w:iCs/>
        </w:rPr>
        <w:t xml:space="preserve"> into</w:t>
      </w:r>
      <w:r>
        <w:rPr>
          <w:iCs/>
        </w:rPr>
        <w:t xml:space="preserve"> </w:t>
      </w:r>
      <w:r>
        <w:rPr>
          <w:iCs/>
        </w:rPr>
        <w:t>c</w:t>
      </w:r>
      <w:r w:rsidRPr="006A7CA0">
        <w:rPr>
          <w:iCs/>
        </w:rPr>
        <w:t xml:space="preserve">lear, tangible actions </w:t>
      </w:r>
      <w:r>
        <w:rPr>
          <w:iCs/>
        </w:rPr>
        <w:t>to businesses throughout the agricultural supply chain.</w:t>
      </w:r>
    </w:p>
    <w:p w:rsidR="009154AD" w:rsidP="006A7CA0">
      <w:pPr>
        <w:jc w:val="both"/>
        <w:rPr>
          <w:iCs/>
        </w:rPr>
      </w:pPr>
    </w:p>
    <w:p w:rsidR="009154AD" w:rsidRPr="009154AD" w:rsidP="006A7CA0">
      <w:pPr>
        <w:jc w:val="both"/>
        <w:rPr>
          <w:i/>
        </w:rPr>
      </w:pPr>
      <w:r w:rsidRPr="009154AD">
        <w:rPr>
          <w:i/>
        </w:rPr>
        <w:t>September 2025</w:t>
      </w:r>
    </w:p>
    <w:sectPr w:rsidSect="0040168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340C4C"/>
    <w:multiLevelType w:val="hybridMultilevel"/>
    <w:tmpl w:val="D61C717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BED393D"/>
    <w:multiLevelType w:val="hybridMultilevel"/>
    <w:tmpl w:val="0C78A2BE"/>
    <w:lvl w:ilvl="0">
      <w:start w:val="1"/>
      <w:numFmt w:val="bullet"/>
      <w:lvlText w:val=""/>
      <w:lvlJc w:val="left"/>
      <w:pPr>
        <w:ind w:left="720" w:hanging="360"/>
      </w:pPr>
      <w:rPr>
        <w:rFonts w:ascii="Symbol" w:hAnsi="Symbol" w:hint="default"/>
        <w:color w:val="721883"/>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C8F6AF4"/>
    <w:multiLevelType w:val="hybridMultilevel"/>
    <w:tmpl w:val="CB46B034"/>
    <w:lvl w:ilvl="0">
      <w:start w:val="1"/>
      <w:numFmt w:val="bullet"/>
      <w:lvlText w:val=""/>
      <w:lvlJc w:val="left"/>
      <w:pPr>
        <w:ind w:left="1440" w:hanging="360"/>
      </w:pPr>
      <w:rPr>
        <w:rFonts w:ascii="Symbol" w:hAnsi="Symbol" w:hint="default"/>
        <w:color w:val="69207E" w:themeColor="text1"/>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0EE93D61"/>
    <w:multiLevelType w:val="hybridMultilevel"/>
    <w:tmpl w:val="FCE2F7F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F927AD0"/>
    <w:multiLevelType w:val="hybridMultilevel"/>
    <w:tmpl w:val="08A024D0"/>
    <w:lvl w:ilvl="0">
      <w:start w:val="1"/>
      <w:numFmt w:val="bullet"/>
      <w:lvlText w:val=""/>
      <w:lvlJc w:val="left"/>
      <w:pPr>
        <w:ind w:left="720" w:hanging="360"/>
      </w:pPr>
      <w:rPr>
        <w:rFonts w:ascii="Symbol" w:hAnsi="Symbol" w:hint="default"/>
        <w:color w:val="721883"/>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1035E7D"/>
    <w:multiLevelType w:val="hybridMultilevel"/>
    <w:tmpl w:val="6A362888"/>
    <w:lvl w:ilvl="0">
      <w:start w:val="7"/>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13E32743"/>
    <w:multiLevelType w:val="hybridMultilevel"/>
    <w:tmpl w:val="39D4C6EC"/>
    <w:lvl w:ilvl="0">
      <w:start w:val="7"/>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84A0561"/>
    <w:multiLevelType w:val="hybridMultilevel"/>
    <w:tmpl w:val="F2486E50"/>
    <w:lvl w:ilvl="0">
      <w:start w:val="1"/>
      <w:numFmt w:val="bullet"/>
      <w:lvlText w:val=""/>
      <w:lvlJc w:val="left"/>
      <w:pPr>
        <w:ind w:left="720" w:hanging="360"/>
      </w:pPr>
      <w:rPr>
        <w:rFonts w:ascii="Symbol" w:hAnsi="Symbol" w:hint="default"/>
        <w:color w:val="721883"/>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24272165"/>
    <w:multiLevelType w:val="hybridMultilevel"/>
    <w:tmpl w:val="9BDA684E"/>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50547032"/>
    <w:multiLevelType w:val="hybridMultilevel"/>
    <w:tmpl w:val="D8E6A0F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1A27271"/>
    <w:multiLevelType w:val="hybridMultilevel"/>
    <w:tmpl w:val="C2221B98"/>
    <w:lvl w:ilvl="0">
      <w:start w:val="1"/>
      <w:numFmt w:val="decimal"/>
      <w:lvlText w:val="%1."/>
      <w:lvlJc w:val="left"/>
      <w:pPr>
        <w:ind w:left="720" w:hanging="360"/>
      </w:pPr>
      <w:rPr>
        <w:rFonts w:hint="default"/>
        <w:color w:val="721883"/>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52F7C1D"/>
    <w:multiLevelType w:val="hybridMultilevel"/>
    <w:tmpl w:val="05422138"/>
    <w:lvl w:ilvl="0">
      <w:start w:val="7"/>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7E72426A"/>
    <w:multiLevelType w:val="hybridMultilevel"/>
    <w:tmpl w:val="4560BEC4"/>
    <w:lvl w:ilvl="0">
      <w:start w:val="7"/>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8"/>
  </w:num>
  <w:num w:numId="4">
    <w:abstractNumId w:val="2"/>
  </w:num>
  <w:num w:numId="5">
    <w:abstractNumId w:val="2"/>
  </w:num>
  <w:num w:numId="6">
    <w:abstractNumId w:val="1"/>
  </w:num>
  <w:num w:numId="7">
    <w:abstractNumId w:val="10"/>
  </w:num>
  <w:num w:numId="8">
    <w:abstractNumId w:val="9"/>
  </w:num>
  <w:num w:numId="9">
    <w:abstractNumId w:val="12"/>
  </w:num>
  <w:num w:numId="10">
    <w:abstractNumId w:val="6"/>
  </w:num>
  <w:num w:numId="11">
    <w:abstractNumId w:val="3"/>
  </w:num>
  <w:num w:numId="12">
    <w:abstractNumId w:val="0"/>
  </w:num>
  <w:num w:numId="13">
    <w:abstractNumId w:val="11"/>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E350A"/>
    <w:pPr>
      <w:spacing w:after="0" w:line="360" w:lineRule="auto"/>
    </w:pPr>
    <w:rPr>
      <w:rFonts w:ascii="Calibri" w:eastAsia="Calibri" w:hAnsi="Calibri" w:cs="Calibri"/>
      <w:lang w:val="en-GB" w:eastAsia="en-GB"/>
    </w:rPr>
  </w:style>
  <w:style w:type="paragraph" w:styleId="Heading1">
    <w:name w:val="heading 1"/>
    <w:basedOn w:val="Normal"/>
    <w:next w:val="Normal"/>
    <w:link w:val="Heading1Char"/>
    <w:uiPriority w:val="9"/>
    <w:qFormat/>
    <w:rsid w:val="001B3A0E"/>
    <w:pPr>
      <w:keepNext/>
      <w:keepLines/>
      <w:spacing w:before="240" w:after="240" w:line="240" w:lineRule="auto"/>
      <w:outlineLvl w:val="0"/>
    </w:pPr>
    <w:rPr>
      <w:rFonts w:asciiTheme="minorHAnsi" w:eastAsiaTheme="majorEastAsia" w:hAnsiTheme="minorHAnsi" w:cstheme="majorBidi"/>
      <w:b/>
      <w:color w:val="69207E" w:themeColor="text1"/>
      <w:sz w:val="40"/>
      <w:szCs w:val="32"/>
    </w:rPr>
  </w:style>
  <w:style w:type="paragraph" w:styleId="Heading2">
    <w:name w:val="heading 2"/>
    <w:basedOn w:val="Normal"/>
    <w:next w:val="Normal"/>
    <w:link w:val="Heading2Char"/>
    <w:uiPriority w:val="9"/>
    <w:unhideWhenUsed/>
    <w:qFormat/>
    <w:rsid w:val="001B3A0E"/>
    <w:pPr>
      <w:keepNext/>
      <w:keepLines/>
      <w:spacing w:before="40"/>
      <w:outlineLvl w:val="1"/>
    </w:pPr>
    <w:rPr>
      <w:rFonts w:asciiTheme="minorHAnsi" w:eastAsiaTheme="majorEastAsia" w:hAnsiTheme="minorHAnsi" w:cstheme="majorBidi"/>
      <w:b/>
      <w:color w:val="69207E" w:themeColor="text2"/>
      <w:sz w:val="32"/>
      <w:szCs w:val="26"/>
    </w:rPr>
  </w:style>
  <w:style w:type="paragraph" w:styleId="Heading3">
    <w:name w:val="heading 3"/>
    <w:basedOn w:val="Normal"/>
    <w:next w:val="Normal"/>
    <w:link w:val="Heading3Char"/>
    <w:uiPriority w:val="9"/>
    <w:unhideWhenUsed/>
    <w:qFormat/>
    <w:rsid w:val="00CA00A7"/>
    <w:pPr>
      <w:keepNext/>
      <w:keepLines/>
      <w:spacing w:before="40"/>
      <w:outlineLvl w:val="2"/>
    </w:pPr>
    <w:rPr>
      <w:rFonts w:asciiTheme="minorHAnsi" w:eastAsiaTheme="majorEastAsia" w:hAnsiTheme="minorHAnsi" w:cstheme="majorBidi"/>
      <w:b/>
      <w:color w:val="69207E" w:themeColor="text2"/>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ullwoodPackoSubject">
    <w:name w:val="Fullwood Packo Subject"/>
    <w:basedOn w:val="DefaultParagraphFont"/>
    <w:uiPriority w:val="1"/>
    <w:rsid w:val="00667046"/>
    <w:rPr>
      <w:rFonts w:ascii="Arial" w:hAnsi="Arial"/>
      <w:b/>
      <w:color w:val="0069AA"/>
      <w:sz w:val="22"/>
    </w:rPr>
  </w:style>
  <w:style w:type="character" w:customStyle="1" w:styleId="FullwoodPackoBody">
    <w:name w:val="Fullwood Packo Body"/>
    <w:basedOn w:val="DefaultParagraphFont"/>
    <w:uiPriority w:val="1"/>
    <w:rsid w:val="00667046"/>
    <w:rPr>
      <w:rFonts w:ascii="Arial" w:hAnsi="Arial"/>
      <w:color w:val="auto"/>
      <w:sz w:val="22"/>
    </w:rPr>
  </w:style>
  <w:style w:type="character" w:customStyle="1" w:styleId="FullwoodPackoAddress">
    <w:name w:val="Fullwood Packo Address"/>
    <w:basedOn w:val="FullwoodPackoBody"/>
    <w:uiPriority w:val="1"/>
    <w:rsid w:val="00667046"/>
    <w:rPr>
      <w:rFonts w:ascii="Arial" w:hAnsi="Arial"/>
      <w:color w:val="auto"/>
      <w:sz w:val="20"/>
    </w:rPr>
  </w:style>
  <w:style w:type="table" w:customStyle="1" w:styleId="Fullwood">
    <w:name w:val="Fullwood"/>
    <w:basedOn w:val="TableNormal"/>
    <w:uiPriority w:val="99"/>
    <w:rsid w:val="0054702B"/>
    <w:pPr>
      <w:spacing w:after="0" w:line="240" w:lineRule="auto"/>
      <w:jc w:val="center"/>
    </w:pPr>
    <w:rPr>
      <w:rFonts w:ascii="Arial" w:hAnsi="Arial"/>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0D0E7"/>
      <w:vAlign w:val="center"/>
    </w:tcPr>
  </w:style>
  <w:style w:type="paragraph" w:styleId="Header">
    <w:name w:val="header"/>
    <w:basedOn w:val="Normal"/>
    <w:link w:val="HeaderChar"/>
    <w:uiPriority w:val="99"/>
    <w:unhideWhenUsed/>
    <w:rsid w:val="00AB1816"/>
    <w:pPr>
      <w:tabs>
        <w:tab w:val="center" w:pos="4680"/>
        <w:tab w:val="right" w:pos="9360"/>
      </w:tabs>
      <w:spacing w:line="240" w:lineRule="auto"/>
    </w:pPr>
  </w:style>
  <w:style w:type="character" w:customStyle="1" w:styleId="HeaderChar">
    <w:name w:val="Header Char"/>
    <w:basedOn w:val="DefaultParagraphFont"/>
    <w:link w:val="Header"/>
    <w:uiPriority w:val="99"/>
    <w:rsid w:val="00AB1816"/>
  </w:style>
  <w:style w:type="paragraph" w:styleId="Footer">
    <w:name w:val="footer"/>
    <w:basedOn w:val="Normal"/>
    <w:link w:val="FooterChar"/>
    <w:uiPriority w:val="99"/>
    <w:unhideWhenUsed/>
    <w:rsid w:val="00AB1816"/>
    <w:pPr>
      <w:tabs>
        <w:tab w:val="center" w:pos="4680"/>
        <w:tab w:val="right" w:pos="9360"/>
      </w:tabs>
      <w:spacing w:line="240" w:lineRule="auto"/>
    </w:pPr>
  </w:style>
  <w:style w:type="character" w:customStyle="1" w:styleId="FooterChar">
    <w:name w:val="Footer Char"/>
    <w:basedOn w:val="DefaultParagraphFont"/>
    <w:link w:val="Footer"/>
    <w:uiPriority w:val="99"/>
    <w:rsid w:val="00AB1816"/>
  </w:style>
  <w:style w:type="table" w:styleId="TableGrid">
    <w:name w:val="Table Grid"/>
    <w:basedOn w:val="TableNormal"/>
    <w:uiPriority w:val="39"/>
    <w:rsid w:val="003E350A"/>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B3A0E"/>
    <w:rPr>
      <w:rFonts w:eastAsiaTheme="majorEastAsia" w:cstheme="majorBidi"/>
      <w:b/>
      <w:color w:val="69207E" w:themeColor="text1"/>
      <w:sz w:val="40"/>
      <w:szCs w:val="32"/>
      <w:lang w:val="en-GB" w:eastAsia="en-GB"/>
    </w:rPr>
  </w:style>
  <w:style w:type="character" w:customStyle="1" w:styleId="Heading2Char">
    <w:name w:val="Heading 2 Char"/>
    <w:basedOn w:val="DefaultParagraphFont"/>
    <w:link w:val="Heading2"/>
    <w:uiPriority w:val="9"/>
    <w:rsid w:val="001B3A0E"/>
    <w:rPr>
      <w:rFonts w:eastAsiaTheme="majorEastAsia" w:cstheme="majorBidi"/>
      <w:b/>
      <w:color w:val="69207E" w:themeColor="text2"/>
      <w:sz w:val="32"/>
      <w:szCs w:val="26"/>
      <w:lang w:val="en-GB" w:eastAsia="en-GB"/>
    </w:rPr>
  </w:style>
  <w:style w:type="character" w:customStyle="1" w:styleId="Heading3Char">
    <w:name w:val="Heading 3 Char"/>
    <w:basedOn w:val="DefaultParagraphFont"/>
    <w:link w:val="Heading3"/>
    <w:uiPriority w:val="9"/>
    <w:rsid w:val="00CA00A7"/>
    <w:rPr>
      <w:rFonts w:eastAsiaTheme="majorEastAsia" w:cstheme="majorBidi"/>
      <w:b/>
      <w:color w:val="69207E" w:themeColor="text2"/>
      <w:sz w:val="24"/>
      <w:szCs w:val="24"/>
      <w:lang w:val="en-GB" w:eastAsia="en-GB"/>
    </w:rPr>
  </w:style>
  <w:style w:type="table" w:customStyle="1" w:styleId="TableGridLight1">
    <w:name w:val="Table Grid Light1"/>
    <w:basedOn w:val="TableNormal"/>
    <w:uiPriority w:val="40"/>
    <w:rsid w:val="00CB0D8A"/>
    <w:pPr>
      <w:spacing w:after="0" w:line="240" w:lineRule="auto"/>
    </w:pPr>
    <w:rPr>
      <w:sz w:val="24"/>
      <w:szCs w:val="24"/>
      <w:lang w:val="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uiPriority w:val="34"/>
    <w:qFormat/>
    <w:rsid w:val="00D340E1"/>
    <w:pPr>
      <w:ind w:left="720"/>
      <w:contextualSpacing/>
    </w:pPr>
  </w:style>
  <w:style w:type="table" w:customStyle="1" w:styleId="AICTable">
    <w:name w:val="AIC Table"/>
    <w:basedOn w:val="TableNormal"/>
    <w:uiPriority w:val="99"/>
    <w:rsid w:val="00D340E1"/>
    <w:pPr>
      <w:spacing w:after="0" w:line="240" w:lineRule="auto"/>
    </w:pPr>
    <w:tblPr>
      <w:tblBorders>
        <w:top w:val="single" w:sz="4" w:space="0" w:color="D1D3D4" w:themeColor="background2"/>
        <w:left w:val="single" w:sz="4" w:space="0" w:color="D1D3D4" w:themeColor="background2"/>
        <w:bottom w:val="single" w:sz="4" w:space="0" w:color="D1D3D4" w:themeColor="background2"/>
        <w:right w:val="single" w:sz="4" w:space="0" w:color="D1D3D4" w:themeColor="background2"/>
        <w:insideH w:val="single" w:sz="4" w:space="0" w:color="D1D3D4" w:themeColor="background2"/>
        <w:insideV w:val="single" w:sz="4" w:space="0" w:color="D1D3D4" w:themeColor="background2"/>
      </w:tblBorders>
    </w:tblPr>
    <w:tblStylePr w:type="firstRow">
      <w:rPr>
        <w:rFonts w:asciiTheme="minorHAnsi" w:hAnsiTheme="minorHAnsi"/>
        <w:b/>
        <w:color w:val="69207E" w:themeColor="text2"/>
        <w:sz w:val="22"/>
      </w:rPr>
    </w:tblStylePr>
    <w:tblStylePr w:type="firstCol">
      <w:rPr>
        <w:rFonts w:asciiTheme="minorHAnsi" w:hAnsiTheme="minorHAnsi"/>
        <w:b/>
        <w:color w:val="69207E" w:themeColor="text2"/>
        <w:sz w:val="22"/>
      </w:rPr>
    </w:tblStylePr>
  </w:style>
  <w:style w:type="character" w:styleId="PageNumber">
    <w:name w:val="page number"/>
    <w:basedOn w:val="DefaultParagraphFont"/>
    <w:uiPriority w:val="99"/>
    <w:semiHidden/>
    <w:unhideWhenUsed/>
    <w:rsid w:val="00AC35CD"/>
  </w:style>
  <w:style w:type="paragraph" w:styleId="Title">
    <w:name w:val="Title"/>
    <w:basedOn w:val="Normal"/>
    <w:next w:val="Normal"/>
    <w:link w:val="TitleChar"/>
    <w:uiPriority w:val="10"/>
    <w:qFormat/>
    <w:rsid w:val="00840F28"/>
    <w:pPr>
      <w:spacing w:after="240" w:line="240" w:lineRule="auto"/>
      <w:contextualSpacing/>
    </w:pPr>
    <w:rPr>
      <w:rFonts w:eastAsiaTheme="majorEastAsia" w:cstheme="majorBidi"/>
      <w:b/>
      <w:color w:val="69207E" w:themeColor="text2"/>
      <w:spacing w:val="-10"/>
      <w:kern w:val="28"/>
      <w:sz w:val="44"/>
      <w:szCs w:val="56"/>
    </w:rPr>
  </w:style>
  <w:style w:type="character" w:customStyle="1" w:styleId="TitleChar">
    <w:name w:val="Title Char"/>
    <w:basedOn w:val="DefaultParagraphFont"/>
    <w:link w:val="Title"/>
    <w:uiPriority w:val="10"/>
    <w:rsid w:val="00840F28"/>
    <w:rPr>
      <w:rFonts w:ascii="Calibri" w:hAnsi="Calibri" w:eastAsiaTheme="majorEastAsia" w:cstheme="majorBidi"/>
      <w:b/>
      <w:color w:val="69207E" w:themeColor="text2"/>
      <w:spacing w:val="-10"/>
      <w:kern w:val="28"/>
      <w:sz w:val="44"/>
      <w:szCs w:val="56"/>
      <w:lang w:val="en-GB" w:eastAsia="en-GB"/>
    </w:rPr>
  </w:style>
  <w:style w:type="paragraph" w:styleId="CommentText">
    <w:name w:val="annotation text"/>
    <w:basedOn w:val="Normal"/>
    <w:link w:val="CommentTextChar"/>
    <w:uiPriority w:val="99"/>
    <w:unhideWhenUsed/>
    <w:rsid w:val="00F1315C"/>
    <w:pPr>
      <w:spacing w:line="240" w:lineRule="auto"/>
    </w:pPr>
    <w:rPr>
      <w:sz w:val="20"/>
      <w:szCs w:val="20"/>
    </w:rPr>
  </w:style>
  <w:style w:type="character" w:customStyle="1" w:styleId="CommentTextChar">
    <w:name w:val="Comment Text Char"/>
    <w:basedOn w:val="DefaultParagraphFont"/>
    <w:link w:val="CommentText"/>
    <w:uiPriority w:val="99"/>
    <w:rsid w:val="00F1315C"/>
    <w:rPr>
      <w:rFonts w:ascii="Calibri" w:eastAsia="Calibri" w:hAnsi="Calibri" w:cs="Calibri"/>
      <w:sz w:val="20"/>
      <w:szCs w:val="20"/>
      <w:lang w:val="en-GB" w:eastAsia="en-GB"/>
    </w:rPr>
  </w:style>
  <w:style w:type="character" w:styleId="Hyperlink">
    <w:name w:val="Hyperlink"/>
    <w:basedOn w:val="DefaultParagraphFont"/>
    <w:uiPriority w:val="99"/>
    <w:unhideWhenUsed/>
    <w:rsid w:val="002F232B"/>
    <w:rPr>
      <w:color w:val="0F5273" w:themeColor="hyperlink"/>
      <w:u w:val="single"/>
    </w:rPr>
  </w:style>
  <w:style w:type="character" w:customStyle="1" w:styleId="UnresolvedMention1">
    <w:name w:val="Unresolved Mention1"/>
    <w:basedOn w:val="DefaultParagraphFont"/>
    <w:uiPriority w:val="99"/>
    <w:semiHidden/>
    <w:unhideWhenUsed/>
    <w:rsid w:val="00185D3E"/>
    <w:rPr>
      <w:color w:val="605E5C"/>
      <w:shd w:val="clear" w:color="auto" w:fill="E1DFDD"/>
    </w:rPr>
  </w:style>
  <w:style w:type="paragraph" w:styleId="Revision">
    <w:name w:val="Revision"/>
    <w:hidden/>
    <w:uiPriority w:val="99"/>
    <w:semiHidden/>
    <w:rsid w:val="00F415E0"/>
    <w:pPr>
      <w:spacing w:after="0" w:line="240" w:lineRule="auto"/>
    </w:pPr>
    <w:rPr>
      <w:rFonts w:ascii="Calibri" w:eastAsia="Calibri" w:hAnsi="Calibri" w:cs="Calibri"/>
      <w:lang w:val="en-GB" w:eastAsia="en-GB"/>
    </w:rPr>
  </w:style>
  <w:style w:type="paragraph" w:styleId="NoSpacing">
    <w:name w:val="No Spacing"/>
    <w:uiPriority w:val="1"/>
    <w:qFormat/>
    <w:rsid w:val="00E5482B"/>
    <w:pPr>
      <w:spacing w:after="0" w:line="240" w:lineRule="auto"/>
    </w:pPr>
    <w:rPr>
      <w:rFonts w:ascii="Calibri" w:eastAsia="Calibri" w:hAnsi="Calibri" w:cs="Calibri"/>
      <w:lang w:val="en-GB" w:eastAsia="en-GB"/>
    </w:rPr>
  </w:style>
  <w:style w:type="character" w:styleId="CommentReference">
    <w:name w:val="annotation reference"/>
    <w:basedOn w:val="DefaultParagraphFont"/>
    <w:uiPriority w:val="99"/>
    <w:semiHidden/>
    <w:unhideWhenUsed/>
    <w:rsid w:val="006A7CA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theme" Target="theme/theme1.xml" /><Relationship Id="rId9" Type="http://schemas.openxmlformats.org/officeDocument/2006/relationships/numbering" Target="numbering.xml" /></Relationships>
</file>

<file path=word/theme/theme1.xml><?xml version="1.0" encoding="utf-8"?>
<a:theme xmlns:a="http://schemas.openxmlformats.org/drawingml/2006/main" name="Office Theme">
  <a:themeElements>
    <a:clrScheme name="AIC">
      <a:dk1>
        <a:srgbClr val="69207E"/>
      </a:dk1>
      <a:lt1>
        <a:srgbClr val="FFFFFF"/>
      </a:lt1>
      <a:dk2>
        <a:srgbClr val="69207E"/>
      </a:dk2>
      <a:lt2>
        <a:srgbClr val="D1D3D4"/>
      </a:lt2>
      <a:accent1>
        <a:srgbClr val="8FC36D"/>
      </a:accent1>
      <a:accent2>
        <a:srgbClr val="AD9560"/>
      </a:accent2>
      <a:accent3>
        <a:srgbClr val="2C989E"/>
      </a:accent3>
      <a:accent4>
        <a:srgbClr val="FFC000"/>
      </a:accent4>
      <a:accent5>
        <a:srgbClr val="5B9BD5"/>
      </a:accent5>
      <a:accent6>
        <a:srgbClr val="70AD47"/>
      </a:accent6>
      <a:hlink>
        <a:srgbClr val="0F5273"/>
      </a:hlink>
      <a:folHlink>
        <a:srgbClr val="8D1B2E"/>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428A07830B67D4BBC304218D30975EC" ma:contentTypeVersion="4" ma:contentTypeDescription="Create a new document." ma:contentTypeScope="" ma:versionID="d1b522b46b38af5d7ada8b306a9bf62c">
  <xsd:schema xmlns:xsd="http://www.w3.org/2001/XMLSchema" xmlns:xs="http://www.w3.org/2001/XMLSchema" xmlns:p="http://schemas.microsoft.com/office/2006/metadata/properties" xmlns:ns2="59254df4-0045-493f-b709-0add23e61faf" targetNamespace="http://schemas.microsoft.com/office/2006/metadata/properties" ma:root="true" ma:fieldsID="03faa5e44a33830feb10e428463bcad2" ns2:_="">
    <xsd:import namespace="59254df4-0045-493f-b709-0add23e61f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254df4-0045-493f-b709-0add23e61fa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A3ED48-38F2-4871-A50A-9428726FA273}">
  <ds:schemaRefs>
    <ds:schemaRef ds:uri="http://schemas.microsoft.com/sharepoint/v3/contenttype/forms"/>
  </ds:schemaRefs>
</ds:datastoreItem>
</file>

<file path=customXml/itemProps2.xml><?xml version="1.0" encoding="utf-8"?>
<ds:datastoreItem xmlns:ds="http://schemas.openxmlformats.org/officeDocument/2006/customXml" ds:itemID="{E0DFF056-6EAE-4EEF-AE2D-F69FBF9209B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BDF48CA-8CD8-437D-992E-403EBB284AE5}">
  <ds:schemaRefs>
    <ds:schemaRef ds:uri="http://schemas.openxmlformats.org/officeDocument/2006/bibliography"/>
  </ds:schemaRefs>
</ds:datastoreItem>
</file>

<file path=customXml/itemProps4.xml><?xml version="1.0" encoding="utf-8"?>
<ds:datastoreItem xmlns:ds="http://schemas.openxmlformats.org/officeDocument/2006/customXml" ds:itemID="{C18C9FFC-D6C2-4A60-BE5A-7E872D88A8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254df4-0045-493f-b709-0add23e61f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