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677A3" w:rsidRPr="00D677A3" w:rsidP="00D677A3">
      <w:pPr>
        <w:spacing w:after="0" w:line="276" w:lineRule="auto"/>
        <w:jc w:val="center"/>
        <w:rPr>
          <w:rFonts w:ascii="Calibri" w:eastAsia="Calibri" w:hAnsi="Calibri" w:cs="Calibri"/>
          <w:b/>
          <w:sz w:val="26"/>
          <w:szCs w:val="26"/>
        </w:rPr>
      </w:pPr>
      <w:r w:rsidRPr="00EC45A5">
        <w:rPr>
          <w:rFonts w:ascii="Calibri" w:eastAsia="Calibri" w:hAnsi="Calibri" w:cs="Calibri"/>
          <w:b/>
          <w:sz w:val="26"/>
          <w:szCs w:val="26"/>
        </w:rPr>
        <w:t xml:space="preserve">Written evidence submitted by </w:t>
      </w:r>
      <w:r w:rsidRPr="00D677A3">
        <w:rPr>
          <w:rFonts w:ascii="Calibri" w:eastAsia="Calibri" w:hAnsi="Calibri" w:cs="Calibri"/>
          <w:b/>
          <w:bCs/>
          <w:sz w:val="26"/>
          <w:szCs w:val="26"/>
        </w:rPr>
        <w:t>Centre for Ageing Better</w:t>
      </w:r>
      <w:r w:rsidRPr="00D677A3">
        <w:rPr>
          <w:rFonts w:ascii="Calibri" w:eastAsia="Calibri" w:hAnsi="Calibri" w:cs="Calibri"/>
          <w:b/>
          <w:sz w:val="26"/>
          <w:szCs w:val="26"/>
        </w:rPr>
        <w:t xml:space="preserve"> </w:t>
      </w:r>
      <w:r w:rsidRPr="00EC45A5">
        <w:rPr>
          <w:rFonts w:ascii="Calibri" w:eastAsia="Calibri" w:hAnsi="Calibri" w:cs="Calibri"/>
          <w:b/>
          <w:sz w:val="26"/>
          <w:szCs w:val="26"/>
        </w:rPr>
        <w:t>[HCE 03</w:t>
      </w:r>
      <w:r>
        <w:rPr>
          <w:rFonts w:ascii="Calibri" w:eastAsia="Calibri" w:hAnsi="Calibri" w:cs="Calibri"/>
          <w:b/>
          <w:sz w:val="26"/>
          <w:szCs w:val="26"/>
        </w:rPr>
        <w:t>1</w:t>
      </w:r>
      <w:r w:rsidRPr="00EC45A5">
        <w:rPr>
          <w:rFonts w:ascii="Calibri" w:eastAsia="Calibri" w:hAnsi="Calibri" w:cs="Calibri"/>
          <w:b/>
          <w:sz w:val="26"/>
          <w:szCs w:val="26"/>
        </w:rPr>
        <w:t>]</w:t>
      </w:r>
    </w:p>
    <w:p w:rsidR="00D677A3" w:rsidP="00BB7787">
      <w:pPr>
        <w:pStyle w:val="Heading1"/>
      </w:pPr>
      <w:r w:rsidRPr="00D06CD1">
        <w:t>H</w:t>
      </w:r>
      <w:r w:rsidRPr="00D06CD1">
        <w:t>ousing Conditions in England</w:t>
      </w:r>
      <w:r>
        <w:t xml:space="preserve"> | HCLG</w:t>
      </w:r>
      <w:r>
        <w:t xml:space="preserve"> </w:t>
      </w:r>
      <w:r>
        <w:t>inquiry</w:t>
      </w:r>
      <w:r>
        <w:br/>
      </w:r>
      <w:r>
        <w:t>Written evidence from the Centre for Ageing Better</w:t>
      </w:r>
    </w:p>
    <w:p w:rsidR="00D677A3" w:rsidRPr="00BB7787" w:rsidP="00BB7787"/>
    <w:p w:rsidR="00D677A3" w:rsidP="00DC4446">
      <w:pPr>
        <w:pStyle w:val="Heading2"/>
      </w:pPr>
      <w:r>
        <w:t>About the Centre for Ageing Better</w:t>
      </w:r>
    </w:p>
    <w:p w:rsidR="00D677A3" w:rsidP="00DC4446">
      <w:pPr>
        <w:pStyle w:val="ListParagraph"/>
        <w:numPr>
          <w:ilvl w:val="0"/>
          <w:numId w:val="21"/>
        </w:numPr>
      </w:pPr>
      <w:r>
        <w:t>The Centre for Ageing Better</w:t>
      </w:r>
      <w:r>
        <w:t xml:space="preserve"> </w:t>
      </w:r>
      <w:r>
        <w:t xml:space="preserve">works on evidence and policy solutions to tackle inequalities in ageing. We are working to </w:t>
      </w:r>
      <w:r>
        <w:t>make</w:t>
      </w:r>
      <w:r>
        <w:t xml:space="preserve"> our homes, </w:t>
      </w:r>
      <w:r w:rsidRPr="00E14F56">
        <w:t>workplaces</w:t>
      </w:r>
      <w:r>
        <w:t xml:space="preserve"> </w:t>
      </w:r>
      <w:r w:rsidRPr="00E14F56">
        <w:t>and communities inclusive of older people, as well as building an Age-friendly Movement so that society sees ageing in a more positive and realistic way. </w:t>
      </w:r>
      <w:r>
        <w:t>We are a charitable foundation that is part of the government’s What Works Network.</w:t>
      </w:r>
    </w:p>
    <w:p w:rsidR="00D677A3" w:rsidP="00DC4446">
      <w:pPr>
        <w:pStyle w:val="ListParagraph"/>
      </w:pPr>
    </w:p>
    <w:p w:rsidR="00D677A3" w:rsidP="00DC4446">
      <w:pPr>
        <w:pStyle w:val="ListParagraph"/>
        <w:numPr>
          <w:ilvl w:val="0"/>
          <w:numId w:val="21"/>
        </w:numPr>
      </w:pPr>
      <w:r w:rsidRPr="001B6A0E">
        <w:t>Our research has identified and focused on the critical part the standards of housing play as a foundation for a decent life. Living in a home that is safe and supports good health means a longer, healthier and more fulfilling life.</w:t>
      </w:r>
    </w:p>
    <w:p w:rsidR="00D677A3" w:rsidP="00DC4446">
      <w:pPr>
        <w:pStyle w:val="ListParagraph"/>
      </w:pPr>
    </w:p>
    <w:p w:rsidR="00D677A3" w:rsidRPr="00C53E57" w:rsidP="00DC4446">
      <w:pPr>
        <w:pStyle w:val="ListParagraph"/>
        <w:numPr>
          <w:ilvl w:val="0"/>
          <w:numId w:val="21"/>
        </w:numPr>
      </w:pPr>
      <w:r>
        <w:t xml:space="preserve">In this submission, we draw on recent research and evidence to present an overview of </w:t>
      </w:r>
      <w:r>
        <w:t>housing conditions in England. We look at the prevalence of non-decent homes as well as hazards such as damp, cold and fall risks.</w:t>
      </w:r>
    </w:p>
    <w:p w:rsidR="00D677A3" w:rsidRPr="00D06CD1" w:rsidP="00DC4446">
      <w:pPr>
        <w:pStyle w:val="Heading2"/>
      </w:pPr>
      <w:r w:rsidRPr="00D06CD1">
        <w:t>Overarching</w:t>
      </w:r>
    </w:p>
    <w:p w:rsidR="00D677A3" w:rsidP="00DC4446">
      <w:pPr>
        <w:pStyle w:val="ListParagraph"/>
        <w:numPr>
          <w:ilvl w:val="0"/>
          <w:numId w:val="21"/>
        </w:numPr>
      </w:pPr>
      <w:r>
        <w:t>Most people want to live in their own homes, in the communities they belong to, for as long as possible. But far too many older people are currently living in homes that are endangering their lives.</w:t>
      </w:r>
    </w:p>
    <w:p w:rsidR="00D677A3" w:rsidP="00DC4446">
      <w:pPr>
        <w:pStyle w:val="ListParagraph"/>
      </w:pPr>
    </w:p>
    <w:p w:rsidR="00D677A3" w:rsidP="00DC4446">
      <w:pPr>
        <w:pStyle w:val="ListParagraph"/>
        <w:numPr>
          <w:ilvl w:val="0"/>
          <w:numId w:val="21"/>
        </w:numPr>
      </w:pPr>
      <w:r>
        <w:t xml:space="preserve">The Centre for Ageing Better’s 2025 State of Ageing report reveals that 3.5 million homes in England </w:t>
      </w:r>
      <w:r>
        <w:t xml:space="preserve">are classified as non-decent. That represents </w:t>
      </w:r>
      <w:r>
        <w:t>about 14% of the total housing stock</w:t>
      </w:r>
      <w:r>
        <w:t xml:space="preserve"> and means 7.5 million people of all ages are living in a non-decent home in England</w:t>
      </w:r>
      <w:r>
        <w:t xml:space="preserve"> – this figure includes 2.3 million people aged 55 and over as well as 1.5 million children.</w:t>
      </w:r>
      <w:r>
        <w:rPr>
          <w:rStyle w:val="EndnoteReference"/>
        </w:rPr>
        <w:endnoteReference w:id="2"/>
      </w:r>
    </w:p>
    <w:p w:rsidR="00D677A3" w:rsidP="00DC4446">
      <w:pPr>
        <w:pStyle w:val="ListParagraph"/>
      </w:pPr>
    </w:p>
    <w:p w:rsidR="00D677A3" w:rsidP="00DC4446">
      <w:pPr>
        <w:pStyle w:val="ListParagraph"/>
        <w:numPr>
          <w:ilvl w:val="0"/>
          <w:numId w:val="21"/>
        </w:numPr>
      </w:pPr>
      <w:r>
        <w:t>The condition of homes varies significantly by region. In London, only 10% of owner-occupied homes headed by someone aged 55+ are non-decent whereas in the East Midlands, this figure rises to 21%.</w:t>
      </w:r>
      <w:r>
        <w:rPr>
          <w:rStyle w:val="EndnoteReference"/>
        </w:rPr>
        <w:endnoteReference w:id="3"/>
      </w:r>
    </w:p>
    <w:p w:rsidR="00D677A3" w:rsidP="00DC4446">
      <w:pPr>
        <w:pStyle w:val="ListParagraph"/>
      </w:pPr>
    </w:p>
    <w:p w:rsidR="00D677A3" w:rsidP="00DB340B">
      <w:pPr>
        <w:pStyle w:val="ListParagraph"/>
        <w:numPr>
          <w:ilvl w:val="0"/>
          <w:numId w:val="21"/>
        </w:numPr>
      </w:pPr>
      <w:r>
        <w:t>Income plays a major role</w:t>
      </w:r>
      <w:r>
        <w:t>,</w:t>
      </w:r>
      <w:r>
        <w:t xml:space="preserve"> with older owner-occupiers in the poorest 20% of income distribution twice as likely to live in non-decent homes as those in the richest 20%.</w:t>
      </w:r>
      <w:r>
        <w:rPr>
          <w:rStyle w:val="EndnoteReference"/>
        </w:rPr>
        <w:endnoteReference w:id="4"/>
      </w:r>
    </w:p>
    <w:p w:rsidR="00D677A3" w:rsidP="00DB340B">
      <w:pPr>
        <w:pStyle w:val="ListParagraph"/>
      </w:pPr>
    </w:p>
    <w:p w:rsidR="00D677A3" w:rsidP="00DB340B">
      <w:pPr>
        <w:pStyle w:val="ListParagraph"/>
        <w:numPr>
          <w:ilvl w:val="0"/>
          <w:numId w:val="21"/>
        </w:numPr>
      </w:pPr>
      <w:r>
        <w:t>Hazards such as damp, mould and condensation are widespread</w:t>
      </w:r>
      <w:r>
        <w:rPr>
          <w:rStyle w:val="EndnoteReference"/>
        </w:rPr>
        <w:endnoteReference w:id="5"/>
      </w:r>
      <w:r>
        <w:t>:</w:t>
      </w:r>
    </w:p>
    <w:p w:rsidR="00D677A3" w:rsidP="00DA6A29">
      <w:pPr>
        <w:pStyle w:val="ListParagraph"/>
        <w:numPr>
          <w:ilvl w:val="1"/>
          <w:numId w:val="21"/>
        </w:numPr>
      </w:pPr>
      <w:r>
        <w:t>6 million homes in England, a quarter of all homes, report issues with condensation, damp or mould.</w:t>
      </w:r>
    </w:p>
    <w:p w:rsidR="00D677A3" w:rsidP="00DB340B">
      <w:pPr>
        <w:pStyle w:val="ListParagraph"/>
        <w:numPr>
          <w:ilvl w:val="1"/>
          <w:numId w:val="21"/>
        </w:numPr>
      </w:pPr>
      <w:r>
        <w:t>Concerningly, among households headed by someone aged 55-64 with a long-term illness or disability, almost a third of homes experience these issues.</w:t>
      </w:r>
    </w:p>
    <w:p w:rsidR="00D677A3" w:rsidP="00DB340B">
      <w:pPr>
        <w:pStyle w:val="ListParagraph"/>
        <w:ind w:left="1440"/>
      </w:pPr>
    </w:p>
    <w:p w:rsidR="00D677A3" w:rsidP="00DB340B">
      <w:pPr>
        <w:pStyle w:val="ListParagraph"/>
        <w:numPr>
          <w:ilvl w:val="0"/>
          <w:numId w:val="21"/>
        </w:numPr>
      </w:pPr>
      <w:r>
        <w:t xml:space="preserve">After decades of failure to invest in our existing housing stock, </w:t>
      </w:r>
      <w:r>
        <w:t>the UK now has amongst the leakiest and draughtiest homes in Europe</w:t>
      </w:r>
      <w:r>
        <w:t>:</w:t>
      </w:r>
    </w:p>
    <w:p w:rsidR="00D677A3" w:rsidP="00DB340B">
      <w:pPr>
        <w:pStyle w:val="ListParagraph"/>
        <w:numPr>
          <w:ilvl w:val="1"/>
          <w:numId w:val="21"/>
        </w:numPr>
      </w:pPr>
      <w:r>
        <w:t>The UK has the oldest housing stock in Europe, with 38% of its homes dating from before 1946</w:t>
      </w:r>
      <w:r>
        <w:t>.</w:t>
      </w:r>
      <w:r>
        <w:rPr>
          <w:rStyle w:val="EndnoteReference"/>
        </w:rPr>
        <w:endnoteReference w:id="6"/>
      </w:r>
    </w:p>
    <w:p w:rsidR="00D677A3" w:rsidP="00DB340B">
      <w:pPr>
        <w:pStyle w:val="ListParagraph"/>
        <w:numPr>
          <w:ilvl w:val="1"/>
          <w:numId w:val="21"/>
        </w:numPr>
      </w:pPr>
      <w:r>
        <w:t>There are 6 million households in fuel poverty in the UK</w:t>
      </w:r>
      <w:r>
        <w:t>.</w:t>
      </w:r>
      <w:r>
        <w:rPr>
          <w:rStyle w:val="EndnoteReference"/>
        </w:rPr>
        <w:endnoteReference w:id="7"/>
      </w:r>
    </w:p>
    <w:p w:rsidR="00D677A3" w:rsidP="00DB340B">
      <w:pPr>
        <w:pStyle w:val="ListParagraph"/>
        <w:numPr>
          <w:ilvl w:val="1"/>
          <w:numId w:val="21"/>
        </w:numPr>
      </w:pPr>
      <w:r w:rsidRPr="004C02C2">
        <w:t>UK homes lose heat up to three times as fast as comparable Western European neighbours such as Germany</w:t>
      </w:r>
      <w:r>
        <w:t>.</w:t>
      </w:r>
      <w:r>
        <w:rPr>
          <w:rStyle w:val="EndnoteReference"/>
        </w:rPr>
        <w:endnoteReference w:id="8"/>
      </w:r>
    </w:p>
    <w:p w:rsidR="00D677A3" w:rsidP="00DB340B">
      <w:pPr>
        <w:pStyle w:val="ListParagraph"/>
        <w:numPr>
          <w:ilvl w:val="1"/>
          <w:numId w:val="21"/>
        </w:numPr>
      </w:pPr>
      <w:r w:rsidRPr="008E6702">
        <w:t>The average energy efficiency of UK homes has steadily improved over time, but the rate of improvement has slowed since 2014</w:t>
      </w:r>
      <w:r>
        <w:t>.</w:t>
      </w:r>
      <w:r>
        <w:rPr>
          <w:rStyle w:val="EndnoteReference"/>
        </w:rPr>
        <w:endnoteReference w:id="9"/>
      </w:r>
    </w:p>
    <w:p w:rsidR="00D677A3" w:rsidP="00DB340B">
      <w:pPr>
        <w:pStyle w:val="ListParagraph"/>
        <w:numPr>
          <w:ilvl w:val="1"/>
          <w:numId w:val="21"/>
        </w:numPr>
      </w:pPr>
      <w:r>
        <w:t>Over the past decade, £2.3bn in private sector home improvement grants has been removed by the government, leading to hundreds of thousands of fewer homes being repaired</w:t>
      </w:r>
      <w:r>
        <w:t>.</w:t>
      </w:r>
      <w:r>
        <w:rPr>
          <w:rStyle w:val="EndnoteReference"/>
        </w:rPr>
        <w:endnoteReference w:id="10"/>
      </w:r>
    </w:p>
    <w:p w:rsidR="00D677A3" w:rsidP="00595948">
      <w:pPr>
        <w:pStyle w:val="ListParagraph"/>
        <w:ind w:left="1440"/>
      </w:pPr>
    </w:p>
    <w:p w:rsidR="00D677A3" w:rsidP="00DB340B">
      <w:pPr>
        <w:pStyle w:val="Heading3"/>
      </w:pPr>
      <w:r>
        <w:t>Health consequences</w:t>
      </w:r>
    </w:p>
    <w:p w:rsidR="00D677A3" w:rsidP="00DC4446">
      <w:pPr>
        <w:pStyle w:val="ListParagraph"/>
        <w:numPr>
          <w:ilvl w:val="0"/>
          <w:numId w:val="21"/>
        </w:numPr>
      </w:pPr>
      <w:r>
        <w:t>Homes that are too cold</w:t>
      </w:r>
      <w:r>
        <w:t xml:space="preserve"> or hot </w:t>
      </w:r>
      <w:r>
        <w:t>can lead to serious illness and health consequences.</w:t>
      </w:r>
    </w:p>
    <w:p w:rsidR="00D677A3" w:rsidP="00DB340B">
      <w:pPr>
        <w:pStyle w:val="ListParagraph"/>
      </w:pPr>
    </w:p>
    <w:p w:rsidR="00D677A3" w:rsidP="00DC4446">
      <w:pPr>
        <w:pStyle w:val="ListParagraph"/>
        <w:numPr>
          <w:ilvl w:val="0"/>
          <w:numId w:val="21"/>
        </w:numPr>
      </w:pPr>
      <w:r>
        <w:t xml:space="preserve">For many, living in a dangerous home will be life-limiting – and for some, it will </w:t>
      </w:r>
      <w:r>
        <w:t>even kill them.</w:t>
      </w:r>
      <w:r>
        <w:t xml:space="preserve"> Non-decent homes restrict people’s life chances and hurt our nation’s health. They also harm the economy, limit productivity, and needlessly cost the NHS and social care billions each year.</w:t>
      </w:r>
    </w:p>
    <w:p w:rsidR="00D677A3" w:rsidP="00DB340B">
      <w:pPr>
        <w:pStyle w:val="ListParagraph"/>
      </w:pPr>
    </w:p>
    <w:p w:rsidR="00D677A3" w:rsidP="00DC4446">
      <w:pPr>
        <w:pStyle w:val="ListParagraph"/>
        <w:numPr>
          <w:ilvl w:val="0"/>
          <w:numId w:val="21"/>
        </w:numPr>
      </w:pPr>
      <w:r>
        <w:t xml:space="preserve">Older people and children are most vulnerable to the health consequences of living in a damp, cold, </w:t>
      </w:r>
      <w:r>
        <w:t>hazardous home</w:t>
      </w:r>
      <w:r>
        <w:t>,</w:t>
      </w:r>
      <w:r>
        <w:t xml:space="preserve"> with</w:t>
      </w:r>
      <w:r>
        <w:t xml:space="preserve"> </w:t>
      </w:r>
      <w:r>
        <w:t>millions experienc</w:t>
      </w:r>
      <w:r>
        <w:t>ing</w:t>
      </w:r>
      <w:r>
        <w:t xml:space="preserve"> respiratory conditions such as asthma, heart conditions</w:t>
      </w:r>
      <w:r>
        <w:t>,</w:t>
      </w:r>
      <w:r>
        <w:t xml:space="preserve"> and falls in the home that have life-changing consequences.</w:t>
      </w:r>
      <w:r>
        <w:t xml:space="preserve"> </w:t>
      </w:r>
      <w:r w:rsidRPr="002C418D">
        <w:t>4.5 million people aged 50 and over in England today have a health condition</w:t>
      </w:r>
      <w:r>
        <w:t xml:space="preserve"> </w:t>
      </w:r>
      <w:r w:rsidRPr="002C418D">
        <w:t>that is put at risk by their living conditions. The highest proportion of older people with these health and housing problems are living in the rented sector</w:t>
      </w:r>
      <w:r>
        <w:t>;</w:t>
      </w:r>
      <w:r w:rsidRPr="002C418D">
        <w:t xml:space="preserve"> however, the largest number – 2.2 million – own their home.</w:t>
      </w:r>
      <w:r>
        <w:rPr>
          <w:rStyle w:val="EndnoteReference"/>
        </w:rPr>
        <w:endnoteReference w:id="11"/>
      </w:r>
    </w:p>
    <w:p w:rsidR="00D677A3" w:rsidP="006B5A50">
      <w:pPr>
        <w:pStyle w:val="Heading3"/>
      </w:pPr>
      <w:r>
        <w:t>Government attention</w:t>
      </w:r>
    </w:p>
    <w:p w:rsidR="00D677A3" w:rsidP="006B5A50">
      <w:pPr>
        <w:pStyle w:val="ListParagraph"/>
        <w:numPr>
          <w:ilvl w:val="0"/>
          <w:numId w:val="21"/>
        </w:numPr>
      </w:pPr>
      <w:r>
        <w:t xml:space="preserve">With more than 80% of the homes that will exist in 2050 having already been built, </w:t>
      </w:r>
      <w:r>
        <w:t xml:space="preserve">it is vital that government pays close attention to the state of existing homes to ensure they are </w:t>
      </w:r>
      <w:r>
        <w:t>not damaging people’s health.</w:t>
      </w:r>
      <w:r>
        <w:t xml:space="preserve"> E</w:t>
      </w:r>
      <w:r>
        <w:t xml:space="preserve">veryone </w:t>
      </w:r>
      <w:r>
        <w:t>stands to benefit from investment in our housing stock through healthier and longer lives, reduced burden on health and social care services, and more jobs and skills in the economy.</w:t>
      </w:r>
    </w:p>
    <w:p w:rsidR="00D677A3" w:rsidP="00DB340B">
      <w:pPr>
        <w:pStyle w:val="ListParagraph"/>
      </w:pPr>
    </w:p>
    <w:p w:rsidR="00D677A3" w:rsidP="006B5A50">
      <w:pPr>
        <w:pStyle w:val="ListParagraph"/>
        <w:numPr>
          <w:ilvl w:val="0"/>
          <w:numId w:val="21"/>
        </w:numPr>
      </w:pPr>
      <w:r>
        <w:t>Collectively, the proposed changes to the Decent Homes Standard, its extension to the private rented sector, Awaab’s Law, the Renters’ Rights Bill, and the Warm Homes Plan have the potential to make a significant difference to housing conditions in England. However, Government must look at ensuring that there are a specific set of interventions for older homeowners on low incomes.</w:t>
      </w:r>
    </w:p>
    <w:p w:rsidR="00D677A3" w:rsidP="00DB340B">
      <w:pPr>
        <w:pStyle w:val="ListParagraph"/>
      </w:pPr>
    </w:p>
    <w:p w:rsidR="00D677A3" w:rsidP="00DC4446">
      <w:pPr>
        <w:pStyle w:val="ListParagraph"/>
        <w:numPr>
          <w:ilvl w:val="0"/>
          <w:numId w:val="21"/>
        </w:numPr>
      </w:pPr>
      <w:r>
        <w:t>That so many millions of people continue to live in non-decent homes</w:t>
      </w:r>
      <w:r>
        <w:t xml:space="preserve"> in England should concern us all and </w:t>
      </w:r>
      <w:r>
        <w:t>should compel Government to take action.</w:t>
      </w:r>
    </w:p>
    <w:p w:rsidR="00D677A3" w:rsidP="00DB340B">
      <w:pPr>
        <w:pStyle w:val="Heading3"/>
      </w:pPr>
      <w:r>
        <w:t>Recommendations</w:t>
      </w:r>
    </w:p>
    <w:p w:rsidR="00D677A3" w:rsidP="00DB340B">
      <w:pPr>
        <w:pStyle w:val="ListParagraph"/>
        <w:numPr>
          <w:ilvl w:val="0"/>
          <w:numId w:val="21"/>
        </w:numPr>
      </w:pPr>
      <w:r>
        <w:t>T</w:t>
      </w:r>
      <w:r>
        <w:t xml:space="preserve">hrough </w:t>
      </w:r>
      <w:r>
        <w:t xml:space="preserve">the </w:t>
      </w:r>
      <w:r>
        <w:t>upcoming cross-cutting housing strategy, the</w:t>
      </w:r>
      <w:r>
        <w:t xml:space="preserve"> Government</w:t>
      </w:r>
      <w:r>
        <w:t xml:space="preserve"> </w:t>
      </w:r>
      <w:r>
        <w:t>should commit to</w:t>
      </w:r>
      <w:r>
        <w:t xml:space="preserve"> </w:t>
      </w:r>
      <w:r>
        <w:t xml:space="preserve">tackling </w:t>
      </w:r>
      <w:r>
        <w:t xml:space="preserve">poor-quality </w:t>
      </w:r>
      <w:r>
        <w:t xml:space="preserve">existing </w:t>
      </w:r>
      <w:r>
        <w:t>housing stock</w:t>
      </w:r>
      <w:r>
        <w:t>.</w:t>
      </w:r>
      <w:r>
        <w:t xml:space="preserve"> </w:t>
      </w:r>
      <w:r>
        <w:t>The strategy should</w:t>
      </w:r>
      <w:r>
        <w:t>:</w:t>
      </w:r>
    </w:p>
    <w:p w:rsidR="00D677A3" w:rsidP="00D532B0">
      <w:pPr>
        <w:pStyle w:val="ListParagraph"/>
        <w:numPr>
          <w:ilvl w:val="0"/>
          <w:numId w:val="13"/>
        </w:numPr>
      </w:pPr>
      <w:r>
        <w:t>be underpinned by a clear recognition of the link between housing and health</w:t>
      </w:r>
      <w:r>
        <w:t>,</w:t>
      </w:r>
      <w:r>
        <w:t xml:space="preserve"> </w:t>
      </w:r>
    </w:p>
    <w:p w:rsidR="00D677A3" w:rsidP="00D532B0">
      <w:pPr>
        <w:pStyle w:val="ListParagraph"/>
        <w:numPr>
          <w:ilvl w:val="0"/>
          <w:numId w:val="13"/>
        </w:numPr>
      </w:pPr>
      <w:r>
        <w:t>aim to address inequalities in housing standards,</w:t>
      </w:r>
      <w:r>
        <w:t xml:space="preserve"> and </w:t>
      </w:r>
    </w:p>
    <w:p w:rsidR="00D677A3" w:rsidP="00595948">
      <w:pPr>
        <w:pStyle w:val="ListParagraph"/>
        <w:numPr>
          <w:ilvl w:val="0"/>
          <w:numId w:val="13"/>
        </w:numPr>
      </w:pPr>
      <w:r>
        <w:t xml:space="preserve">recognise the changing needs of our rapidly ageing population to ensure </w:t>
      </w:r>
      <w:r>
        <w:t xml:space="preserve">older </w:t>
      </w:r>
      <w:r>
        <w:t xml:space="preserve">people </w:t>
      </w:r>
      <w:r>
        <w:t>can live safely</w:t>
      </w:r>
      <w:r>
        <w:t xml:space="preserve"> and independently </w:t>
      </w:r>
      <w:r>
        <w:t>in their own homes for as long as possible.</w:t>
      </w:r>
    </w:p>
    <w:p w:rsidR="00D677A3" w:rsidP="00595948">
      <w:pPr>
        <w:pStyle w:val="ListParagraph"/>
        <w:ind w:left="1440"/>
      </w:pPr>
    </w:p>
    <w:p w:rsidR="00D677A3" w:rsidRPr="00A0717B" w:rsidP="00DC4446">
      <w:pPr>
        <w:pStyle w:val="ListParagraph"/>
        <w:numPr>
          <w:ilvl w:val="0"/>
          <w:numId w:val="21"/>
        </w:numPr>
      </w:pPr>
      <w:r w:rsidRPr="00A0717B">
        <w:t>The strategy must</w:t>
      </w:r>
      <w:r>
        <w:t xml:space="preserve"> also</w:t>
      </w:r>
      <w:r w:rsidRPr="00A0717B">
        <w:t xml:space="preserve"> be backed by sufficient, long-term funding and include a mechanism for delivery at a local level, such as the Good Home Hub model which we are piloting in partnership with Lincolnshire County Council. We believe the Government should create a national network of ‘Good Home Hubs’ and this network would help the roll-out of important initiatives such as the Warm Homes Plan. </w:t>
      </w:r>
    </w:p>
    <w:p w:rsidR="00D677A3" w:rsidP="00EC7D50"/>
    <w:p w:rsidR="00D677A3" w:rsidRPr="00D06CD1" w:rsidP="00233BB1">
      <w:pPr>
        <w:pStyle w:val="Heading2"/>
      </w:pPr>
      <w:r w:rsidRPr="00D06CD1">
        <w:t>Social housing sector</w:t>
      </w:r>
    </w:p>
    <w:p w:rsidR="00D677A3" w:rsidP="00DC4446">
      <w:pPr>
        <w:pStyle w:val="ListParagraph"/>
        <w:numPr>
          <w:ilvl w:val="0"/>
          <w:numId w:val="21"/>
        </w:numPr>
      </w:pPr>
      <w:r>
        <w:t xml:space="preserve">Since the introduction of a Decent Homes Standard in the 2000s, the proportion of homes in the social housing sector that are classified as non-decent has </w:t>
      </w:r>
      <w:r>
        <w:t xml:space="preserve">fallen </w:t>
      </w:r>
      <w:r>
        <w:t>over time. The number of non-decent homes in the social rented sector is now 62% lower than 2006</w:t>
      </w:r>
      <w:r>
        <w:rPr>
          <w:rStyle w:val="EndnoteReference"/>
        </w:rPr>
        <w:endnoteReference w:id="12"/>
      </w:r>
      <w:r>
        <w:t xml:space="preserve"> – when the last update to the Decent Homes Standard took place</w:t>
      </w:r>
      <w:r>
        <w:t>.</w:t>
      </w:r>
      <w:r>
        <w:t xml:space="preserve"> However, </w:t>
      </w:r>
      <w:r>
        <w:t xml:space="preserve">10% of homes in the social housing sector </w:t>
      </w:r>
      <w:r>
        <w:t xml:space="preserve">still </w:t>
      </w:r>
      <w:r>
        <w:t>fail to meet the Decent Homes Standard</w:t>
      </w:r>
      <w:r>
        <w:t>.</w:t>
      </w:r>
      <w:r>
        <w:rPr>
          <w:rStyle w:val="EndnoteReference"/>
        </w:rPr>
        <w:endnoteReference w:id="13"/>
      </w:r>
    </w:p>
    <w:p w:rsidR="00D677A3" w:rsidP="00233BB1">
      <w:pPr>
        <w:pStyle w:val="ListParagraph"/>
      </w:pPr>
    </w:p>
    <w:p w:rsidR="00D677A3" w:rsidP="00233BB1">
      <w:pPr>
        <w:pStyle w:val="ListParagraph"/>
        <w:numPr>
          <w:ilvl w:val="0"/>
          <w:numId w:val="21"/>
        </w:numPr>
      </w:pPr>
      <w:r>
        <w:t>Our 2025 State of Ageing looked at the number of social rented homes that are non-decent by age of household head</w:t>
      </w:r>
      <w:r>
        <w:rPr>
          <w:rStyle w:val="EndnoteReference"/>
        </w:rPr>
        <w:endnoteReference w:id="14"/>
      </w:r>
      <w:r>
        <w:t>:</w:t>
      </w:r>
    </w:p>
    <w:p w:rsidR="00D677A3" w:rsidP="00233BB1">
      <w:pPr>
        <w:pStyle w:val="ListParagraph"/>
        <w:numPr>
          <w:ilvl w:val="1"/>
          <w:numId w:val="21"/>
        </w:numPr>
      </w:pPr>
      <w:r>
        <w:t xml:space="preserve">Household head aged 54 and below: </w:t>
      </w:r>
      <w:r>
        <w:t xml:space="preserve">204,000 </w:t>
      </w:r>
      <w:r>
        <w:t xml:space="preserve">non-decent </w:t>
      </w:r>
      <w:r>
        <w:t>social rented homes</w:t>
      </w:r>
    </w:p>
    <w:p w:rsidR="00D677A3" w:rsidP="00233BB1">
      <w:pPr>
        <w:pStyle w:val="ListParagraph"/>
        <w:numPr>
          <w:ilvl w:val="1"/>
          <w:numId w:val="21"/>
        </w:numPr>
      </w:pPr>
      <w:r>
        <w:t xml:space="preserve">Household head aged 55-64: </w:t>
      </w:r>
      <w:r>
        <w:t xml:space="preserve">92,000 </w:t>
      </w:r>
      <w:r>
        <w:t>non-decent social rented homes</w:t>
      </w:r>
    </w:p>
    <w:p w:rsidR="00D677A3" w:rsidP="00233BB1">
      <w:pPr>
        <w:pStyle w:val="ListParagraph"/>
        <w:numPr>
          <w:ilvl w:val="1"/>
          <w:numId w:val="21"/>
        </w:numPr>
      </w:pPr>
      <w:r>
        <w:t xml:space="preserve">Household head aged 65-74: </w:t>
      </w:r>
      <w:r>
        <w:t xml:space="preserve">51,000 </w:t>
      </w:r>
      <w:r>
        <w:t xml:space="preserve">non-decent </w:t>
      </w:r>
      <w:r>
        <w:t>social rented homes</w:t>
      </w:r>
    </w:p>
    <w:p w:rsidR="00D677A3" w:rsidP="00233BB1">
      <w:pPr>
        <w:pStyle w:val="ListParagraph"/>
        <w:numPr>
          <w:ilvl w:val="1"/>
          <w:numId w:val="21"/>
        </w:numPr>
      </w:pPr>
      <w:r>
        <w:t xml:space="preserve">Household head aged 75 and over: </w:t>
      </w:r>
      <w:r>
        <w:t xml:space="preserve">69,000 </w:t>
      </w:r>
      <w:r>
        <w:t>non-decent social rented homes.</w:t>
      </w:r>
    </w:p>
    <w:p w:rsidR="00D677A3" w:rsidP="00233BB1">
      <w:pPr>
        <w:pStyle w:val="ListParagraph"/>
      </w:pPr>
    </w:p>
    <w:p w:rsidR="00D677A3" w:rsidP="00DC4446">
      <w:pPr>
        <w:pStyle w:val="ListParagraph"/>
        <w:numPr>
          <w:ilvl w:val="0"/>
          <w:numId w:val="21"/>
        </w:numPr>
      </w:pPr>
      <w:r>
        <w:t xml:space="preserve">The fall in non-decent homes in the social housing sector </w:t>
      </w:r>
      <w:r>
        <w:t xml:space="preserve">represents a significant success of the </w:t>
      </w:r>
      <w:r>
        <w:t xml:space="preserve">introduction of the </w:t>
      </w:r>
      <w:r>
        <w:t>Decent Homes Standard</w:t>
      </w:r>
      <w:r>
        <w:t>, with social landlords responsible for ensuring that their properties meet the minimum criteria.</w:t>
      </w:r>
    </w:p>
    <w:p w:rsidR="00D677A3" w:rsidP="00233BB1">
      <w:pPr>
        <w:pStyle w:val="ListParagraph"/>
      </w:pPr>
    </w:p>
    <w:p w:rsidR="00D677A3" w:rsidP="00DC4446">
      <w:pPr>
        <w:pStyle w:val="ListParagraph"/>
        <w:numPr>
          <w:ilvl w:val="0"/>
          <w:numId w:val="21"/>
        </w:numPr>
      </w:pPr>
      <w:r>
        <w:t xml:space="preserve">Considering the positive impact that the introduction of the Decent Homes Standard had on the quality of housing in the social rented sector, </w:t>
      </w:r>
      <w:r>
        <w:t xml:space="preserve">we believe that the proposed changes to the Decent Homes Standard will </w:t>
      </w:r>
      <w:r>
        <w:t xml:space="preserve">strengthen this further. Critically, the </w:t>
      </w:r>
      <w:r>
        <w:t>proposal to</w:t>
      </w:r>
      <w:r>
        <w:t xml:space="preserve"> reflect </w:t>
      </w:r>
      <w:r>
        <w:t xml:space="preserve">the true </w:t>
      </w:r>
      <w:r>
        <w:t xml:space="preserve">condition of </w:t>
      </w:r>
      <w:r>
        <w:t xml:space="preserve">a </w:t>
      </w:r>
      <w:r>
        <w:t xml:space="preserve">home’s key components </w:t>
      </w:r>
      <w:r>
        <w:t>rather than just their age ha</w:t>
      </w:r>
      <w:r>
        <w:t>s</w:t>
      </w:r>
      <w:r>
        <w:t xml:space="preserve"> the potential to </w:t>
      </w:r>
      <w:r>
        <w:t>make the Decent Homes Standard even</w:t>
      </w:r>
      <w:r>
        <w:t xml:space="preserve"> </w:t>
      </w:r>
      <w:r>
        <w:t>more</w:t>
      </w:r>
      <w:r>
        <w:t xml:space="preserve"> impactful.</w:t>
      </w:r>
    </w:p>
    <w:p w:rsidR="00D677A3" w:rsidP="00233BB1">
      <w:pPr>
        <w:pStyle w:val="ListParagraph"/>
      </w:pPr>
    </w:p>
    <w:p w:rsidR="00D677A3" w:rsidP="00DC4446">
      <w:pPr>
        <w:pStyle w:val="ListParagraph"/>
        <w:numPr>
          <w:ilvl w:val="0"/>
          <w:numId w:val="21"/>
        </w:numPr>
      </w:pPr>
      <w:r>
        <w:t>Furthermore, the requirements under Awaab’s Law</w:t>
      </w:r>
      <w:r>
        <w:t xml:space="preserve"> that are being phased in</w:t>
      </w:r>
      <w:r>
        <w:t xml:space="preserve"> will </w:t>
      </w:r>
      <w:r>
        <w:t>also improve conditions in the sector and compel landlords to act quickly as</w:t>
      </w:r>
      <w:r>
        <w:t xml:space="preserve"> </w:t>
      </w:r>
      <w:r>
        <w:t>issues arise.</w:t>
      </w:r>
      <w:r>
        <w:t xml:space="preserve"> We particularly welcome the expanded range of hazards that Awaab’s Law will apply to such as cold and heat, falls, and hygiene hazards. These are key issues for older people and </w:t>
      </w:r>
      <w:r>
        <w:t xml:space="preserve">people living with a disability or an </w:t>
      </w:r>
      <w:r>
        <w:t xml:space="preserve">existing </w:t>
      </w:r>
      <w:r>
        <w:t>medical conditions.</w:t>
      </w:r>
    </w:p>
    <w:p w:rsidR="00D677A3" w:rsidP="00233BB1">
      <w:pPr>
        <w:pStyle w:val="ListParagraph"/>
      </w:pPr>
    </w:p>
    <w:p w:rsidR="00D677A3" w:rsidP="00DC4446">
      <w:pPr>
        <w:pStyle w:val="ListParagraph"/>
        <w:numPr>
          <w:ilvl w:val="0"/>
          <w:numId w:val="21"/>
        </w:numPr>
      </w:pPr>
      <w:r>
        <w:t xml:space="preserve">In addition to these new regulations, we would like to see the Government establish a network of Good Home Hubs to support tenants and landlords </w:t>
      </w:r>
      <w:r>
        <w:t xml:space="preserve">of all tenure types to </w:t>
      </w:r>
      <w:r>
        <w:t xml:space="preserve">access </w:t>
      </w:r>
      <w:r>
        <w:t>trusted advice and support</w:t>
      </w:r>
      <w:r>
        <w:t xml:space="preserve"> and</w:t>
      </w:r>
      <w:r>
        <w:t xml:space="preserve"> provide </w:t>
      </w:r>
      <w:r>
        <w:t xml:space="preserve">greater </w:t>
      </w:r>
      <w:r>
        <w:t>confidence about the changes to make</w:t>
      </w:r>
      <w:r>
        <w:t xml:space="preserve"> to their homes</w:t>
      </w:r>
      <w:r>
        <w:t>.</w:t>
      </w:r>
    </w:p>
    <w:p w:rsidR="00D677A3" w:rsidRPr="00D06CD1" w:rsidP="00233BB1">
      <w:pPr>
        <w:pStyle w:val="Heading2"/>
        <w:ind w:left="360"/>
      </w:pPr>
      <w:r w:rsidRPr="00D06CD1">
        <w:t>Private rented sector</w:t>
      </w:r>
    </w:p>
    <w:p w:rsidR="00D677A3" w:rsidP="00DC4446">
      <w:pPr>
        <w:pStyle w:val="ListParagraph"/>
        <w:numPr>
          <w:ilvl w:val="0"/>
          <w:numId w:val="21"/>
        </w:numPr>
      </w:pPr>
      <w:r>
        <w:t>Our assessment</w:t>
      </w:r>
      <w:r>
        <w:t xml:space="preserve"> is that the Renters’ Rights Bill along with the extension of the Decent Homes Standard </w:t>
      </w:r>
      <w:r>
        <w:t xml:space="preserve">and Awaab’s Law </w:t>
      </w:r>
      <w:r>
        <w:t xml:space="preserve">will substantially improve conditions in </w:t>
      </w:r>
      <w:r>
        <w:t>the private rented sector</w:t>
      </w:r>
      <w:r>
        <w:t xml:space="preserve">. </w:t>
      </w:r>
      <w:r>
        <w:t xml:space="preserve">Together, these have the potential to transform housing conditions in the private rented sector in a way that is comparable to the </w:t>
      </w:r>
      <w:r>
        <w:t>major improvement of conditions in the social rented sector following the introduction of the Decent Homes Standard in the 2000s</w:t>
      </w:r>
      <w:r>
        <w:t>.</w:t>
      </w:r>
    </w:p>
    <w:p w:rsidR="00D677A3" w:rsidP="00233BB1">
      <w:pPr>
        <w:pStyle w:val="ListParagraph"/>
      </w:pPr>
    </w:p>
    <w:p w:rsidR="00D677A3" w:rsidP="00DC4446">
      <w:pPr>
        <w:pStyle w:val="ListParagraph"/>
        <w:numPr>
          <w:ilvl w:val="0"/>
          <w:numId w:val="21"/>
        </w:numPr>
      </w:pPr>
      <w:r>
        <w:t xml:space="preserve">The protections for tenants against </w:t>
      </w:r>
      <w:r>
        <w:t xml:space="preserve">Section 21 </w:t>
      </w:r>
      <w:r>
        <w:t>‘</w:t>
      </w:r>
      <w:r>
        <w:t>no</w:t>
      </w:r>
      <w:r>
        <w:t xml:space="preserve"> </w:t>
      </w:r>
      <w:r>
        <w:t xml:space="preserve">fault </w:t>
      </w:r>
      <w:r>
        <w:t>evictions’,</w:t>
      </w:r>
      <w:r>
        <w:t xml:space="preserve"> longer notice periods for evictions</w:t>
      </w:r>
      <w:r>
        <w:t>,</w:t>
      </w:r>
      <w:r>
        <w:t xml:space="preserve"> and restrictions on </w:t>
      </w:r>
      <w:r>
        <w:t xml:space="preserve">rent being paid in advance are particularly welcome. We would like there to be </w:t>
      </w:r>
      <w:r>
        <w:t xml:space="preserve">a prominent public </w:t>
      </w:r>
      <w:r>
        <w:t>awareness</w:t>
      </w:r>
      <w:r>
        <w:t xml:space="preserve"> campaign to ensure that both tenants and landlords understand the provisions of the Bill.</w:t>
      </w:r>
    </w:p>
    <w:p w:rsidR="00D677A3" w:rsidRPr="00233BB1" w:rsidP="00233BB1">
      <w:pPr>
        <w:pStyle w:val="ListParagraph"/>
        <w:rPr>
          <w:b/>
          <w:bCs/>
        </w:rPr>
      </w:pPr>
    </w:p>
    <w:p w:rsidR="00D677A3" w:rsidRPr="00DC4446" w:rsidP="00DC4446">
      <w:pPr>
        <w:pStyle w:val="ListParagraph"/>
        <w:numPr>
          <w:ilvl w:val="0"/>
          <w:numId w:val="21"/>
        </w:numPr>
        <w:rPr>
          <w:b/>
          <w:bCs/>
        </w:rPr>
      </w:pPr>
      <w:r>
        <w:t xml:space="preserve">We also welcome the creation of a private </w:t>
      </w:r>
      <w:r>
        <w:t>rented sector</w:t>
      </w:r>
      <w:r>
        <w:t xml:space="preserve"> database</w:t>
      </w:r>
      <w:r>
        <w:t xml:space="preserve"> </w:t>
      </w:r>
      <w:r>
        <w:t xml:space="preserve">that will help landlords and tenants </w:t>
      </w:r>
      <w:r>
        <w:t xml:space="preserve">understand their rights and obligations. </w:t>
      </w:r>
      <w:r w:rsidRPr="00724EDA">
        <w:rPr>
          <w:b/>
          <w:bCs/>
        </w:rPr>
        <w:t>However, w</w:t>
      </w:r>
      <w:r w:rsidRPr="5040F789">
        <w:rPr>
          <w:b/>
          <w:bCs/>
        </w:rPr>
        <w:t>e</w:t>
      </w:r>
      <w:r w:rsidRPr="00DC4446">
        <w:rPr>
          <w:b/>
          <w:bCs/>
        </w:rPr>
        <w:t xml:space="preserve"> would like the database to be more ambitious and useful to </w:t>
      </w:r>
      <w:r w:rsidRPr="00DC4446">
        <w:rPr>
          <w:b/>
          <w:bCs/>
        </w:rPr>
        <w:t>tenants and prospective tenants by providing information about the condition and accessibility of the property</w:t>
      </w:r>
      <w:r w:rsidRPr="00DC4446">
        <w:rPr>
          <w:b/>
          <w:bCs/>
        </w:rPr>
        <w:t xml:space="preserve"> and </w:t>
      </w:r>
      <w:r>
        <w:rPr>
          <w:b/>
          <w:bCs/>
        </w:rPr>
        <w:t>by</w:t>
      </w:r>
      <w:r w:rsidRPr="00DC4446">
        <w:rPr>
          <w:b/>
          <w:bCs/>
        </w:rPr>
        <w:t xml:space="preserve"> enabling </w:t>
      </w:r>
      <w:r w:rsidRPr="00DC4446">
        <w:rPr>
          <w:b/>
          <w:bCs/>
        </w:rPr>
        <w:t xml:space="preserve">verification of compliance </w:t>
      </w:r>
      <w:r w:rsidRPr="00DC4446">
        <w:rPr>
          <w:b/>
          <w:bCs/>
        </w:rPr>
        <w:t>and improvement works</w:t>
      </w:r>
      <w:r w:rsidRPr="00DC4446">
        <w:rPr>
          <w:b/>
          <w:bCs/>
        </w:rPr>
        <w:t>.</w:t>
      </w:r>
    </w:p>
    <w:p w:rsidR="00D677A3" w:rsidP="00233BB1">
      <w:pPr>
        <w:pStyle w:val="ListParagraph"/>
      </w:pPr>
    </w:p>
    <w:p w:rsidR="00D677A3" w:rsidP="00DC4446">
      <w:pPr>
        <w:pStyle w:val="ListParagraph"/>
        <w:numPr>
          <w:ilvl w:val="0"/>
          <w:numId w:val="21"/>
        </w:numPr>
      </w:pPr>
      <w:r>
        <w:t>Despite the significant promise of these measure</w:t>
      </w:r>
      <w:r>
        <w:t xml:space="preserve">s, their success will be determined by how effectively they are implemented. </w:t>
      </w:r>
      <w:r>
        <w:t xml:space="preserve">Some landlords may be reluctant </w:t>
      </w:r>
      <w:r>
        <w:t>or slow t</w:t>
      </w:r>
      <w:r>
        <w:t>o</w:t>
      </w:r>
      <w:r>
        <w:t xml:space="preserve"> improve the condition of their rented properties due to perception of cost or </w:t>
      </w:r>
      <w:r>
        <w:t xml:space="preserve">misunderstanding of the expectations. </w:t>
      </w:r>
      <w:r w:rsidRPr="00DC4446">
        <w:rPr>
          <w:b/>
          <w:bCs/>
        </w:rPr>
        <w:t>Good Home Hubs</w:t>
      </w:r>
      <w:r w:rsidRPr="00DC4446">
        <w:rPr>
          <w:b/>
          <w:bCs/>
        </w:rPr>
        <w:t xml:space="preserve"> </w:t>
      </w:r>
      <w:r w:rsidRPr="00DC4446">
        <w:rPr>
          <w:b/>
          <w:bCs/>
        </w:rPr>
        <w:t>can support landlords and tenants to understand the new requirements and help identify solutions to support home improvement work</w:t>
      </w:r>
      <w:r>
        <w:t>.</w:t>
      </w:r>
    </w:p>
    <w:p w:rsidR="00D677A3" w:rsidP="00233BB1">
      <w:pPr>
        <w:pStyle w:val="ListParagraph"/>
      </w:pPr>
    </w:p>
    <w:p w:rsidR="00D677A3" w:rsidP="00DC4446">
      <w:pPr>
        <w:pStyle w:val="ListParagraph"/>
        <w:numPr>
          <w:ilvl w:val="0"/>
          <w:numId w:val="21"/>
        </w:numPr>
      </w:pPr>
      <w:r>
        <w:t>Government must also ensure that local authorities have adequate funding and support to enforce the new regulations.</w:t>
      </w:r>
      <w:r>
        <w:t xml:space="preserve"> A more ambitious database might help democratise this process and create more transparency for all parties.</w:t>
      </w:r>
    </w:p>
    <w:p w:rsidR="00D677A3" w:rsidRPr="00D06CD1" w:rsidP="00233BB1">
      <w:pPr>
        <w:pStyle w:val="Heading2"/>
        <w:ind w:left="360"/>
      </w:pPr>
      <w:r w:rsidRPr="00D06CD1">
        <w:t>New-build homes</w:t>
      </w:r>
    </w:p>
    <w:p w:rsidR="00D677A3" w:rsidP="00DC4446">
      <w:pPr>
        <w:pStyle w:val="ListParagraph"/>
        <w:numPr>
          <w:ilvl w:val="0"/>
          <w:numId w:val="21"/>
        </w:numPr>
      </w:pPr>
      <w:r>
        <w:t>It is vital that new homes and neighbourhoods built today support residents to live healthy and fulfilling lives. Standards for new homes need to be simple, consistent and guarantee that all new homes are safe and healthy places for people to live.</w:t>
      </w:r>
      <w:r>
        <w:t xml:space="preserve"> </w:t>
      </w:r>
      <w:r>
        <w:t xml:space="preserve">Good </w:t>
      </w:r>
      <w:r>
        <w:t>quality homes mean longer, healthier and more fulfilling lives for everyone, as well as reduced burden on health and social care services.</w:t>
      </w:r>
    </w:p>
    <w:p w:rsidR="00D677A3" w:rsidP="00233BB1">
      <w:pPr>
        <w:pStyle w:val="ListParagraph"/>
      </w:pPr>
    </w:p>
    <w:p w:rsidR="00D677A3" w:rsidP="00DC4446">
      <w:pPr>
        <w:pStyle w:val="ListParagraph"/>
        <w:numPr>
          <w:ilvl w:val="0"/>
          <w:numId w:val="21"/>
        </w:numPr>
      </w:pPr>
      <w:r>
        <w:t xml:space="preserve">The Centre for Ageing Better </w:t>
      </w:r>
      <w:r>
        <w:t xml:space="preserve">supports </w:t>
      </w:r>
      <w:r>
        <w:t>the</w:t>
      </w:r>
      <w:r>
        <w:t xml:space="preserve"> </w:t>
      </w:r>
      <w:r>
        <w:t xml:space="preserve">Town and Country Planning Association’s (TCPA) </w:t>
      </w:r>
      <w:r>
        <w:t>Campaign for Healthy Homes, highlighting the need for new homes to be built to high standards. The TCPA’s 12 Healthy Homes Principles should be a benchmark for quality</w:t>
      </w:r>
      <w:r>
        <w:t>.</w:t>
      </w:r>
      <w:r>
        <w:rPr>
          <w:rStyle w:val="EndnoteReference"/>
        </w:rPr>
        <w:endnoteReference w:id="15"/>
      </w:r>
      <w:r>
        <w:t xml:space="preserve"> </w:t>
      </w:r>
    </w:p>
    <w:p w:rsidR="00D677A3" w:rsidP="00233BB1">
      <w:pPr>
        <w:pStyle w:val="ListParagraph"/>
      </w:pPr>
    </w:p>
    <w:p w:rsidR="00D677A3" w:rsidP="00DC4446">
      <w:pPr>
        <w:pStyle w:val="ListParagraph"/>
        <w:numPr>
          <w:ilvl w:val="0"/>
          <w:numId w:val="21"/>
        </w:numPr>
      </w:pPr>
      <w:r>
        <w:t>With an ageing population, it is essential that new homes are built to be accessible and adaptable.</w:t>
      </w:r>
      <w:r>
        <w:t xml:space="preserve"> By 20</w:t>
      </w:r>
      <w:r>
        <w:t>65</w:t>
      </w:r>
      <w:r>
        <w:t xml:space="preserve">, </w:t>
      </w:r>
      <w:r>
        <w:t xml:space="preserve">it </w:t>
      </w:r>
      <w:r w:rsidRPr="00992971">
        <w:t>is projected that 26% of the population will be aged 65 and over</w:t>
      </w:r>
      <w:r>
        <w:rPr>
          <w:rStyle w:val="EndnoteReference"/>
        </w:rPr>
        <w:endnoteReference w:id="16"/>
      </w:r>
      <w:r>
        <w:t xml:space="preserve">, and </w:t>
      </w:r>
      <w:r>
        <w:t xml:space="preserve">1 in 5 people in the UK </w:t>
      </w:r>
      <w:r>
        <w:t xml:space="preserve">already </w:t>
      </w:r>
      <w:r>
        <w:t xml:space="preserve">live </w:t>
      </w:r>
      <w:r>
        <w:t>with a disability</w:t>
      </w:r>
      <w:r>
        <w:rPr>
          <w:rStyle w:val="EndnoteReference"/>
        </w:rPr>
        <w:endnoteReference w:id="17"/>
      </w:r>
      <w:r>
        <w:t xml:space="preserve">. The quality of new build homes should also be </w:t>
      </w:r>
      <w:r>
        <w:t xml:space="preserve">assessed through suitability to changing </w:t>
      </w:r>
      <w:r>
        <w:t>demographics</w:t>
      </w:r>
      <w:r>
        <w:t>. B</w:t>
      </w:r>
      <w:r>
        <w:t>uilding more accessible and adaptable homes is vital</w:t>
      </w:r>
      <w:r>
        <w:t xml:space="preserve"> to this</w:t>
      </w:r>
      <w:r>
        <w:t>.</w:t>
      </w:r>
    </w:p>
    <w:p w:rsidR="00D677A3" w:rsidP="00233BB1">
      <w:pPr>
        <w:pStyle w:val="ListParagraph"/>
      </w:pPr>
    </w:p>
    <w:p w:rsidR="00D677A3" w:rsidP="00DC4446">
      <w:pPr>
        <w:pStyle w:val="ListParagraph"/>
        <w:numPr>
          <w:ilvl w:val="0"/>
          <w:numId w:val="21"/>
        </w:numPr>
      </w:pPr>
      <w:r>
        <w:t xml:space="preserve">Accessible homes help people with mobility issues or disabilities live independently and safely. Everyone can benefit, including families using prams and anyone </w:t>
      </w:r>
      <w:r>
        <w:t>who has older people or friends with mobility issues visiting them.</w:t>
      </w:r>
    </w:p>
    <w:p w:rsidR="00D677A3" w:rsidP="00233BB1">
      <w:pPr>
        <w:pStyle w:val="ListParagraph"/>
      </w:pPr>
    </w:p>
    <w:p w:rsidR="00D677A3" w:rsidP="00DC4446">
      <w:pPr>
        <w:pStyle w:val="ListParagraph"/>
        <w:numPr>
          <w:ilvl w:val="0"/>
          <w:numId w:val="21"/>
        </w:numPr>
      </w:pPr>
      <w:r>
        <w:t>Adaptable homes provide flexibility for people to modify their home as their needs change over time. Most people want to remain in their own home as they get older and adaptations help avoid injuries and falls.</w:t>
      </w:r>
    </w:p>
    <w:p w:rsidR="00D677A3" w:rsidP="00233BB1">
      <w:pPr>
        <w:pStyle w:val="ListParagraph"/>
      </w:pPr>
    </w:p>
    <w:p w:rsidR="00D677A3" w:rsidP="00DC4446">
      <w:pPr>
        <w:pStyle w:val="ListParagraph"/>
        <w:numPr>
          <w:ilvl w:val="0"/>
          <w:numId w:val="21"/>
        </w:numPr>
      </w:pPr>
      <w:r>
        <w:t>Building more accessible homes can have positive impacts both socially and economically, including:</w:t>
      </w:r>
    </w:p>
    <w:p w:rsidR="00D677A3" w:rsidP="00233BB1">
      <w:pPr>
        <w:pStyle w:val="ListParagraph"/>
        <w:numPr>
          <w:ilvl w:val="1"/>
          <w:numId w:val="21"/>
        </w:numPr>
      </w:pPr>
      <w:r>
        <w:t>Increased independence and less reliance on health and social care services</w:t>
      </w:r>
    </w:p>
    <w:p w:rsidR="00D677A3" w:rsidP="00233BB1">
      <w:pPr>
        <w:pStyle w:val="ListParagraph"/>
        <w:numPr>
          <w:ilvl w:val="1"/>
          <w:numId w:val="21"/>
        </w:numPr>
      </w:pPr>
      <w:r>
        <w:t>Savings to the NHS from fewer falls and other injuries around the home</w:t>
      </w:r>
    </w:p>
    <w:p w:rsidR="00D677A3" w:rsidP="00233BB1">
      <w:pPr>
        <w:pStyle w:val="ListParagraph"/>
        <w:numPr>
          <w:ilvl w:val="1"/>
          <w:numId w:val="21"/>
        </w:numPr>
      </w:pPr>
      <w:r>
        <w:t>Improved mental health and wellbeing for Disabled people</w:t>
      </w:r>
    </w:p>
    <w:p w:rsidR="00D677A3" w:rsidP="00233BB1">
      <w:pPr>
        <w:pStyle w:val="ListParagraph"/>
        <w:numPr>
          <w:ilvl w:val="1"/>
          <w:numId w:val="21"/>
        </w:numPr>
      </w:pPr>
      <w:r>
        <w:t>Reductions in costs of retrofitting homes to suit needs, which is more costly than making them part of the original design</w:t>
      </w:r>
      <w:r>
        <w:t>.</w:t>
      </w:r>
    </w:p>
    <w:p w:rsidR="00D677A3" w:rsidP="00233BB1">
      <w:pPr>
        <w:pStyle w:val="ListParagraph"/>
      </w:pPr>
    </w:p>
    <w:p w:rsidR="00D677A3" w:rsidP="00DC4446">
      <w:pPr>
        <w:pStyle w:val="ListParagraph"/>
        <w:numPr>
          <w:ilvl w:val="0"/>
          <w:numId w:val="21"/>
        </w:numPr>
      </w:pPr>
      <w:r>
        <w:t xml:space="preserve">There is </w:t>
      </w:r>
      <w:r>
        <w:t xml:space="preserve">currently </w:t>
      </w:r>
      <w:r>
        <w:t xml:space="preserve">a large </w:t>
      </w:r>
      <w:r>
        <w:t>‘accessibility gap’ between the number of homes that are fully accessible and the number of disabled people. Just 13% of homes in England have all four basic accessibility criteria that help make a home visitable for most people.</w:t>
      </w:r>
      <w:r>
        <w:rPr>
          <w:rStyle w:val="EndnoteReference"/>
        </w:rPr>
        <w:endnoteReference w:id="18"/>
      </w:r>
      <w:r>
        <w:t xml:space="preserve"> </w:t>
      </w:r>
      <w:r>
        <w:t xml:space="preserve">There are also stark regional differences in the </w:t>
      </w:r>
      <w:r>
        <w:t>availability of accessible homes. Only 4% of homes in the North Ea</w:t>
      </w:r>
      <w:r>
        <w:t>s</w:t>
      </w:r>
      <w:r>
        <w:t>t and the East Midlands have all four basic accessibility features that make a home visitable for most people. In contrast, 23% of homes in London have these features.</w:t>
      </w:r>
      <w:r>
        <w:rPr>
          <w:rStyle w:val="EndnoteReference"/>
        </w:rPr>
        <w:endnoteReference w:id="19"/>
      </w:r>
      <w:r>
        <w:t xml:space="preserve"> The higher figure in London is likely a result of the London Plan </w:t>
      </w:r>
      <w:r>
        <w:t xml:space="preserve">which </w:t>
      </w:r>
      <w:r>
        <w:t xml:space="preserve">requires </w:t>
      </w:r>
      <w:r>
        <w:t>higher accessibility standard</w:t>
      </w:r>
      <w:r>
        <w:t>s for new build homes</w:t>
      </w:r>
      <w:r>
        <w:t>.</w:t>
      </w:r>
      <w:r>
        <w:rPr>
          <w:rStyle w:val="EndnoteReference"/>
        </w:rPr>
        <w:endnoteReference w:id="20"/>
      </w:r>
    </w:p>
    <w:p w:rsidR="00D677A3" w:rsidP="00233BB1">
      <w:pPr>
        <w:pStyle w:val="ListParagraph"/>
      </w:pPr>
    </w:p>
    <w:p w:rsidR="00D677A3" w:rsidP="00DC4446">
      <w:pPr>
        <w:pStyle w:val="ListParagraph"/>
        <w:numPr>
          <w:ilvl w:val="0"/>
          <w:numId w:val="21"/>
        </w:numPr>
      </w:pPr>
      <w:r>
        <w:t xml:space="preserve">There are also </w:t>
      </w:r>
      <w:r>
        <w:t xml:space="preserve">currently </w:t>
      </w:r>
      <w:r>
        <w:t xml:space="preserve">low levels of </w:t>
      </w:r>
      <w:r>
        <w:t xml:space="preserve">basic </w:t>
      </w:r>
      <w:r>
        <w:t>home adaptations across England</w:t>
      </w:r>
      <w:r>
        <w:t xml:space="preserve"> despite our ageing population, with just 7% of homes containing grabrails</w:t>
      </w:r>
      <w:r>
        <w:t xml:space="preserve"> as an example.</w:t>
      </w:r>
      <w:r>
        <w:rPr>
          <w:rStyle w:val="EndnoteReference"/>
        </w:rPr>
        <w:endnoteReference w:id="21"/>
      </w:r>
    </w:p>
    <w:p w:rsidR="00D677A3" w:rsidP="00233BB1">
      <w:pPr>
        <w:pStyle w:val="ListParagraph"/>
        <w:rPr>
          <w:b/>
          <w:bCs/>
        </w:rPr>
      </w:pPr>
    </w:p>
    <w:p w:rsidR="00D677A3" w:rsidRPr="00DC4446" w:rsidP="00DC4446">
      <w:pPr>
        <w:pStyle w:val="ListParagraph"/>
        <w:numPr>
          <w:ilvl w:val="0"/>
          <w:numId w:val="21"/>
        </w:numPr>
        <w:rPr>
          <w:b/>
          <w:bCs/>
        </w:rPr>
      </w:pPr>
      <w:r w:rsidRPr="00DC4446">
        <w:rPr>
          <w:b/>
          <w:bCs/>
        </w:rPr>
        <w:t xml:space="preserve">We recommend that </w:t>
      </w:r>
      <w:r w:rsidRPr="00DC4446">
        <w:rPr>
          <w:b/>
          <w:bCs/>
        </w:rPr>
        <w:t>Part M4(2) of the Building Regulations becomes the</w:t>
      </w:r>
      <w:r w:rsidRPr="00DC4446">
        <w:rPr>
          <w:b/>
          <w:bCs/>
        </w:rPr>
        <w:t xml:space="preserve"> national</w:t>
      </w:r>
      <w:r w:rsidRPr="00DC4446">
        <w:rPr>
          <w:b/>
          <w:bCs/>
        </w:rPr>
        <w:t xml:space="preserve"> </w:t>
      </w:r>
      <w:r w:rsidRPr="00DC4446">
        <w:rPr>
          <w:b/>
          <w:bCs/>
        </w:rPr>
        <w:t>baseline standard for new build homes, making homes easier to use and adapt over time</w:t>
      </w:r>
      <w:r w:rsidRPr="00DC4446">
        <w:rPr>
          <w:b/>
          <w:bCs/>
        </w:rPr>
        <w:t>.</w:t>
      </w:r>
    </w:p>
    <w:p w:rsidR="00D677A3" w:rsidP="00233BB1">
      <w:pPr>
        <w:pStyle w:val="ListParagraph"/>
      </w:pPr>
    </w:p>
    <w:p w:rsidR="00D677A3" w:rsidP="00DC4446">
      <w:pPr>
        <w:pStyle w:val="ListParagraph"/>
        <w:numPr>
          <w:ilvl w:val="0"/>
          <w:numId w:val="21"/>
        </w:numPr>
      </w:pPr>
      <w:r>
        <w:t>In 2</w:t>
      </w:r>
      <w:r>
        <w:t>022, the previous government announced</w:t>
      </w:r>
      <w:r>
        <w:t>, following a consultation,</w:t>
      </w:r>
      <w:r>
        <w:t xml:space="preserve"> that it</w:t>
      </w:r>
      <w:r>
        <w:t xml:space="preserve"> was “committed to raising accessibility standards for new homes</w:t>
      </w:r>
      <w:r>
        <w:t xml:space="preserve">” and that “the most appropriate way forward is to mandate the current M4(2) </w:t>
      </w:r>
      <w:r>
        <w:t>requirement in Building Regulations as a minimum standard for all new homes”. However, this has never materialised</w:t>
      </w:r>
      <w:r>
        <w:t>,</w:t>
      </w:r>
      <w:r>
        <w:t xml:space="preserve"> despite </w:t>
      </w:r>
      <w:r>
        <w:t>98</w:t>
      </w:r>
      <w:r>
        <w:t>% of respondents to the consultation supporting the government’s intention to raise accessibility standards of new homes</w:t>
      </w:r>
      <w:r>
        <w:t>.</w:t>
      </w:r>
      <w:r>
        <w:rPr>
          <w:rStyle w:val="EndnoteReference"/>
        </w:rPr>
        <w:endnoteReference w:id="22"/>
      </w:r>
    </w:p>
    <w:p w:rsidR="00D677A3" w:rsidP="00233BB1">
      <w:pPr>
        <w:pStyle w:val="ListParagraph"/>
      </w:pPr>
    </w:p>
    <w:p w:rsidR="00D677A3" w:rsidP="00DC4446">
      <w:pPr>
        <w:pStyle w:val="ListParagraph"/>
        <w:numPr>
          <w:ilvl w:val="0"/>
          <w:numId w:val="21"/>
        </w:numPr>
      </w:pPr>
      <w:r>
        <w:t>T</w:t>
      </w:r>
      <w:r>
        <w:t xml:space="preserve">he Housing Made for Everyone (HoME) Coalition, co-chaired by the Centre for Ageing Better and Habinteg, estimates that as many as 885,000 more people could now be living in accessible and adaptable properties if </w:t>
      </w:r>
      <w:r>
        <w:t xml:space="preserve">the higher M4(2) standard had been delivered </w:t>
      </w:r>
      <w:r>
        <w:t xml:space="preserve">in 2022 when </w:t>
      </w:r>
      <w:r>
        <w:t>that announcement was made.</w:t>
      </w:r>
      <w:r>
        <w:rPr>
          <w:rStyle w:val="EndnoteReference"/>
        </w:rPr>
        <w:endnoteReference w:id="23"/>
      </w:r>
    </w:p>
    <w:p w:rsidR="00D677A3" w:rsidP="00233BB1">
      <w:pPr>
        <w:pStyle w:val="ListParagraph"/>
      </w:pPr>
    </w:p>
    <w:p w:rsidR="00D677A3" w:rsidP="00DC4446">
      <w:pPr>
        <w:pStyle w:val="ListParagraph"/>
        <w:numPr>
          <w:ilvl w:val="0"/>
          <w:numId w:val="21"/>
        </w:numPr>
      </w:pPr>
      <w:r>
        <w:t>Furthermore, p</w:t>
      </w:r>
      <w:r>
        <w:t>olling by the Centre for Ageing Better shows that 66% of people think they would have problems moving around their current homes and carrying out everyday tasks without major adaptations to their property if they developed a health issue or serious injury.</w:t>
      </w:r>
      <w:r>
        <w:t xml:space="preserve"> The same polling shows that 77% of people think all new </w:t>
      </w:r>
      <w:r>
        <w:t>homes should be built to a standard that allows people to live independently as they age or if they become disabled.</w:t>
      </w:r>
      <w:r>
        <w:rPr>
          <w:rStyle w:val="EndnoteReference"/>
        </w:rPr>
        <w:endnoteReference w:id="24"/>
      </w:r>
    </w:p>
    <w:p w:rsidR="00D677A3" w:rsidP="00233BB1">
      <w:pPr>
        <w:pStyle w:val="ListParagraph"/>
      </w:pPr>
    </w:p>
    <w:p w:rsidR="00D677A3" w:rsidP="00DC4446">
      <w:pPr>
        <w:pStyle w:val="ListParagraph"/>
        <w:numPr>
          <w:ilvl w:val="0"/>
          <w:numId w:val="21"/>
        </w:numPr>
      </w:pPr>
      <w:r>
        <w:t>We have been told by builders and developers that they would welcome a national framework for accessible homes rather than the current patchwork landscape where required accessibility standards vary by local area. They consider a national policy to be a more level playing field and therefore easier to plan designs and developments.</w:t>
      </w:r>
    </w:p>
    <w:p w:rsidR="00D677A3" w:rsidRPr="00233BB1" w:rsidP="00233BB1">
      <w:pPr>
        <w:pStyle w:val="ListParagraph"/>
        <w:rPr>
          <w:b/>
          <w:bCs/>
        </w:rPr>
      </w:pPr>
    </w:p>
    <w:p w:rsidR="00D677A3" w:rsidRPr="00DC4446" w:rsidP="00DC4446">
      <w:pPr>
        <w:pStyle w:val="ListParagraph"/>
        <w:numPr>
          <w:ilvl w:val="0"/>
          <w:numId w:val="21"/>
        </w:numPr>
        <w:rPr>
          <w:b/>
          <w:bCs/>
        </w:rPr>
      </w:pPr>
      <w:r>
        <w:t xml:space="preserve">The Government </w:t>
      </w:r>
      <w:r>
        <w:t>has confirmed that they are reviewing the</w:t>
      </w:r>
      <w:r>
        <w:t>ir</w:t>
      </w:r>
      <w:r>
        <w:t xml:space="preserve"> policy </w:t>
      </w:r>
      <w:r>
        <w:t xml:space="preserve">on the </w:t>
      </w:r>
      <w:r>
        <w:t>accessib</w:t>
      </w:r>
      <w:r>
        <w:t xml:space="preserve">ility of new build </w:t>
      </w:r>
      <w:r>
        <w:t>homes</w:t>
      </w:r>
      <w:r>
        <w:t>,</w:t>
      </w:r>
      <w:r>
        <w:t xml:space="preserve"> but many months have passed without any</w:t>
      </w:r>
      <w:r>
        <w:t xml:space="preserve"> progress</w:t>
      </w:r>
      <w:r>
        <w:t xml:space="preserve">. </w:t>
      </w:r>
      <w:r w:rsidRPr="00DC4446">
        <w:rPr>
          <w:b/>
          <w:bCs/>
        </w:rPr>
        <w:t>We urge the Government to avoid any further delays and outline their policy on accessible new build homes</w:t>
      </w:r>
      <w:r w:rsidRPr="00DC4446">
        <w:rPr>
          <w:b/>
          <w:bCs/>
        </w:rPr>
        <w:t xml:space="preserve"> so that builders and developers have clarity</w:t>
      </w:r>
      <w:r w:rsidRPr="00DC4446">
        <w:rPr>
          <w:b/>
          <w:bCs/>
        </w:rPr>
        <w:t>.</w:t>
      </w:r>
    </w:p>
    <w:sectPr w:rsidSect="00DA4412">
      <w:endnotePr>
        <w:numFmt w:val="decimal"/>
      </w:endnotePr>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D677A3" w:rsidP="00BA6680">
      <w:pPr>
        <w:spacing w:after="0" w:line="240" w:lineRule="auto"/>
      </w:pPr>
      <w:r>
        <w:separator/>
      </w:r>
    </w:p>
  </w:endnote>
  <w:endnote w:type="continuationSeparator" w:id="1">
    <w:p w:rsidR="00D677A3" w:rsidP="00BA6680">
      <w:pPr>
        <w:spacing w:after="0" w:line="240" w:lineRule="auto"/>
      </w:pPr>
      <w:r>
        <w:continuationSeparator/>
      </w:r>
    </w:p>
  </w:endnote>
  <w:endnote w:id="2">
    <w:p w:rsidR="00D677A3">
      <w:pPr>
        <w:pStyle w:val="EndnoteText"/>
      </w:pPr>
      <w:r>
        <w:rPr>
          <w:rStyle w:val="EndnoteReference"/>
        </w:rPr>
        <w:endnoteRef/>
      </w:r>
      <w:r>
        <w:t xml:space="preserve"> Centre for Ageing Better (2025). Homes | State of Ageing 2025. Available at: </w:t>
      </w:r>
      <w:r>
        <w:fldChar w:fldCharType="begin"/>
      </w:r>
      <w:r>
        <w:instrText xml:space="preserve"> HYPERLINK "https://ageing-better.org.uk/homes-state-ageing-2025" </w:instrText>
      </w:r>
      <w:r>
        <w:fldChar w:fldCharType="separate"/>
      </w:r>
      <w:r w:rsidRPr="00EB721E">
        <w:rPr>
          <w:rStyle w:val="Hyperlink"/>
        </w:rPr>
        <w:t>https://ageing-better.org.uk/homes-state-ageing-2025</w:t>
      </w:r>
      <w:r>
        <w:fldChar w:fldCharType="end"/>
      </w:r>
      <w:r>
        <w:t xml:space="preserve"> </w:t>
      </w:r>
    </w:p>
  </w:endnote>
  <w:endnote w:id="3">
    <w:p w:rsidR="00D677A3">
      <w:pPr>
        <w:pStyle w:val="EndnoteText"/>
      </w:pPr>
      <w:r>
        <w:rPr>
          <w:rStyle w:val="EndnoteReference"/>
        </w:rPr>
        <w:endnoteRef/>
      </w:r>
      <w:r>
        <w:t xml:space="preserve"> Centre for Ageing Better (2025). Homes | State of Ageing 2025. Available at: </w:t>
      </w:r>
      <w:r>
        <w:fldChar w:fldCharType="begin"/>
      </w:r>
      <w:r>
        <w:instrText xml:space="preserve"> HYPERLINK "https://ageing-better.org.uk/homes-state-ageing-2025" </w:instrText>
      </w:r>
      <w:r>
        <w:fldChar w:fldCharType="separate"/>
      </w:r>
      <w:r w:rsidRPr="00EB721E">
        <w:rPr>
          <w:rStyle w:val="Hyperlink"/>
        </w:rPr>
        <w:t>https://ageing-better.org.uk/homes-state-ageing-2025</w:t>
      </w:r>
      <w:r>
        <w:fldChar w:fldCharType="end"/>
      </w:r>
    </w:p>
  </w:endnote>
  <w:endnote w:id="4">
    <w:p w:rsidR="00D677A3">
      <w:pPr>
        <w:pStyle w:val="EndnoteText"/>
      </w:pPr>
      <w:r>
        <w:rPr>
          <w:rStyle w:val="EndnoteReference"/>
        </w:rPr>
        <w:endnoteRef/>
      </w:r>
      <w:r>
        <w:t xml:space="preserve"> Centre for Ageing Better (2025). Homes | State of Ageing 2025. Available at: </w:t>
      </w:r>
      <w:r>
        <w:fldChar w:fldCharType="begin"/>
      </w:r>
      <w:r>
        <w:instrText xml:space="preserve"> HYPERLINK "https://ageing-better.org.uk/homes-state-ageing-2025" </w:instrText>
      </w:r>
      <w:r>
        <w:fldChar w:fldCharType="separate"/>
      </w:r>
      <w:r w:rsidRPr="00EB721E">
        <w:rPr>
          <w:rStyle w:val="Hyperlink"/>
        </w:rPr>
        <w:t>https://ageing-better.org.uk/homes-state-ageing-2025</w:t>
      </w:r>
      <w:r>
        <w:fldChar w:fldCharType="end"/>
      </w:r>
    </w:p>
  </w:endnote>
  <w:endnote w:id="5">
    <w:p w:rsidR="00D677A3">
      <w:pPr>
        <w:pStyle w:val="EndnoteText"/>
      </w:pPr>
      <w:r>
        <w:rPr>
          <w:rStyle w:val="EndnoteReference"/>
        </w:rPr>
        <w:endnoteRef/>
      </w:r>
      <w:r>
        <w:t xml:space="preserve"> Centre for Ageing Better (2025). Homes | State of Ageing 2025. Available at: </w:t>
      </w:r>
      <w:r>
        <w:fldChar w:fldCharType="begin"/>
      </w:r>
      <w:r>
        <w:instrText xml:space="preserve"> HYPERLINK "https://ageing-better.org.uk/homes-state-ageing-2025" </w:instrText>
      </w:r>
      <w:r>
        <w:fldChar w:fldCharType="separate"/>
      </w:r>
      <w:r w:rsidRPr="00EB721E">
        <w:rPr>
          <w:rStyle w:val="Hyperlink"/>
        </w:rPr>
        <w:t>https://ageing-better.org.uk/homes-state-ageing-2025</w:t>
      </w:r>
      <w:r>
        <w:fldChar w:fldCharType="end"/>
      </w:r>
    </w:p>
  </w:endnote>
  <w:endnote w:id="6">
    <w:p w:rsidR="00D677A3">
      <w:pPr>
        <w:pStyle w:val="EndnoteText"/>
      </w:pPr>
      <w:r>
        <w:rPr>
          <w:rStyle w:val="EndnoteReference"/>
        </w:rPr>
        <w:endnoteRef/>
      </w:r>
      <w:r>
        <w:t xml:space="preserve"> </w:t>
      </w:r>
      <w:r w:rsidRPr="00627189">
        <w:t xml:space="preserve">BRE (2015). The cost of poor housing in the European Union. Available at: </w:t>
      </w:r>
      <w:r>
        <w:fldChar w:fldCharType="begin"/>
      </w:r>
      <w:r>
        <w:instrText xml:space="preserve"> HYPERLINK "https://files.bregroup.com/bre-co-uk-file-librarycopy/filelibrary/Briefing%20papers/92993_BRE_Poor-Housing_%20in_-Europe.pdf" </w:instrText>
      </w:r>
      <w:r>
        <w:fldChar w:fldCharType="separate"/>
      </w:r>
      <w:r w:rsidRPr="00EB721E">
        <w:rPr>
          <w:rStyle w:val="Hyperlink"/>
        </w:rPr>
        <w:t>https://files.bregroup.com/bre-co-uk-file-librarycopy/filelibrary/Briefing%20papers/92993_BRE_Poor-Housing_ in_-Europe.pdf</w:t>
      </w:r>
      <w:r>
        <w:fldChar w:fldCharType="end"/>
      </w:r>
      <w:r>
        <w:t xml:space="preserve"> </w:t>
      </w:r>
    </w:p>
  </w:endnote>
  <w:endnote w:id="7">
    <w:p w:rsidR="00D677A3">
      <w:pPr>
        <w:pStyle w:val="EndnoteText"/>
      </w:pPr>
      <w:r>
        <w:rPr>
          <w:rStyle w:val="EndnoteReference"/>
        </w:rPr>
        <w:endnoteRef/>
      </w:r>
      <w:r>
        <w:t xml:space="preserve"> </w:t>
      </w:r>
      <w:r w:rsidRPr="00140B2E">
        <w:t xml:space="preserve">National Energy Action (2024). Fuel poverty statistics explained. Available at: </w:t>
      </w:r>
      <w:r>
        <w:fldChar w:fldCharType="begin"/>
      </w:r>
      <w:r>
        <w:instrText xml:space="preserve"> HYPERLINK "https://www.nea.org.uk/energy-crisis/fuel-povertystatistics-explainer/" </w:instrText>
      </w:r>
      <w:r>
        <w:fldChar w:fldCharType="separate"/>
      </w:r>
      <w:r w:rsidRPr="00EB721E">
        <w:rPr>
          <w:rStyle w:val="Hyperlink"/>
        </w:rPr>
        <w:t>https://www.nea.org.uk/energy-crisis/fuel-povertystatistics-explainer/</w:t>
      </w:r>
      <w:r>
        <w:fldChar w:fldCharType="end"/>
      </w:r>
      <w:r>
        <w:t xml:space="preserve"> </w:t>
      </w:r>
    </w:p>
  </w:endnote>
  <w:endnote w:id="8">
    <w:p w:rsidR="00D677A3">
      <w:pPr>
        <w:pStyle w:val="EndnoteText"/>
      </w:pPr>
      <w:r>
        <w:rPr>
          <w:rStyle w:val="EndnoteReference"/>
        </w:rPr>
        <w:endnoteRef/>
      </w:r>
      <w:r>
        <w:t xml:space="preserve"> </w:t>
      </w:r>
      <w:r w:rsidRPr="00806B99">
        <w:t>Tado (2020). UK homes losing heat up to three times faster than European neighbours. Available at: https://www.tado.com/gb-en/ press/uk-homes-losing-heat-up-to-three-times-faster-thaneuropean-neighbour</w:t>
      </w:r>
      <w:r>
        <w:t xml:space="preserve">s </w:t>
      </w:r>
    </w:p>
  </w:endnote>
  <w:endnote w:id="9">
    <w:p w:rsidR="00D677A3">
      <w:pPr>
        <w:pStyle w:val="EndnoteText"/>
      </w:pPr>
      <w:r>
        <w:rPr>
          <w:rStyle w:val="EndnoteReference"/>
        </w:rPr>
        <w:endnoteRef/>
      </w:r>
      <w:r>
        <w:t xml:space="preserve"> </w:t>
      </w:r>
      <w:r w:rsidRPr="00F27971">
        <w:t>House of Commons Library (2024). Energy efficiency of UK homes. Available at: https://researchbriefings.files.parliament.uk/ documents/CBP-9889/CBP-9889.pdf</w:t>
      </w:r>
      <w:r>
        <w:t xml:space="preserve"> </w:t>
      </w:r>
    </w:p>
  </w:endnote>
  <w:endnote w:id="10">
    <w:p w:rsidR="00D677A3">
      <w:pPr>
        <w:pStyle w:val="EndnoteText"/>
      </w:pPr>
      <w:r>
        <w:rPr>
          <w:rStyle w:val="EndnoteReference"/>
        </w:rPr>
        <w:endnoteRef/>
      </w:r>
      <w:r>
        <w:t xml:space="preserve"> </w:t>
      </w:r>
      <w:r w:rsidRPr="00DA2124">
        <w:t xml:space="preserve">Centre for Ageing Better (2023). Lost opportunities: A decade of declining national investment in repairing our homes. Available at: </w:t>
      </w:r>
      <w:r>
        <w:fldChar w:fldCharType="begin"/>
      </w:r>
      <w:r>
        <w:instrText xml:space="preserve"> HYPERLINK "https://ageing-better.org.uk/sites/default/files/2023-10/lostopportunities-report.pdf" </w:instrText>
      </w:r>
      <w:r>
        <w:fldChar w:fldCharType="separate"/>
      </w:r>
      <w:r w:rsidRPr="00EB721E">
        <w:rPr>
          <w:rStyle w:val="Hyperlink"/>
        </w:rPr>
        <w:t>https://ageing-better.org.uk/sites/default/files/2023-10/lostopportunities-report.pdf</w:t>
      </w:r>
      <w:r>
        <w:fldChar w:fldCharType="end"/>
      </w:r>
      <w:r>
        <w:t xml:space="preserve"> </w:t>
      </w:r>
    </w:p>
  </w:endnote>
  <w:endnote w:id="11">
    <w:p w:rsidR="00D677A3">
      <w:pPr>
        <w:pStyle w:val="EndnoteText"/>
      </w:pPr>
      <w:r>
        <w:rPr>
          <w:rStyle w:val="EndnoteReference"/>
        </w:rPr>
        <w:endnoteRef/>
      </w:r>
      <w:r>
        <w:t xml:space="preserve"> </w:t>
      </w:r>
      <w:r w:rsidRPr="00E555A9">
        <w:t>Research by the National Centre for Social Research for the Centre for Ageing Better (2024).</w:t>
      </w:r>
    </w:p>
  </w:endnote>
  <w:endnote w:id="12">
    <w:p w:rsidR="00D677A3">
      <w:pPr>
        <w:pStyle w:val="EndnoteText"/>
      </w:pPr>
      <w:r>
        <w:rPr>
          <w:rStyle w:val="EndnoteReference"/>
        </w:rPr>
        <w:endnoteRef/>
      </w:r>
      <w:r>
        <w:t xml:space="preserve"> The Health Foundation (2024). </w:t>
      </w:r>
      <w:r>
        <w:t xml:space="preserve">Number of non-decent homes by tenure. </w:t>
      </w:r>
      <w:r>
        <w:t xml:space="preserve">Available at: </w:t>
      </w:r>
      <w:r>
        <w:fldChar w:fldCharType="begin"/>
      </w:r>
      <w:r>
        <w:instrText xml:space="preserve"> HYPERLINK "https://www.health.org.uk/evidence-hub/housing/housing-quality/number-of-non-decent-homes-by-tenure" </w:instrText>
      </w:r>
      <w:r>
        <w:fldChar w:fldCharType="separate"/>
      </w:r>
      <w:r w:rsidRPr="00EB721E">
        <w:rPr>
          <w:rStyle w:val="Hyperlink"/>
        </w:rPr>
        <w:t>https://www.health.org.uk/evidence-hub/housing/housing-quality/number-of-non-decent-homes-by-tenure</w:t>
      </w:r>
      <w:r>
        <w:fldChar w:fldCharType="end"/>
      </w:r>
      <w:r>
        <w:t xml:space="preserve"> </w:t>
      </w:r>
    </w:p>
  </w:endnote>
  <w:endnote w:id="13">
    <w:p w:rsidR="00D677A3">
      <w:pPr>
        <w:pStyle w:val="EndnoteText"/>
      </w:pPr>
      <w:r>
        <w:rPr>
          <w:rStyle w:val="EndnoteReference"/>
        </w:rPr>
        <w:endnoteRef/>
      </w:r>
      <w:r>
        <w:t xml:space="preserve"> English Housing Survey (20</w:t>
      </w:r>
      <w:r>
        <w:t xml:space="preserve">25). </w:t>
      </w:r>
      <w:r w:rsidRPr="00DC4016">
        <w:t>English Housing Survey 2023 to 2024: headline findings on housing quality and energy efficiency</w:t>
      </w:r>
      <w:r>
        <w:t xml:space="preserve">. </w:t>
      </w:r>
      <w:r>
        <w:t xml:space="preserve">Available at: </w:t>
      </w:r>
      <w:r>
        <w:fldChar w:fldCharType="begin"/>
      </w:r>
      <w:r>
        <w:instrText xml:space="preserve"> HYPERLINK "https://www.gov.uk/government/collections/english-housing-survey-2023-to-2024-headline-findings-on-housing-quality-and-energy-efficiency" </w:instrText>
      </w:r>
      <w:r>
        <w:fldChar w:fldCharType="separate"/>
      </w:r>
      <w:r w:rsidRPr="00EB721E">
        <w:rPr>
          <w:rStyle w:val="Hyperlink"/>
        </w:rPr>
        <w:t>https://www.gov.uk/government/collections/english-housing-survey-2023-to-2024-headline-findings-on-housing-quality-and-energy-efficiency</w:t>
      </w:r>
      <w:r>
        <w:fldChar w:fldCharType="end"/>
      </w:r>
      <w:r>
        <w:t xml:space="preserve"> </w:t>
      </w:r>
    </w:p>
  </w:endnote>
  <w:endnote w:id="14">
    <w:p w:rsidR="00D677A3">
      <w:pPr>
        <w:pStyle w:val="EndnoteText"/>
      </w:pPr>
      <w:r>
        <w:rPr>
          <w:rStyle w:val="EndnoteReference"/>
        </w:rPr>
        <w:endnoteRef/>
      </w:r>
      <w:r>
        <w:t xml:space="preserve"> Centre for Ageing Better (2025). Homes | State of Ageing 2025. Available at: </w:t>
      </w:r>
      <w:r>
        <w:fldChar w:fldCharType="begin"/>
      </w:r>
      <w:r>
        <w:instrText xml:space="preserve"> HYPERLINK "https://ageing-better.org.uk/homes-state-ageing-2025" </w:instrText>
      </w:r>
      <w:r>
        <w:fldChar w:fldCharType="separate"/>
      </w:r>
      <w:r w:rsidRPr="00EB721E">
        <w:rPr>
          <w:rStyle w:val="Hyperlink"/>
        </w:rPr>
        <w:t>https://ageing-better.org.uk/homes-state-ageing-2025</w:t>
      </w:r>
      <w:r>
        <w:fldChar w:fldCharType="end"/>
      </w:r>
    </w:p>
  </w:endnote>
  <w:endnote w:id="15">
    <w:p w:rsidR="00D677A3">
      <w:pPr>
        <w:pStyle w:val="EndnoteText"/>
      </w:pPr>
      <w:r>
        <w:rPr>
          <w:rStyle w:val="EndnoteReference"/>
        </w:rPr>
        <w:endnoteRef/>
      </w:r>
      <w:r>
        <w:t xml:space="preserve"> Town and Country Planning Association. Healthy Homes Principles. Available at: </w:t>
      </w:r>
      <w:r>
        <w:fldChar w:fldCharType="begin"/>
      </w:r>
      <w:r>
        <w:instrText xml:space="preserve"> HYPERLINK "https://www.tcpa.org.uk/resources/healthy-homes-principles/" </w:instrText>
      </w:r>
      <w:r>
        <w:fldChar w:fldCharType="separate"/>
      </w:r>
      <w:r w:rsidRPr="00EB721E">
        <w:rPr>
          <w:rStyle w:val="Hyperlink"/>
        </w:rPr>
        <w:t>https://www.tcpa.org.uk/resources/healthy-homes-principles/</w:t>
      </w:r>
      <w:r>
        <w:fldChar w:fldCharType="end"/>
      </w:r>
      <w:r>
        <w:t xml:space="preserve"> </w:t>
      </w:r>
    </w:p>
  </w:endnote>
  <w:endnote w:id="16">
    <w:p w:rsidR="00D677A3">
      <w:pPr>
        <w:pStyle w:val="EndnoteText"/>
      </w:pPr>
      <w:r>
        <w:rPr>
          <w:rStyle w:val="EndnoteReference"/>
        </w:rPr>
        <w:endnoteRef/>
      </w:r>
      <w:r>
        <w:t xml:space="preserve"> Centre for Ageing Better (2025). Our Ageing Population | State of Ageing 2025. Available at: </w:t>
      </w:r>
      <w:r>
        <w:fldChar w:fldCharType="begin"/>
      </w:r>
      <w:r>
        <w:instrText xml:space="preserve"> HYPERLINK "https://ageing-better.org.uk/our-ageing-population-state-ageing-2025" </w:instrText>
      </w:r>
      <w:r>
        <w:fldChar w:fldCharType="separate"/>
      </w:r>
      <w:r w:rsidRPr="00EB721E">
        <w:rPr>
          <w:rStyle w:val="Hyperlink"/>
        </w:rPr>
        <w:t>https://ageing-better.org.uk/our-ageing-population-state-ageing-2025</w:t>
      </w:r>
      <w:r>
        <w:fldChar w:fldCharType="end"/>
      </w:r>
      <w:r>
        <w:t xml:space="preserve"> </w:t>
      </w:r>
    </w:p>
  </w:endnote>
  <w:endnote w:id="17">
    <w:p w:rsidR="00D677A3">
      <w:pPr>
        <w:pStyle w:val="EndnoteText"/>
      </w:pPr>
      <w:r>
        <w:rPr>
          <w:rStyle w:val="EndnoteReference"/>
        </w:rPr>
        <w:endnoteRef/>
      </w:r>
      <w:r>
        <w:t xml:space="preserve"> </w:t>
      </w:r>
      <w:r>
        <w:t xml:space="preserve">House of Commons Library (2024). Research briefing | </w:t>
      </w:r>
      <w:r w:rsidRPr="00207DDD">
        <w:t>UK disability statistics: Prevalence and life experiences</w:t>
      </w:r>
      <w:r>
        <w:t xml:space="preserve">. </w:t>
      </w:r>
      <w:r>
        <w:t xml:space="preserve">Available at: </w:t>
      </w:r>
      <w:r>
        <w:fldChar w:fldCharType="begin"/>
      </w:r>
      <w:r>
        <w:instrText xml:space="preserve"> HYPERLINK "https://commonslibrary.parliament.uk/research-briefings/cbp-9602/" </w:instrText>
      </w:r>
      <w:r>
        <w:fldChar w:fldCharType="separate"/>
      </w:r>
      <w:r w:rsidRPr="00EB721E">
        <w:rPr>
          <w:rStyle w:val="Hyperlink"/>
        </w:rPr>
        <w:t>https://commonslibrary.parliament.uk/research-briefings/cbp-9602/</w:t>
      </w:r>
      <w:r>
        <w:fldChar w:fldCharType="end"/>
      </w:r>
      <w:r>
        <w:t xml:space="preserve"> </w:t>
      </w:r>
    </w:p>
  </w:endnote>
  <w:endnote w:id="18">
    <w:p w:rsidR="00D677A3">
      <w:pPr>
        <w:pStyle w:val="EndnoteText"/>
      </w:pPr>
      <w:r>
        <w:rPr>
          <w:rStyle w:val="EndnoteReference"/>
        </w:rPr>
        <w:endnoteRef/>
      </w:r>
      <w:r>
        <w:t xml:space="preserve"> Centre for Ageing Better (2025). Homes | State of Ageing 2025. Available at: </w:t>
      </w:r>
      <w:r>
        <w:fldChar w:fldCharType="begin"/>
      </w:r>
      <w:r>
        <w:instrText xml:space="preserve"> HYPERLINK "https://ageing-better.org.uk/homes-state-ageing-2025" </w:instrText>
      </w:r>
      <w:r>
        <w:fldChar w:fldCharType="separate"/>
      </w:r>
      <w:r w:rsidRPr="00EB721E">
        <w:rPr>
          <w:rStyle w:val="Hyperlink"/>
        </w:rPr>
        <w:t>https://ageing-better.org.uk/homes-state-ageing-2025</w:t>
      </w:r>
      <w:r>
        <w:fldChar w:fldCharType="end"/>
      </w:r>
    </w:p>
  </w:endnote>
  <w:endnote w:id="19">
    <w:p w:rsidR="00D677A3">
      <w:pPr>
        <w:pStyle w:val="EndnoteText"/>
      </w:pPr>
      <w:r>
        <w:rPr>
          <w:rStyle w:val="EndnoteReference"/>
        </w:rPr>
        <w:endnoteRef/>
      </w:r>
      <w:r>
        <w:t xml:space="preserve"> Centre for Ageing Better (2025). Homes | State of Ageing 2025. Available at: </w:t>
      </w:r>
      <w:r>
        <w:fldChar w:fldCharType="begin"/>
      </w:r>
      <w:r>
        <w:instrText xml:space="preserve"> HYPERLINK "https://ageing-better.org.uk/homes-state-ageing-2025" </w:instrText>
      </w:r>
      <w:r>
        <w:fldChar w:fldCharType="separate"/>
      </w:r>
      <w:r w:rsidRPr="00EB721E">
        <w:rPr>
          <w:rStyle w:val="Hyperlink"/>
        </w:rPr>
        <w:t>https://ageing-better.org.uk/homes-state-ageing-2025</w:t>
      </w:r>
      <w:r>
        <w:fldChar w:fldCharType="end"/>
      </w:r>
    </w:p>
  </w:endnote>
  <w:endnote w:id="20">
    <w:p w:rsidR="00D677A3">
      <w:pPr>
        <w:pStyle w:val="EndnoteText"/>
      </w:pPr>
      <w:r>
        <w:rPr>
          <w:rStyle w:val="EndnoteReference"/>
        </w:rPr>
        <w:endnoteRef/>
      </w:r>
      <w:r>
        <w:t xml:space="preserve"> </w:t>
      </w:r>
      <w:r>
        <w:t xml:space="preserve">London Assembly (2024). Questions to the Mayor | Accessible housing. </w:t>
      </w:r>
      <w:r>
        <w:t xml:space="preserve">Available at: </w:t>
      </w:r>
      <w:r>
        <w:fldChar w:fldCharType="begin"/>
      </w:r>
      <w:r>
        <w:instrText xml:space="preserve"> HYPERLINK "https://www.london.gov.uk/who-we-are/what-london-assembly-does/questions-mayor/find-an-answer/accessible-housing-2" </w:instrText>
      </w:r>
      <w:r>
        <w:fldChar w:fldCharType="separate"/>
      </w:r>
      <w:r w:rsidRPr="00EB721E">
        <w:rPr>
          <w:rStyle w:val="Hyperlink"/>
        </w:rPr>
        <w:t>https://www.london.gov.uk/who-we-are/what-london-assembly-does/questions-mayor/find-an-answer/accessible-housing-2</w:t>
      </w:r>
      <w:r>
        <w:fldChar w:fldCharType="end"/>
      </w:r>
      <w:r>
        <w:t xml:space="preserve"> </w:t>
      </w:r>
    </w:p>
  </w:endnote>
  <w:endnote w:id="21">
    <w:p w:rsidR="00D677A3">
      <w:pPr>
        <w:pStyle w:val="EndnoteText"/>
      </w:pPr>
      <w:r>
        <w:rPr>
          <w:rStyle w:val="EndnoteReference"/>
        </w:rPr>
        <w:endnoteRef/>
      </w:r>
      <w:r>
        <w:t xml:space="preserve"> Centre for Ageing Better (2025). Homes | State of Ageing 2025. Available at: </w:t>
      </w:r>
      <w:r>
        <w:fldChar w:fldCharType="begin"/>
      </w:r>
      <w:r>
        <w:instrText xml:space="preserve"> HYPERLINK "https://ageing-better.org.uk/homes-state-ageing-2025" </w:instrText>
      </w:r>
      <w:r>
        <w:fldChar w:fldCharType="separate"/>
      </w:r>
      <w:r w:rsidRPr="00EB721E">
        <w:rPr>
          <w:rStyle w:val="Hyperlink"/>
        </w:rPr>
        <w:t>https://ageing-better.org.uk/homes-state-ageing-2025</w:t>
      </w:r>
      <w:r>
        <w:fldChar w:fldCharType="end"/>
      </w:r>
    </w:p>
  </w:endnote>
  <w:endnote w:id="22">
    <w:p w:rsidR="00D677A3">
      <w:pPr>
        <w:pStyle w:val="EndnoteText"/>
      </w:pPr>
      <w:r>
        <w:rPr>
          <w:rStyle w:val="EndnoteReference"/>
        </w:rPr>
        <w:endnoteRef/>
      </w:r>
      <w:r>
        <w:t xml:space="preserve"> </w:t>
      </w:r>
      <w:r>
        <w:t xml:space="preserve">Department for Levelling Up, Housing &amp; Communities (2022). Consultation outcome: Raising accessibility standards for new homes: summary of consultation responses and government response. Available at: </w:t>
      </w:r>
      <w:r>
        <w:fldChar w:fldCharType="begin"/>
      </w:r>
      <w:r>
        <w:instrText xml:space="preserve"> HYPERLINK "https://www.gov.uk/government/consultations/raising-accessibility-standards-for-new-homes/outcome/raising-accessibility-standards-for-new-homes-summary-of-consultation-responses-and-government-response" \l "government-response" </w:instrText>
      </w:r>
      <w:r>
        <w:fldChar w:fldCharType="separate"/>
      </w:r>
      <w:r w:rsidRPr="00EB721E">
        <w:rPr>
          <w:rStyle w:val="Hyperlink"/>
        </w:rPr>
        <w:t>https://www.gov.uk/government/consultations/raising-accessibility-standards-for-new-homes/outcome/raising-accessibility-standards-for-new-homes-summary-of-consultation-responses-and-government-response#government-response</w:t>
      </w:r>
      <w:r>
        <w:fldChar w:fldCharType="end"/>
      </w:r>
    </w:p>
  </w:endnote>
  <w:endnote w:id="23">
    <w:p w:rsidR="00D677A3">
      <w:pPr>
        <w:pStyle w:val="EndnoteText"/>
      </w:pPr>
      <w:r>
        <w:rPr>
          <w:rStyle w:val="EndnoteReference"/>
        </w:rPr>
        <w:endnoteRef/>
      </w:r>
      <w:r>
        <w:t xml:space="preserve"> Analysis by the Centre for Ageing Better and Habinteg (2025). Available at: </w:t>
      </w:r>
      <w:r>
        <w:fldChar w:fldCharType="begin"/>
      </w:r>
      <w:r>
        <w:instrText xml:space="preserve"> HYPERLINK "http://ageing-better.org.uk/news/people-deprived-accessible-home-opportunity" </w:instrText>
      </w:r>
      <w:r>
        <w:fldChar w:fldCharType="separate"/>
      </w:r>
      <w:r w:rsidRPr="00EB721E">
        <w:rPr>
          <w:rStyle w:val="Hyperlink"/>
        </w:rPr>
        <w:t>http://ageing-better.org.uk/news/people-deprived-accessible-home-opportunity</w:t>
      </w:r>
      <w:r>
        <w:fldChar w:fldCharType="end"/>
      </w:r>
    </w:p>
  </w:endnote>
  <w:endnote w:id="24">
    <w:p w:rsidR="00D677A3">
      <w:pPr>
        <w:pStyle w:val="EndnoteText"/>
      </w:pPr>
      <w:r>
        <w:rPr>
          <w:rStyle w:val="EndnoteReference"/>
        </w:rPr>
        <w:endnoteRef/>
      </w:r>
      <w:r>
        <w:t xml:space="preserve"> </w:t>
      </w:r>
      <w:r>
        <w:t>The s</w:t>
      </w:r>
      <w:r>
        <w:t>urvey carried about by Survation between 13</w:t>
      </w:r>
      <w:r w:rsidRPr="000304EB">
        <w:rPr>
          <w:vertAlign w:val="superscript"/>
        </w:rPr>
        <w:t>th</w:t>
      </w:r>
      <w:r>
        <w:t>-17</w:t>
      </w:r>
      <w:r w:rsidRPr="000304EB">
        <w:rPr>
          <w:vertAlign w:val="superscript"/>
        </w:rPr>
        <w:t>th</w:t>
      </w:r>
      <w:r>
        <w:t xml:space="preserve"> June 2025. Sample size</w:t>
      </w:r>
      <w:r>
        <w:t>: 2,017. The survey was conducted via online interview of UK residents aged 18+.</w:t>
      </w:r>
    </w:p>
    <w:p w:rsidR="00D677A3">
      <w:pPr>
        <w:pStyle w:val="EndnoteText"/>
      </w:pPr>
    </w:p>
    <w:p w:rsidR="00D677A3" w:rsidRPr="00EC45A5" w:rsidP="00D677A3">
      <w:pPr>
        <w:spacing w:after="120" w:line="276" w:lineRule="auto"/>
        <w:rPr>
          <w:rFonts w:ascii="Calibri" w:hAnsi="Calibri" w:cs="Calibri"/>
          <w:i/>
          <w:iCs/>
        </w:rPr>
      </w:pPr>
      <w:r w:rsidRPr="00EC45A5">
        <w:rPr>
          <w:rFonts w:ascii="Calibri" w:hAnsi="Calibri" w:cs="Calibri"/>
          <w:i/>
          <w:iCs/>
        </w:rPr>
        <w:t>August 2025</w:t>
      </w:r>
    </w:p>
    <w:p w:rsidR="00D677A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3151C8"/>
    <w:multiLevelType w:val="multilevel"/>
    <w:tmpl w:val="3E221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E8560C"/>
    <w:multiLevelType w:val="hybridMultilevel"/>
    <w:tmpl w:val="BF2A68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6821C2F"/>
    <w:multiLevelType w:val="multilevel"/>
    <w:tmpl w:val="C412A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39083F"/>
    <w:multiLevelType w:val="hybridMultilevel"/>
    <w:tmpl w:val="EF621F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8534FF8"/>
    <w:multiLevelType w:val="multilevel"/>
    <w:tmpl w:val="43DCD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240FB9"/>
    <w:multiLevelType w:val="multilevel"/>
    <w:tmpl w:val="3E221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D1773B"/>
    <w:multiLevelType w:val="hybridMultilevel"/>
    <w:tmpl w:val="BEB6D158"/>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7">
    <w:nsid w:val="21EE63A6"/>
    <w:multiLevelType w:val="hybridMultilevel"/>
    <w:tmpl w:val="677EC0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31D51BE"/>
    <w:multiLevelType w:val="hybridMultilevel"/>
    <w:tmpl w:val="305ED672"/>
    <w:lvl w:ilvl="0">
      <w:start w:val="1"/>
      <w:numFmt w:val="decimal"/>
      <w:pStyle w:val="Numberedlis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D794068"/>
    <w:multiLevelType w:val="multilevel"/>
    <w:tmpl w:val="1BA861FA"/>
    <w:lvl w:ilvl="0">
      <w:start w:val="1"/>
      <w:numFmt w:val="decimal"/>
      <w:lvlText w:val="%1."/>
      <w:lvlJc w:val="left"/>
      <w:pPr>
        <w:tabs>
          <w:tab w:val="num" w:pos="720"/>
        </w:tabs>
        <w:ind w:left="720" w:hanging="360"/>
      </w:pPr>
    </w:lvl>
    <w:lvl w:ilvl="1">
      <w:start w:val="0"/>
      <w:numFmt w:val="bullet"/>
      <w:lvlText w:val="-"/>
      <w:lvlJc w:val="left"/>
      <w:pPr>
        <w:ind w:left="1440" w:hanging="360"/>
      </w:pPr>
      <w:rPr>
        <w:rFonts w:ascii="Arial" w:hAnsi="Arial" w:eastAsiaTheme="minorHAnsi"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DC638DE"/>
    <w:multiLevelType w:val="hybridMultilevel"/>
    <w:tmpl w:val="A64C1C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7863E83"/>
    <w:multiLevelType w:val="multilevel"/>
    <w:tmpl w:val="F6D29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C6215C9"/>
    <w:multiLevelType w:val="hybridMultilevel"/>
    <w:tmpl w:val="C6124B3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3EC3F08"/>
    <w:multiLevelType w:val="multilevel"/>
    <w:tmpl w:val="3E221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CB143A5"/>
    <w:multiLevelType w:val="hybridMultilevel"/>
    <w:tmpl w:val="BA80762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63700310"/>
    <w:multiLevelType w:val="hybridMultilevel"/>
    <w:tmpl w:val="3E082F8E"/>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16">
    <w:nsid w:val="640C6DD1"/>
    <w:multiLevelType w:val="hybridMultilevel"/>
    <w:tmpl w:val="83B41714"/>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7">
    <w:nsid w:val="6F1A06D2"/>
    <w:multiLevelType w:val="multilevel"/>
    <w:tmpl w:val="F6D29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2335ECD"/>
    <w:multiLevelType w:val="hybridMultilevel"/>
    <w:tmpl w:val="F59E4194"/>
    <w:lvl w:ilvl="0">
      <w:start w:val="1"/>
      <w:numFmt w:val="decimal"/>
      <w:lvlText w:val="%1."/>
      <w:lvlJc w:val="left"/>
      <w:pPr>
        <w:ind w:left="720" w:hanging="360"/>
      </w:pPr>
      <w:rPr>
        <w:b w:val="0"/>
        <w:bCs w:val="0"/>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9E51EF2"/>
    <w:multiLevelType w:val="hybridMultilevel"/>
    <w:tmpl w:val="E8D6F22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8"/>
  </w:num>
  <w:num w:numId="2">
    <w:abstractNumId w:val="8"/>
  </w:num>
  <w:num w:numId="3">
    <w:abstractNumId w:val="9"/>
  </w:num>
  <w:num w:numId="4">
    <w:abstractNumId w:val="0"/>
  </w:num>
  <w:num w:numId="5">
    <w:abstractNumId w:val="11"/>
  </w:num>
  <w:num w:numId="6">
    <w:abstractNumId w:val="4"/>
  </w:num>
  <w:num w:numId="7">
    <w:abstractNumId w:val="2"/>
  </w:num>
  <w:num w:numId="8">
    <w:abstractNumId w:val="7"/>
  </w:num>
  <w:num w:numId="9">
    <w:abstractNumId w:val="10"/>
  </w:num>
  <w:num w:numId="10">
    <w:abstractNumId w:val="5"/>
  </w:num>
  <w:num w:numId="11">
    <w:abstractNumId w:val="13"/>
  </w:num>
  <w:num w:numId="12">
    <w:abstractNumId w:val="19"/>
  </w:num>
  <w:num w:numId="13">
    <w:abstractNumId w:val="14"/>
  </w:num>
  <w:num w:numId="14">
    <w:abstractNumId w:val="17"/>
  </w:num>
  <w:num w:numId="15">
    <w:abstractNumId w:val="6"/>
  </w:num>
  <w:num w:numId="16">
    <w:abstractNumId w:val="15"/>
  </w:num>
  <w:num w:numId="17">
    <w:abstractNumId w:val="16"/>
  </w:num>
  <w:num w:numId="18">
    <w:abstractNumId w:val="3"/>
  </w:num>
  <w:num w:numId="19">
    <w:abstractNumId w:val="1"/>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740627"/>
    <w:rPr>
      <w:rFonts w:ascii="Arial" w:hAnsi="Arial"/>
    </w:rPr>
  </w:style>
  <w:style w:type="paragraph" w:styleId="Heading1">
    <w:name w:val="heading 1"/>
    <w:basedOn w:val="Normal"/>
    <w:next w:val="Normal"/>
    <w:link w:val="Heading1Char"/>
    <w:uiPriority w:val="9"/>
    <w:qFormat/>
    <w:rsid w:val="00740627"/>
    <w:pPr>
      <w:keepNext/>
      <w:keepLines/>
      <w:spacing w:before="240" w:after="0"/>
      <w:outlineLvl w:val="0"/>
    </w:pPr>
    <w:rPr>
      <w:rFonts w:eastAsiaTheme="majorEastAsia" w:cstheme="majorBidi"/>
      <w:b/>
      <w:color w:val="412468" w:themeColor="text2"/>
      <w:sz w:val="36"/>
      <w:szCs w:val="32"/>
    </w:rPr>
  </w:style>
  <w:style w:type="paragraph" w:styleId="Heading2">
    <w:name w:val="heading 2"/>
    <w:basedOn w:val="Normal"/>
    <w:next w:val="Normal"/>
    <w:link w:val="Heading2Char"/>
    <w:uiPriority w:val="9"/>
    <w:unhideWhenUsed/>
    <w:qFormat/>
    <w:rsid w:val="00740627"/>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740627"/>
    <w:pPr>
      <w:keepNext/>
      <w:keepLines/>
      <w:spacing w:before="40" w:after="0"/>
      <w:outlineLvl w:val="2"/>
    </w:pPr>
    <w:rPr>
      <w:rFonts w:eastAsiaTheme="majorEastAsia" w:cstheme="majorBidi"/>
      <w:b/>
      <w:color w:val="412468" w:themeColor="text2"/>
      <w:sz w:val="28"/>
      <w:szCs w:val="24"/>
    </w:rPr>
  </w:style>
  <w:style w:type="paragraph" w:styleId="Heading4">
    <w:name w:val="heading 4"/>
    <w:basedOn w:val="Normal"/>
    <w:next w:val="Normal"/>
    <w:link w:val="Heading4Char"/>
    <w:uiPriority w:val="9"/>
    <w:unhideWhenUsed/>
    <w:qFormat/>
    <w:rsid w:val="00740627"/>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semiHidden/>
    <w:unhideWhenUsed/>
    <w:rsid w:val="00D06CD1"/>
    <w:pPr>
      <w:keepNext/>
      <w:keepLines/>
      <w:spacing w:before="80" w:after="40"/>
      <w:outlineLvl w:val="4"/>
    </w:pPr>
    <w:rPr>
      <w:rFonts w:asciiTheme="minorHAnsi" w:eastAsiaTheme="majorEastAsia" w:hAnsiTheme="minorHAnsi" w:cstheme="majorBidi"/>
      <w:color w:val="323E4F" w:themeColor="accent1" w:themeShade="BF"/>
    </w:rPr>
  </w:style>
  <w:style w:type="paragraph" w:styleId="Heading6">
    <w:name w:val="heading 6"/>
    <w:basedOn w:val="Normal"/>
    <w:next w:val="Normal"/>
    <w:link w:val="Heading6Char"/>
    <w:uiPriority w:val="9"/>
    <w:semiHidden/>
    <w:unhideWhenUsed/>
    <w:rsid w:val="00D06CD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rsid w:val="00D06CD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rsid w:val="00D06CD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6CD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ist">
    <w:name w:val="Numbered list"/>
    <w:basedOn w:val="ListParagraph"/>
    <w:link w:val="NumberedlistChar"/>
    <w:qFormat/>
    <w:rsid w:val="00740627"/>
    <w:pPr>
      <w:numPr>
        <w:numId w:val="2"/>
      </w:numPr>
    </w:pPr>
  </w:style>
  <w:style w:type="character" w:customStyle="1" w:styleId="NumberedlistChar">
    <w:name w:val="Numbered list Char"/>
    <w:basedOn w:val="ListParagraphChar"/>
    <w:link w:val="Numberedlist"/>
    <w:rsid w:val="00740627"/>
    <w:rPr>
      <w:rFonts w:ascii="Arial" w:hAnsi="Arial"/>
    </w:rPr>
  </w:style>
  <w:style w:type="paragraph" w:styleId="ListParagraph">
    <w:name w:val="List Paragraph"/>
    <w:basedOn w:val="Normal"/>
    <w:link w:val="ListParagraphChar"/>
    <w:uiPriority w:val="34"/>
    <w:qFormat/>
    <w:rsid w:val="00740627"/>
    <w:pPr>
      <w:ind w:left="720"/>
      <w:contextualSpacing/>
    </w:pPr>
  </w:style>
  <w:style w:type="character" w:customStyle="1" w:styleId="Heading1Char">
    <w:name w:val="Heading 1 Char"/>
    <w:basedOn w:val="DefaultParagraphFont"/>
    <w:link w:val="Heading1"/>
    <w:uiPriority w:val="9"/>
    <w:rsid w:val="00740627"/>
    <w:rPr>
      <w:rFonts w:ascii="Arial" w:hAnsi="Arial" w:eastAsiaTheme="majorEastAsia" w:cstheme="majorBidi"/>
      <w:b/>
      <w:color w:val="412468" w:themeColor="text2"/>
      <w:sz w:val="36"/>
      <w:szCs w:val="32"/>
    </w:rPr>
  </w:style>
  <w:style w:type="character" w:customStyle="1" w:styleId="Heading2Char">
    <w:name w:val="Heading 2 Char"/>
    <w:basedOn w:val="DefaultParagraphFont"/>
    <w:link w:val="Heading2"/>
    <w:uiPriority w:val="9"/>
    <w:rsid w:val="00740627"/>
    <w:rPr>
      <w:rFonts w:ascii="Arial" w:hAnsi="Arial" w:eastAsiaTheme="majorEastAsia" w:cstheme="majorBidi"/>
      <w:b/>
      <w:sz w:val="32"/>
      <w:szCs w:val="26"/>
    </w:rPr>
  </w:style>
  <w:style w:type="character" w:customStyle="1" w:styleId="Heading3Char">
    <w:name w:val="Heading 3 Char"/>
    <w:basedOn w:val="DefaultParagraphFont"/>
    <w:link w:val="Heading3"/>
    <w:uiPriority w:val="9"/>
    <w:rsid w:val="00740627"/>
    <w:rPr>
      <w:rFonts w:ascii="Arial" w:hAnsi="Arial" w:eastAsiaTheme="majorEastAsia" w:cstheme="majorBidi"/>
      <w:b/>
      <w:color w:val="412468" w:themeColor="text2"/>
      <w:sz w:val="28"/>
      <w:szCs w:val="24"/>
    </w:rPr>
  </w:style>
  <w:style w:type="character" w:customStyle="1" w:styleId="Heading4Char">
    <w:name w:val="Heading 4 Char"/>
    <w:basedOn w:val="DefaultParagraphFont"/>
    <w:link w:val="Heading4"/>
    <w:uiPriority w:val="9"/>
    <w:rsid w:val="00740627"/>
    <w:rPr>
      <w:rFonts w:ascii="Arial" w:hAnsi="Arial" w:eastAsiaTheme="majorEastAsia" w:cstheme="majorBidi"/>
      <w:b/>
      <w:iCs/>
    </w:rPr>
  </w:style>
  <w:style w:type="character" w:customStyle="1" w:styleId="ListParagraphChar">
    <w:name w:val="List Paragraph Char"/>
    <w:basedOn w:val="DefaultParagraphFont"/>
    <w:link w:val="ListParagraph"/>
    <w:uiPriority w:val="34"/>
    <w:rsid w:val="00740627"/>
    <w:rPr>
      <w:rFonts w:ascii="Arial" w:hAnsi="Arial"/>
    </w:rPr>
  </w:style>
  <w:style w:type="character" w:customStyle="1" w:styleId="Heading5Char">
    <w:name w:val="Heading 5 Char"/>
    <w:basedOn w:val="DefaultParagraphFont"/>
    <w:link w:val="Heading5"/>
    <w:uiPriority w:val="9"/>
    <w:semiHidden/>
    <w:rsid w:val="00D06CD1"/>
    <w:rPr>
      <w:rFonts w:eastAsiaTheme="majorEastAsia" w:cstheme="majorBidi"/>
      <w:color w:val="323E4F" w:themeColor="accent1" w:themeShade="BF"/>
    </w:rPr>
  </w:style>
  <w:style w:type="character" w:customStyle="1" w:styleId="Heading6Char">
    <w:name w:val="Heading 6 Char"/>
    <w:basedOn w:val="DefaultParagraphFont"/>
    <w:link w:val="Heading6"/>
    <w:uiPriority w:val="9"/>
    <w:semiHidden/>
    <w:rsid w:val="00D06C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C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C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CD1"/>
    <w:rPr>
      <w:rFonts w:eastAsiaTheme="majorEastAsia" w:cstheme="majorBidi"/>
      <w:color w:val="272727" w:themeColor="text1" w:themeTint="D8"/>
    </w:rPr>
  </w:style>
  <w:style w:type="paragraph" w:styleId="Title">
    <w:name w:val="Title"/>
    <w:basedOn w:val="Normal"/>
    <w:next w:val="Normal"/>
    <w:link w:val="TitleChar"/>
    <w:uiPriority w:val="10"/>
    <w:rsid w:val="00D06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D06CD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D06CD1"/>
    <w:pPr>
      <w:spacing w:before="160"/>
      <w:jc w:val="center"/>
    </w:pPr>
    <w:rPr>
      <w:i/>
      <w:iCs/>
      <w:color w:val="404040" w:themeColor="text1" w:themeTint="BF"/>
    </w:rPr>
  </w:style>
  <w:style w:type="character" w:customStyle="1" w:styleId="QuoteChar">
    <w:name w:val="Quote Char"/>
    <w:basedOn w:val="DefaultParagraphFont"/>
    <w:link w:val="Quote"/>
    <w:uiPriority w:val="29"/>
    <w:rsid w:val="00D06CD1"/>
    <w:rPr>
      <w:rFonts w:ascii="Arial" w:hAnsi="Arial"/>
      <w:i/>
      <w:iCs/>
      <w:color w:val="404040" w:themeColor="text1" w:themeTint="BF"/>
    </w:rPr>
  </w:style>
  <w:style w:type="character" w:styleId="IntenseEmphasis">
    <w:name w:val="Intense Emphasis"/>
    <w:basedOn w:val="DefaultParagraphFont"/>
    <w:uiPriority w:val="21"/>
    <w:rsid w:val="00D06CD1"/>
    <w:rPr>
      <w:i/>
      <w:iCs/>
      <w:color w:val="323E4F" w:themeColor="accent1" w:themeShade="BF"/>
    </w:rPr>
  </w:style>
  <w:style w:type="paragraph" w:styleId="IntenseQuote">
    <w:name w:val="Intense Quote"/>
    <w:basedOn w:val="Normal"/>
    <w:next w:val="Normal"/>
    <w:link w:val="IntenseQuoteChar"/>
    <w:uiPriority w:val="30"/>
    <w:rsid w:val="00D06CD1"/>
    <w:pPr>
      <w:pBdr>
        <w:top w:val="single" w:sz="4" w:space="10" w:color="323E4F" w:themeColor="accent1" w:themeShade="BF"/>
        <w:bottom w:val="single" w:sz="4" w:space="10" w:color="323E4F" w:themeColor="accent1" w:themeShade="BF"/>
      </w:pBdr>
      <w:spacing w:before="360" w:after="360"/>
      <w:ind w:left="864" w:right="864"/>
      <w:jc w:val="center"/>
    </w:pPr>
    <w:rPr>
      <w:i/>
      <w:iCs/>
      <w:color w:val="323E4F" w:themeColor="accent1" w:themeShade="BF"/>
    </w:rPr>
  </w:style>
  <w:style w:type="character" w:customStyle="1" w:styleId="IntenseQuoteChar">
    <w:name w:val="Intense Quote Char"/>
    <w:basedOn w:val="DefaultParagraphFont"/>
    <w:link w:val="IntenseQuote"/>
    <w:uiPriority w:val="30"/>
    <w:rsid w:val="00D06CD1"/>
    <w:rPr>
      <w:rFonts w:ascii="Arial" w:hAnsi="Arial"/>
      <w:i/>
      <w:iCs/>
      <w:color w:val="323E4F" w:themeColor="accent1" w:themeShade="BF"/>
    </w:rPr>
  </w:style>
  <w:style w:type="character" w:styleId="IntenseReference">
    <w:name w:val="Intense Reference"/>
    <w:basedOn w:val="DefaultParagraphFont"/>
    <w:uiPriority w:val="32"/>
    <w:rsid w:val="00D06CD1"/>
    <w:rPr>
      <w:b/>
      <w:bCs/>
      <w:smallCaps/>
      <w:color w:val="323E4F" w:themeColor="accent1" w:themeShade="BF"/>
      <w:spacing w:val="5"/>
    </w:rPr>
  </w:style>
  <w:style w:type="character" w:styleId="CommentReference">
    <w:name w:val="annotation reference"/>
    <w:basedOn w:val="DefaultParagraphFont"/>
    <w:uiPriority w:val="99"/>
    <w:semiHidden/>
    <w:unhideWhenUsed/>
    <w:rsid w:val="00D06CD1"/>
    <w:rPr>
      <w:sz w:val="16"/>
      <w:szCs w:val="16"/>
    </w:rPr>
  </w:style>
  <w:style w:type="paragraph" w:styleId="CommentText">
    <w:name w:val="annotation text"/>
    <w:basedOn w:val="Normal"/>
    <w:link w:val="CommentTextChar"/>
    <w:uiPriority w:val="99"/>
    <w:unhideWhenUsed/>
    <w:rsid w:val="00D06CD1"/>
    <w:pPr>
      <w:spacing w:line="240" w:lineRule="auto"/>
    </w:pPr>
    <w:rPr>
      <w:sz w:val="20"/>
      <w:szCs w:val="20"/>
    </w:rPr>
  </w:style>
  <w:style w:type="character" w:customStyle="1" w:styleId="CommentTextChar">
    <w:name w:val="Comment Text Char"/>
    <w:basedOn w:val="DefaultParagraphFont"/>
    <w:link w:val="CommentText"/>
    <w:uiPriority w:val="99"/>
    <w:rsid w:val="00D06CD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06CD1"/>
    <w:rPr>
      <w:b/>
      <w:bCs/>
    </w:rPr>
  </w:style>
  <w:style w:type="character" w:customStyle="1" w:styleId="CommentSubjectChar">
    <w:name w:val="Comment Subject Char"/>
    <w:basedOn w:val="CommentTextChar"/>
    <w:link w:val="CommentSubject"/>
    <w:uiPriority w:val="99"/>
    <w:semiHidden/>
    <w:rsid w:val="00D06CD1"/>
    <w:rPr>
      <w:rFonts w:ascii="Arial" w:hAnsi="Arial"/>
      <w:b/>
      <w:bCs/>
      <w:sz w:val="20"/>
      <w:szCs w:val="20"/>
    </w:rPr>
  </w:style>
  <w:style w:type="paragraph" w:styleId="NormalWeb">
    <w:name w:val="Normal (Web)"/>
    <w:basedOn w:val="Normal"/>
    <w:uiPriority w:val="99"/>
    <w:semiHidden/>
    <w:unhideWhenUsed/>
    <w:rsid w:val="00A77FEF"/>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BA66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6680"/>
    <w:rPr>
      <w:rFonts w:ascii="Arial" w:hAnsi="Arial"/>
      <w:sz w:val="20"/>
      <w:szCs w:val="20"/>
    </w:rPr>
  </w:style>
  <w:style w:type="character" w:styleId="FootnoteReference">
    <w:name w:val="footnote reference"/>
    <w:basedOn w:val="DefaultParagraphFont"/>
    <w:uiPriority w:val="99"/>
    <w:semiHidden/>
    <w:unhideWhenUsed/>
    <w:rsid w:val="00BA6680"/>
    <w:rPr>
      <w:vertAlign w:val="superscript"/>
    </w:rPr>
  </w:style>
  <w:style w:type="character" w:styleId="Hyperlink">
    <w:name w:val="Hyperlink"/>
    <w:basedOn w:val="DefaultParagraphFont"/>
    <w:uiPriority w:val="99"/>
    <w:unhideWhenUsed/>
    <w:rsid w:val="002B26F7"/>
    <w:rPr>
      <w:color w:val="0563C1" w:themeColor="hyperlink"/>
      <w:u w:val="single"/>
    </w:rPr>
  </w:style>
  <w:style w:type="character" w:customStyle="1" w:styleId="UnresolvedMention1">
    <w:name w:val="Unresolved Mention1"/>
    <w:basedOn w:val="DefaultParagraphFont"/>
    <w:uiPriority w:val="99"/>
    <w:semiHidden/>
    <w:unhideWhenUsed/>
    <w:rsid w:val="002B26F7"/>
    <w:rPr>
      <w:color w:val="605E5C"/>
      <w:shd w:val="clear" w:color="auto" w:fill="E1DFDD"/>
    </w:rPr>
  </w:style>
  <w:style w:type="paragraph" w:styleId="EndnoteText">
    <w:name w:val="endnote text"/>
    <w:basedOn w:val="Normal"/>
    <w:link w:val="EndnoteTextChar"/>
    <w:uiPriority w:val="99"/>
    <w:semiHidden/>
    <w:unhideWhenUsed/>
    <w:rsid w:val="002B26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26F7"/>
    <w:rPr>
      <w:rFonts w:ascii="Arial" w:hAnsi="Arial"/>
      <w:sz w:val="20"/>
      <w:szCs w:val="20"/>
    </w:rPr>
  </w:style>
  <w:style w:type="character" w:styleId="EndnoteReference">
    <w:name w:val="endnote reference"/>
    <w:basedOn w:val="DefaultParagraphFont"/>
    <w:uiPriority w:val="99"/>
    <w:semiHidden/>
    <w:unhideWhenUsed/>
    <w:rsid w:val="002B26F7"/>
    <w:rPr>
      <w:vertAlign w:val="superscript"/>
    </w:rPr>
  </w:style>
  <w:style w:type="paragraph" w:styleId="Header">
    <w:name w:val="header"/>
    <w:basedOn w:val="Normal"/>
    <w:link w:val="HeaderChar"/>
    <w:uiPriority w:val="99"/>
    <w:unhideWhenUsed/>
    <w:rsid w:val="00727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CE8"/>
    <w:rPr>
      <w:rFonts w:ascii="Arial" w:hAnsi="Arial"/>
    </w:rPr>
  </w:style>
  <w:style w:type="paragraph" w:styleId="Footer">
    <w:name w:val="footer"/>
    <w:basedOn w:val="Normal"/>
    <w:link w:val="FooterChar"/>
    <w:uiPriority w:val="99"/>
    <w:unhideWhenUsed/>
    <w:rsid w:val="00727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7CE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12468"/>
      </a:dk2>
      <a:lt2>
        <a:srgbClr val="E7E6E6"/>
      </a:lt2>
      <a:accent1>
        <a:srgbClr val="44546A"/>
      </a:accent1>
      <a:accent2>
        <a:srgbClr val="7F5CA3"/>
      </a:accent2>
      <a:accent3>
        <a:srgbClr val="A5A5A5"/>
      </a:accent3>
      <a:accent4>
        <a:srgbClr val="6BBFA3"/>
      </a:accent4>
      <a:accent5>
        <a:srgbClr val="FDC41F"/>
      </a:accent5>
      <a:accent6>
        <a:srgbClr val="00216E"/>
      </a:accent6>
      <a:hlink>
        <a:srgbClr val="0563C1"/>
      </a:hlink>
      <a:folHlink>
        <a:srgbClr val="954F72"/>
      </a:folHlink>
    </a:clrScheme>
    <a:fontScheme name="Custom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6B64F-458D-4F3C-B65C-0F17597A870E}">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