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6538" w:rsidRPr="00736538" w:rsidP="00736538">
      <w:pPr>
        <w:pStyle w:val="Heading1"/>
        <w:jc w:val="center"/>
        <w:rPr>
          <w:rFonts w:ascii="Calibri" w:hAnsi="Calibri" w:cs="Calibri"/>
          <w:b/>
          <w:bCs/>
          <w:color w:val="auto"/>
          <w:sz w:val="22"/>
          <w:szCs w:val="22"/>
        </w:rPr>
      </w:pPr>
      <w:r w:rsidRPr="00736538">
        <w:rPr>
          <w:rFonts w:ascii="Calibri" w:hAnsi="Calibri" w:cs="Calibri"/>
          <w:b/>
          <w:bCs/>
          <w:color w:val="auto"/>
          <w:sz w:val="22"/>
          <w:szCs w:val="22"/>
        </w:rPr>
        <w:t xml:space="preserve">Written evidence by </w:t>
      </w:r>
      <w:r w:rsidRPr="00736538">
        <w:rPr>
          <w:rFonts w:ascii="Calibri" w:hAnsi="Calibri" w:cs="Calibri"/>
          <w:b/>
          <w:bCs/>
          <w:color w:val="auto"/>
          <w:sz w:val="22"/>
          <w:szCs w:val="22"/>
        </w:rPr>
        <w:t>Policy Connect</w:t>
      </w:r>
      <w:r w:rsidRPr="00736538">
        <w:rPr>
          <w:rFonts w:ascii="Calibri" w:hAnsi="Calibri" w:cs="Calibri"/>
          <w:b/>
          <w:bCs/>
          <w:color w:val="auto"/>
          <w:sz w:val="22"/>
          <w:szCs w:val="22"/>
        </w:rPr>
        <w:t xml:space="preserve"> (HEF0083)</w:t>
      </w:r>
    </w:p>
    <w:p w:rsidR="00736538" w:rsidRPr="00736538" w:rsidP="00736538">
      <w:pPr>
        <w:rPr>
          <w:rFonts w:ascii="Calibri" w:hAnsi="Calibri" w:cs="Calibri"/>
          <w:sz w:val="22"/>
          <w:szCs w:val="22"/>
        </w:rPr>
      </w:pPr>
    </w:p>
    <w:p w:rsidR="00736538" w:rsidRPr="00736538" w:rsidP="00736538">
      <w:pPr>
        <w:spacing w:after="0"/>
        <w:rPr>
          <w:rFonts w:ascii="Calibri" w:hAnsi="Calibri" w:cs="Calibri"/>
          <w:b/>
          <w:bCs/>
          <w:sz w:val="22"/>
          <w:szCs w:val="22"/>
        </w:rPr>
      </w:pPr>
      <w:r w:rsidRPr="00736538">
        <w:rPr>
          <w:rFonts w:ascii="Calibri" w:hAnsi="Calibri" w:cs="Calibri"/>
          <w:b/>
          <w:bCs/>
          <w:sz w:val="22"/>
          <w:szCs w:val="22"/>
        </w:rPr>
        <w:t xml:space="preserve">Education Committee </w:t>
      </w:r>
    </w:p>
    <w:p w:rsidR="00736538" w:rsidRPr="00736538" w:rsidP="00736538">
      <w:pPr>
        <w:spacing w:after="0"/>
        <w:rPr>
          <w:rFonts w:ascii="Calibri" w:hAnsi="Calibri" w:cs="Calibri"/>
          <w:b/>
          <w:bCs/>
          <w:sz w:val="22"/>
          <w:szCs w:val="22"/>
        </w:rPr>
      </w:pPr>
      <w:r w:rsidRPr="00736538">
        <w:rPr>
          <w:rFonts w:ascii="Calibri" w:hAnsi="Calibri" w:cs="Calibri"/>
          <w:b/>
          <w:bCs/>
          <w:sz w:val="22"/>
          <w:szCs w:val="22"/>
        </w:rPr>
        <w:t xml:space="preserve">Higher Education and Funding: Threat of Insolvency and International Students </w:t>
      </w:r>
    </w:p>
    <w:p w:rsidR="00736538" w:rsidRPr="00736538" w:rsidP="00736538">
      <w:pPr>
        <w:rPr>
          <w:rFonts w:ascii="Calibri" w:hAnsi="Calibri" w:cs="Calibri"/>
          <w:sz w:val="22"/>
          <w:szCs w:val="22"/>
        </w:rPr>
      </w:pPr>
    </w:p>
    <w:p w:rsidR="00E97437" w:rsidRPr="00736538" w:rsidP="00067688">
      <w:pPr>
        <w:pStyle w:val="Heading1"/>
        <w:rPr>
          <w:rFonts w:ascii="Calibri" w:hAnsi="Calibri" w:cs="Calibri"/>
          <w:sz w:val="22"/>
          <w:szCs w:val="22"/>
        </w:rPr>
      </w:pPr>
      <w:r w:rsidRPr="00736538">
        <w:rPr>
          <w:rFonts w:ascii="Calibri" w:hAnsi="Calibri" w:cs="Calibri"/>
          <w:sz w:val="22"/>
          <w:szCs w:val="22"/>
        </w:rPr>
        <w:t>Submission of Evidence  </w:t>
      </w:r>
    </w:p>
    <w:p w:rsidR="00E97437" w:rsidRPr="00736538" w:rsidP="00067688">
      <w:pPr>
        <w:rPr>
          <w:rFonts w:ascii="Calibri" w:hAnsi="Calibri" w:cs="Calibri"/>
          <w:b/>
          <w:bCs/>
          <w:sz w:val="22"/>
          <w:szCs w:val="22"/>
        </w:rPr>
      </w:pPr>
      <w:r w:rsidRPr="00736538">
        <w:rPr>
          <w:rFonts w:ascii="Calibri" w:hAnsi="Calibri" w:cs="Calibri"/>
          <w:b/>
          <w:bCs/>
          <w:sz w:val="22"/>
          <w:szCs w:val="22"/>
        </w:rPr>
        <w:t>Higher Education and Funding: Threat of Insolvency and International Students</w:t>
      </w:r>
    </w:p>
    <w:p w:rsidR="00E97437" w:rsidRPr="00736538" w:rsidP="00067688">
      <w:pPr>
        <w:rPr>
          <w:rFonts w:ascii="Calibri" w:hAnsi="Calibri" w:cs="Calibri"/>
          <w:sz w:val="22"/>
          <w:szCs w:val="22"/>
        </w:rPr>
      </w:pPr>
      <w:r w:rsidRPr="00736538">
        <w:rPr>
          <w:rFonts w:ascii="Calibri" w:hAnsi="Calibri" w:cs="Calibri"/>
          <w:sz w:val="22"/>
          <w:szCs w:val="22"/>
        </w:rPr>
        <w:t>Policy Connect is a cross-party think tank. We specialise in supporting parliamentary groups, forums and commissions, delivering impactful policy research and event programmes and bringing together parliamentarians and government in collaboration with academia, business and civil society to help shape public policy in Westminster and Whitehall, so as to improve people’s lives. Our work focuses on five key policy areas: Education &amp; Skills; Industry, Technology &amp; Innovation; Sustainability; Health; and Assist</w:t>
      </w:r>
      <w:r w:rsidRPr="00736538">
        <w:rPr>
          <w:rFonts w:ascii="Calibri" w:hAnsi="Calibri" w:cs="Calibri"/>
          <w:sz w:val="22"/>
          <w:szCs w:val="22"/>
        </w:rPr>
        <w:t>ive &amp; Accessible Technology. </w:t>
      </w:r>
    </w:p>
    <w:p w:rsidR="00E97437" w:rsidRPr="00736538" w:rsidP="00454666">
      <w:pPr>
        <w:rPr>
          <w:rFonts w:ascii="Calibri" w:hAnsi="Calibri" w:cs="Calibri"/>
          <w:sz w:val="22"/>
          <w:szCs w:val="22"/>
        </w:rPr>
      </w:pPr>
      <w:r w:rsidRPr="00736538">
        <w:rPr>
          <w:rFonts w:ascii="Calibri" w:hAnsi="Calibri" w:cs="Calibri"/>
          <w:sz w:val="22"/>
          <w:szCs w:val="22"/>
        </w:rPr>
        <w:t xml:space="preserve">The </w:t>
      </w:r>
      <w:r w:rsidRPr="00736538">
        <w:rPr>
          <w:rFonts w:ascii="Calibri" w:hAnsi="Calibri" w:cs="Calibri"/>
          <w:sz w:val="22"/>
          <w:szCs w:val="22"/>
        </w:rPr>
        <w:t>Higher Education</w:t>
      </w:r>
      <w:r w:rsidRPr="00736538">
        <w:rPr>
          <w:rFonts w:ascii="Calibri" w:hAnsi="Calibri" w:cs="Calibri"/>
          <w:sz w:val="22"/>
          <w:szCs w:val="22"/>
        </w:rPr>
        <w:t xml:space="preserve"> Commission is an independent body comprising leading figures from across the education sector, industry and the major political parties. It conducts research inquiries into important issues in </w:t>
      </w:r>
      <w:r w:rsidRPr="00736538">
        <w:rPr>
          <w:rFonts w:ascii="Calibri" w:hAnsi="Calibri" w:cs="Calibri"/>
          <w:sz w:val="22"/>
          <w:szCs w:val="22"/>
        </w:rPr>
        <w:t xml:space="preserve">higher education, skills and training policy. </w:t>
      </w:r>
    </w:p>
    <w:p w:rsidR="00E97437" w:rsidRPr="00736538" w:rsidP="005D3E5B">
      <w:pPr>
        <w:pBdr>
          <w:bottom w:val="single" w:sz="4" w:space="1" w:color="auto"/>
        </w:pBdr>
        <w:rPr>
          <w:rFonts w:ascii="Calibri" w:hAnsi="Calibri" w:cs="Calibri"/>
          <w:sz w:val="22"/>
          <w:szCs w:val="22"/>
        </w:rPr>
      </w:pPr>
      <w:r w:rsidRPr="00736538">
        <w:rPr>
          <w:rFonts w:ascii="Calibri" w:hAnsi="Calibri" w:cs="Calibri"/>
          <w:sz w:val="22"/>
          <w:szCs w:val="22"/>
        </w:rPr>
        <w:t>We have responded to the questions within the consultation that are most relevant to our work</w:t>
      </w:r>
      <w:r w:rsidRPr="00736538">
        <w:rPr>
          <w:rFonts w:ascii="Calibri" w:hAnsi="Calibri" w:cs="Calibri"/>
          <w:sz w:val="22"/>
          <w:szCs w:val="22"/>
        </w:rPr>
        <w:t xml:space="preserve">, but in particular our 2018 report, </w:t>
      </w:r>
      <w:r>
        <w:fldChar w:fldCharType="begin"/>
      </w:r>
      <w:r>
        <w:instrText xml:space="preserve"> HYPERLINK "https://www.policyconnect.org.uk/news/he-commission-launches-staying-ahead-are-international-students-going-down-under" </w:instrText>
      </w:r>
      <w:r>
        <w:fldChar w:fldCharType="separate"/>
      </w:r>
      <w:r w:rsidRPr="00736538">
        <w:rPr>
          <w:rStyle w:val="Hyperlink"/>
          <w:rFonts w:ascii="Calibri" w:hAnsi="Calibri" w:cs="Calibri"/>
          <w:i/>
          <w:iCs/>
          <w:sz w:val="22"/>
          <w:szCs w:val="22"/>
        </w:rPr>
        <w:t xml:space="preserve">Staying Ahead: Are International Students Going Down Under? </w:t>
      </w:r>
      <w:r>
        <w:fldChar w:fldCharType="end"/>
      </w:r>
      <w:r w:rsidRPr="00736538">
        <w:rPr>
          <w:rFonts w:ascii="Calibri" w:hAnsi="Calibri" w:cs="Calibri"/>
          <w:sz w:val="22"/>
          <w:szCs w:val="22"/>
        </w:rPr>
        <w:t xml:space="preserve"> Since this body of work published, we’ve been hosting roundtables and meetings on the topic of international students in collaboration for the APPG for Skills, Careers and Employment. This submission is a culmination and summary of our findings. </w:t>
      </w:r>
      <w:r w:rsidRPr="00736538">
        <w:rPr>
          <w:rFonts w:ascii="Calibri" w:hAnsi="Calibri" w:cs="Calibri"/>
          <w:sz w:val="22"/>
          <w:szCs w:val="22"/>
        </w:rPr>
        <w:t>We would be very willing to expand on the report’s findings in an oral evidence session for the inquiry.</w:t>
      </w:r>
    </w:p>
    <w:p w:rsidR="00E97437" w:rsidRPr="00736538" w:rsidP="00067688">
      <w:pPr>
        <w:rPr>
          <w:rFonts w:ascii="Calibri" w:hAnsi="Calibri" w:cs="Calibri"/>
          <w:b/>
          <w:bCs/>
          <w:sz w:val="22"/>
          <w:szCs w:val="22"/>
        </w:rPr>
      </w:pPr>
      <w:r w:rsidRPr="00736538">
        <w:rPr>
          <w:rFonts w:ascii="Calibri" w:hAnsi="Calibri" w:cs="Calibri"/>
          <w:b/>
          <w:bCs/>
          <w:sz w:val="22"/>
          <w:szCs w:val="22"/>
        </w:rPr>
        <w:t xml:space="preserve">Impact of </w:t>
      </w:r>
      <w:r w:rsidRPr="00736538">
        <w:rPr>
          <w:rFonts w:ascii="Calibri" w:hAnsi="Calibri" w:cs="Calibri"/>
          <w:b/>
          <w:bCs/>
          <w:sz w:val="22"/>
          <w:szCs w:val="22"/>
        </w:rPr>
        <w:t>Government Policy on International Students</w:t>
      </w:r>
    </w:p>
    <w:p w:rsidR="00E97437" w:rsidRPr="00736538" w:rsidP="00067688">
      <w:pPr>
        <w:rPr>
          <w:rFonts w:ascii="Calibri" w:hAnsi="Calibri" w:cs="Calibri"/>
          <w:sz w:val="22"/>
          <w:szCs w:val="22"/>
        </w:rPr>
      </w:pPr>
      <w:r w:rsidRPr="00736538">
        <w:rPr>
          <w:rFonts w:ascii="Calibri" w:hAnsi="Calibri" w:cs="Calibri"/>
          <w:sz w:val="22"/>
          <w:szCs w:val="22"/>
        </w:rPr>
        <w:t xml:space="preserve">Q: </w:t>
      </w:r>
      <w:r w:rsidRPr="00736538">
        <w:rPr>
          <w:rFonts w:ascii="Calibri" w:hAnsi="Calibri" w:cs="Calibri"/>
          <w:sz w:val="22"/>
          <w:szCs w:val="22"/>
        </w:rPr>
        <w:t xml:space="preserve"> How will current Government policies affect the financial stability of higher education institutions?</w:t>
      </w:r>
    </w:p>
    <w:p w:rsidR="00E97437" w:rsidRPr="00736538" w:rsidP="00454666">
      <w:pPr>
        <w:pStyle w:val="ListParagraph"/>
        <w:numPr>
          <w:ilvl w:val="0"/>
          <w:numId w:val="1"/>
        </w:numPr>
        <w:rPr>
          <w:rFonts w:ascii="Calibri" w:hAnsi="Calibri" w:cs="Calibri"/>
          <w:i/>
          <w:iCs/>
          <w:sz w:val="22"/>
          <w:szCs w:val="22"/>
        </w:rPr>
      </w:pPr>
      <w:r w:rsidRPr="00736538">
        <w:rPr>
          <w:rFonts w:ascii="Calibri" w:hAnsi="Calibri" w:cs="Calibri"/>
          <w:i/>
          <w:iCs/>
          <w:sz w:val="22"/>
          <w:szCs w:val="22"/>
        </w:rPr>
        <w:t xml:space="preserve">Further risk of fragmentation in policy, mixed signals </w:t>
      </w:r>
    </w:p>
    <w:p w:rsidR="00E97437" w:rsidRPr="00736538" w:rsidP="00454666">
      <w:pPr>
        <w:rPr>
          <w:rFonts w:ascii="Calibri" w:hAnsi="Calibri" w:cs="Calibri"/>
          <w:sz w:val="22"/>
          <w:szCs w:val="22"/>
        </w:rPr>
      </w:pPr>
      <w:r>
        <w:fldChar w:fldCharType="begin"/>
      </w:r>
      <w:r>
        <w:instrText xml:space="preserve"> HYPERLINK "https://www.policyconnect.org.uk/news/he-commission-launches-staying-ahead-are-international-students-going-down-under" </w:instrText>
      </w:r>
      <w:r>
        <w:fldChar w:fldCharType="separate"/>
      </w:r>
      <w:r w:rsidRPr="00736538">
        <w:rPr>
          <w:rStyle w:val="Hyperlink"/>
          <w:rFonts w:ascii="Calibri" w:hAnsi="Calibri" w:cs="Calibri"/>
          <w:sz w:val="22"/>
          <w:szCs w:val="22"/>
        </w:rPr>
        <w:t>Staying Ahead</w:t>
      </w:r>
      <w:r>
        <w:fldChar w:fldCharType="end"/>
      </w:r>
      <w:r w:rsidRPr="00736538">
        <w:rPr>
          <w:rFonts w:ascii="Calibri" w:hAnsi="Calibri" w:cs="Calibri"/>
          <w:sz w:val="22"/>
          <w:szCs w:val="22"/>
        </w:rPr>
        <w:t xml:space="preserve"> identified that contradictory government policies and a lack of cross-departmental coordination are undermining the sector’s ability to compete internationally. While some departments support internationalisation, others impose immigration and visa restrictions</w:t>
      </w:r>
      <w:r w:rsidRPr="00736538">
        <w:rPr>
          <w:rFonts w:ascii="Calibri" w:hAnsi="Calibri" w:cs="Calibri"/>
          <w:sz w:val="22"/>
          <w:szCs w:val="22"/>
        </w:rPr>
        <w:t xml:space="preserve"> that increase bureaucratic burden</w:t>
      </w:r>
      <w:r w:rsidRPr="00736538">
        <w:rPr>
          <w:rFonts w:ascii="Calibri" w:hAnsi="Calibri" w:cs="Calibri"/>
          <w:sz w:val="22"/>
          <w:szCs w:val="22"/>
        </w:rPr>
        <w:t xml:space="preserve">. </w:t>
      </w:r>
      <w:r w:rsidRPr="00736538">
        <w:rPr>
          <w:rFonts w:ascii="Calibri" w:hAnsi="Calibri" w:cs="Calibri"/>
          <w:sz w:val="22"/>
          <w:szCs w:val="22"/>
        </w:rPr>
        <w:t>The sheer scale of administrative burden – both in scale and capital required – on universities should be acknowledged and proven to be a relatively short-term immediate solution to the ongoing financial crisis.  F</w:t>
      </w:r>
      <w:r w:rsidRPr="00736538">
        <w:rPr>
          <w:rFonts w:ascii="Calibri" w:hAnsi="Calibri" w:cs="Calibri"/>
          <w:sz w:val="22"/>
          <w:szCs w:val="22"/>
        </w:rPr>
        <w:t xml:space="preserve">or example, our 2024 report on </w:t>
      </w:r>
      <w:r>
        <w:fldChar w:fldCharType="begin"/>
      </w:r>
      <w:r>
        <w:instrText xml:space="preserve"> HYPERLINK "https://www.policyconnect.org.uk/research/digitally-enhanced-blended-learning-leveraging-benefits-technology-higher-education" </w:instrText>
      </w:r>
      <w:r>
        <w:fldChar w:fldCharType="separate"/>
      </w:r>
      <w:r w:rsidRPr="00736538">
        <w:rPr>
          <w:rStyle w:val="Hyperlink"/>
          <w:rFonts w:ascii="Calibri" w:hAnsi="Calibri" w:cs="Calibri"/>
          <w:sz w:val="22"/>
          <w:szCs w:val="22"/>
        </w:rPr>
        <w:t>Blended Learning</w:t>
      </w:r>
      <w:r>
        <w:fldChar w:fldCharType="end"/>
      </w:r>
      <w:r w:rsidRPr="00736538">
        <w:rPr>
          <w:rFonts w:ascii="Calibri" w:hAnsi="Calibri" w:cs="Calibri"/>
          <w:sz w:val="22"/>
          <w:szCs w:val="22"/>
        </w:rPr>
        <w:t xml:space="preserve"> found that strategic procurement decisions of digital technology, one of the key components needed to deliver post-pandemic higher education, </w:t>
      </w:r>
      <w:r w:rsidRPr="00736538">
        <w:rPr>
          <w:rFonts w:ascii="Calibri" w:hAnsi="Calibri" w:cs="Calibri"/>
          <w:sz w:val="22"/>
          <w:szCs w:val="22"/>
        </w:rPr>
        <w:t xml:space="preserve">is oftentimes financially arduous and places universities at a significant disadvantage due to rules such as framework agreement terms (which are often too short, and renewals are costly). These is just one puzzle in solving the financial </w:t>
      </w:r>
      <w:r w:rsidRPr="00736538">
        <w:rPr>
          <w:rFonts w:ascii="Calibri" w:hAnsi="Calibri" w:cs="Calibri"/>
          <w:sz w:val="22"/>
          <w:szCs w:val="22"/>
        </w:rPr>
        <w:t xml:space="preserve">crisis – but looking holistically across the system and the universities expenditure overall is as important as reforming tuition fees. </w:t>
      </w:r>
    </w:p>
    <w:p w:rsidR="00E97437" w:rsidRPr="00736538" w:rsidP="00454666">
      <w:pPr>
        <w:rPr>
          <w:rFonts w:ascii="Calibri" w:hAnsi="Calibri" w:cs="Calibri"/>
          <w:sz w:val="22"/>
          <w:szCs w:val="22"/>
        </w:rPr>
      </w:pPr>
      <w:r w:rsidRPr="00736538">
        <w:rPr>
          <w:rFonts w:ascii="Calibri" w:hAnsi="Calibri" w:cs="Calibri"/>
          <w:sz w:val="22"/>
          <w:szCs w:val="22"/>
        </w:rPr>
        <w:t xml:space="preserve">The </w:t>
      </w:r>
      <w:r w:rsidRPr="00736538">
        <w:rPr>
          <w:rFonts w:ascii="Calibri" w:hAnsi="Calibri" w:cs="Calibri"/>
          <w:b/>
          <w:bCs/>
          <w:sz w:val="22"/>
          <w:szCs w:val="22"/>
        </w:rPr>
        <w:t>proposed 6% levy</w:t>
      </w:r>
      <w:r w:rsidRPr="00736538">
        <w:rPr>
          <w:rFonts w:ascii="Calibri" w:hAnsi="Calibri" w:cs="Calibri"/>
          <w:sz w:val="22"/>
          <w:szCs w:val="22"/>
        </w:rPr>
        <w:t xml:space="preserve"> on international student fee income, outlined in the May 2025 Immigration White Paper, represents an additional threat to sector stability. This policy effectively penalises universities for successfully recruiting international students, creating perverse incentives within the system that could pose harms to the overall quality of education. </w:t>
      </w:r>
    </w:p>
    <w:p w:rsidR="00E97437" w:rsidRPr="00736538" w:rsidP="00454666">
      <w:pPr>
        <w:pStyle w:val="ListParagraph"/>
        <w:numPr>
          <w:ilvl w:val="0"/>
          <w:numId w:val="1"/>
        </w:numPr>
        <w:rPr>
          <w:rFonts w:ascii="Calibri" w:hAnsi="Calibri" w:cs="Calibri"/>
          <w:i/>
          <w:iCs/>
          <w:sz w:val="22"/>
          <w:szCs w:val="22"/>
        </w:rPr>
      </w:pPr>
      <w:r w:rsidRPr="00736538">
        <w:rPr>
          <w:rFonts w:ascii="Calibri" w:hAnsi="Calibri" w:cs="Calibri"/>
          <w:i/>
          <w:iCs/>
          <w:sz w:val="22"/>
          <w:szCs w:val="22"/>
        </w:rPr>
        <w:t>Immigration and Visa Policy</w:t>
      </w:r>
    </w:p>
    <w:p w:rsidR="00E97437" w:rsidRPr="00736538" w:rsidP="00E814D3">
      <w:pPr>
        <w:rPr>
          <w:rFonts w:ascii="Calibri" w:hAnsi="Calibri" w:cs="Calibri"/>
          <w:sz w:val="22"/>
          <w:szCs w:val="22"/>
        </w:rPr>
      </w:pPr>
      <w:r w:rsidRPr="00736538">
        <w:rPr>
          <w:rFonts w:ascii="Calibri" w:hAnsi="Calibri" w:cs="Calibri"/>
          <w:sz w:val="22"/>
          <w:szCs w:val="22"/>
        </w:rPr>
        <w:t xml:space="preserve">Tightening of visa rules, complexity in compliance requirements for Tier 4 sponsors, and a perceived lack of welcome to international students have directly affected international enrolment. The inability to present a consistent national message of welcome diminishes the UK’s global competitiveness and has already contributed to stagnation or decline in international student applications </w:t>
      </w:r>
      <w:r w:rsidRPr="00736538">
        <w:rPr>
          <w:rFonts w:ascii="Calibri" w:hAnsi="Calibri" w:cs="Calibri"/>
          <w:sz w:val="22"/>
          <w:szCs w:val="22"/>
        </w:rPr>
        <w:t>–</w:t>
      </w:r>
      <w:r w:rsidRPr="00736538">
        <w:rPr>
          <w:rFonts w:ascii="Calibri" w:hAnsi="Calibri" w:cs="Calibri"/>
          <w:sz w:val="22"/>
          <w:szCs w:val="22"/>
        </w:rPr>
        <w:t xml:space="preserve"> </w:t>
      </w:r>
    </w:p>
    <w:p w:rsidR="00E97437" w:rsidRPr="00736538" w:rsidP="00F42119">
      <w:pPr>
        <w:rPr>
          <w:rFonts w:ascii="Calibri" w:hAnsi="Calibri" w:cs="Calibri"/>
          <w:b/>
          <w:bCs/>
          <w:sz w:val="22"/>
          <w:szCs w:val="22"/>
        </w:rPr>
      </w:pPr>
      <w:r w:rsidRPr="00736538">
        <w:rPr>
          <w:rFonts w:ascii="Calibri" w:hAnsi="Calibri" w:cs="Calibri"/>
          <w:sz w:val="22"/>
          <w:szCs w:val="22"/>
        </w:rPr>
        <w:t>This a brief snapshot of Tier 4 Visa applications from 2024 – 2025</w:t>
      </w:r>
      <w:r w:rsidRPr="00736538">
        <w:rPr>
          <w:rFonts w:ascii="Calibri" w:hAnsi="Calibri" w:cs="Calibri"/>
          <w:sz w:val="22"/>
          <w:szCs w:val="22"/>
        </w:rPr>
        <w:t>.</w:t>
      </w:r>
      <w:r w:rsidRPr="00736538">
        <w:rPr>
          <w:rFonts w:ascii="Calibri" w:hAnsi="Calibri" w:cs="Calibri"/>
          <w:b/>
          <w:bCs/>
          <w:sz w:val="22"/>
          <w:szCs w:val="22"/>
        </w:rPr>
        <w:t xml:space="preserve"> </w:t>
      </w:r>
      <w:r w:rsidRPr="00736538">
        <w:rPr>
          <w:rFonts w:ascii="Calibri" w:hAnsi="Calibri" w:cs="Calibri"/>
          <w:sz w:val="22"/>
          <w:szCs w:val="22"/>
        </w:rPr>
        <w:t xml:space="preserve">(Data gathered from </w:t>
      </w:r>
      <w:r>
        <w:fldChar w:fldCharType="begin"/>
      </w:r>
      <w:r>
        <w:instrText xml:space="preserve"> HYPERLINK "https://www.gov.uk/government/statistics/monthly-entry-clearance-visa-application-may-2025/monthly-entry-clearance-visa-applications-may-2025" </w:instrText>
      </w:r>
      <w:r>
        <w:fldChar w:fldCharType="separate"/>
      </w:r>
      <w:r w:rsidRPr="00736538">
        <w:rPr>
          <w:rStyle w:val="Hyperlink"/>
          <w:rFonts w:ascii="Calibri" w:hAnsi="Calibri" w:cs="Calibri"/>
          <w:sz w:val="22"/>
          <w:szCs w:val="22"/>
        </w:rPr>
        <w:t>Home Office</w:t>
      </w:r>
      <w:r>
        <w:fldChar w:fldCharType="end"/>
      </w:r>
      <w:r w:rsidRPr="00736538">
        <w:rPr>
          <w:rFonts w:ascii="Calibri" w:hAnsi="Calibri" w:cs="Calibri"/>
          <w:sz w:val="22"/>
          <w:szCs w:val="22"/>
        </w:rPr>
        <w:t xml:space="preserve">) </w:t>
      </w:r>
    </w:p>
    <w:p w:rsidR="00E97437" w:rsidRPr="00736538" w:rsidP="00C80B1B">
      <w:pPr>
        <w:rPr>
          <w:rFonts w:ascii="Calibri" w:hAnsi="Calibri" w:cs="Calibri"/>
          <w:b/>
          <w:bCs/>
          <w:sz w:val="22"/>
          <w:szCs w:val="22"/>
        </w:rPr>
      </w:pPr>
      <w:r w:rsidRPr="00736538">
        <w:rPr>
          <w:rFonts w:ascii="Calibri" w:hAnsi="Calibri" w:cs="Calibri"/>
          <w:b/>
          <w:bCs/>
          <w:sz w:val="22"/>
          <w:szCs w:val="22"/>
        </w:rPr>
        <w:t>2025 Recovery: Student visa applications have shown substantial growth in 2025:</w:t>
      </w:r>
    </w:p>
    <w:p w:rsidR="00E97437" w:rsidRPr="00736538" w:rsidP="00F42119">
      <w:pPr>
        <w:numPr>
          <w:ilvl w:val="0"/>
          <w:numId w:val="6"/>
        </w:numPr>
        <w:spacing w:after="0"/>
        <w:rPr>
          <w:rFonts w:ascii="Calibri" w:hAnsi="Calibri" w:cs="Calibri"/>
          <w:sz w:val="22"/>
          <w:szCs w:val="22"/>
        </w:rPr>
      </w:pPr>
      <w:r w:rsidRPr="00736538">
        <w:rPr>
          <w:rFonts w:ascii="Calibri" w:hAnsi="Calibri" w:cs="Calibri"/>
          <w:sz w:val="22"/>
          <w:szCs w:val="22"/>
        </w:rPr>
        <w:t>29% increase in applications for the first five months of 2025 compared to the same period in 2024</w:t>
      </w:r>
      <w:r w:rsidRPr="00736538">
        <w:rPr>
          <w:rFonts w:ascii="Calibri" w:hAnsi="Calibri" w:cs="Calibri"/>
          <w:sz w:val="22"/>
          <w:szCs w:val="22"/>
        </w:rPr>
        <w:t xml:space="preserve">. </w:t>
      </w:r>
    </w:p>
    <w:p w:rsidR="00E97437" w:rsidRPr="00736538" w:rsidP="00F42119">
      <w:pPr>
        <w:numPr>
          <w:ilvl w:val="0"/>
          <w:numId w:val="6"/>
        </w:numPr>
        <w:spacing w:after="0"/>
        <w:rPr>
          <w:rFonts w:ascii="Calibri" w:hAnsi="Calibri" w:cs="Calibri"/>
          <w:sz w:val="22"/>
          <w:szCs w:val="22"/>
        </w:rPr>
      </w:pPr>
      <w:r w:rsidRPr="00736538">
        <w:rPr>
          <w:rFonts w:ascii="Calibri" w:hAnsi="Calibri" w:cs="Calibri"/>
          <w:sz w:val="22"/>
          <w:szCs w:val="22"/>
        </w:rPr>
        <w:t>76,400 students applied for UK visas in the first five months of 2025, up from approximately 59,200 in the same period of 2024 </w:t>
      </w:r>
    </w:p>
    <w:p w:rsidR="00E97437" w:rsidRPr="00736538" w:rsidP="00F42119">
      <w:pPr>
        <w:numPr>
          <w:ilvl w:val="0"/>
          <w:numId w:val="6"/>
        </w:numPr>
        <w:spacing w:after="0"/>
        <w:rPr>
          <w:rFonts w:ascii="Calibri" w:hAnsi="Calibri" w:cs="Calibri"/>
          <w:sz w:val="22"/>
          <w:szCs w:val="22"/>
        </w:rPr>
      </w:pPr>
      <w:r w:rsidRPr="00736538">
        <w:rPr>
          <w:rFonts w:ascii="Calibri" w:hAnsi="Calibri" w:cs="Calibri"/>
          <w:sz w:val="22"/>
          <w:szCs w:val="22"/>
        </w:rPr>
        <w:t>May 2025 alone saw 18,500 applications, representing a 19% increase over May 2024</w:t>
      </w:r>
      <w:r w:rsidRPr="00736538">
        <w:rPr>
          <w:rFonts w:ascii="Calibri" w:hAnsi="Calibri" w:cs="Calibri"/>
          <w:sz w:val="22"/>
          <w:szCs w:val="22"/>
        </w:rPr>
        <w:t xml:space="preserve">. </w:t>
      </w:r>
    </w:p>
    <w:p w:rsidR="00E97437" w:rsidRPr="00736538" w:rsidP="00C80B1B">
      <w:pPr>
        <w:rPr>
          <w:rFonts w:ascii="Calibri" w:hAnsi="Calibri" w:cs="Calibri"/>
          <w:b/>
          <w:bCs/>
          <w:sz w:val="22"/>
          <w:szCs w:val="22"/>
        </w:rPr>
      </w:pPr>
      <w:r w:rsidRPr="00736538">
        <w:rPr>
          <w:rFonts w:ascii="Calibri" w:hAnsi="Calibri" w:cs="Calibri"/>
          <w:b/>
          <w:bCs/>
          <w:sz w:val="22"/>
          <w:szCs w:val="22"/>
        </w:rPr>
        <w:t>2024 Baseline: The 2024 figures represented a significant decline:</w:t>
      </w:r>
    </w:p>
    <w:p w:rsidR="00E97437" w:rsidRPr="00736538" w:rsidP="00F42119">
      <w:pPr>
        <w:numPr>
          <w:ilvl w:val="0"/>
          <w:numId w:val="7"/>
        </w:numPr>
        <w:spacing w:after="0"/>
        <w:rPr>
          <w:rFonts w:ascii="Calibri" w:hAnsi="Calibri" w:cs="Calibri"/>
          <w:sz w:val="22"/>
          <w:szCs w:val="22"/>
        </w:rPr>
      </w:pPr>
      <w:r w:rsidRPr="00736538">
        <w:rPr>
          <w:rFonts w:ascii="Calibri" w:hAnsi="Calibri" w:cs="Calibri"/>
          <w:sz w:val="22"/>
          <w:szCs w:val="22"/>
        </w:rPr>
        <w:t>13.9% year-on-year decline in sponsored study visas in 2024 compared to 2023 </w:t>
      </w:r>
    </w:p>
    <w:p w:rsidR="00E97437" w:rsidRPr="00736538" w:rsidP="00F42119">
      <w:pPr>
        <w:numPr>
          <w:ilvl w:val="0"/>
          <w:numId w:val="7"/>
        </w:numPr>
        <w:spacing w:after="0"/>
        <w:rPr>
          <w:rFonts w:ascii="Calibri" w:hAnsi="Calibri" w:cs="Calibri"/>
          <w:sz w:val="22"/>
          <w:szCs w:val="22"/>
        </w:rPr>
      </w:pPr>
      <w:r w:rsidRPr="00736538">
        <w:rPr>
          <w:rFonts w:ascii="Calibri" w:hAnsi="Calibri" w:cs="Calibri"/>
          <w:sz w:val="22"/>
          <w:szCs w:val="22"/>
        </w:rPr>
        <w:t>Total of 393,125 sponsored study visas issued in 2024 (excluding dependents) </w:t>
      </w:r>
      <w:r w:rsidRPr="00736538">
        <w:rPr>
          <w:rFonts w:ascii="Calibri" w:hAnsi="Calibri" w:cs="Calibri"/>
          <w:sz w:val="22"/>
          <w:szCs w:val="22"/>
        </w:rPr>
        <w:t xml:space="preserve"> </w:t>
      </w:r>
    </w:p>
    <w:p w:rsidR="00E97437" w:rsidRPr="00736538" w:rsidP="00F42119">
      <w:pPr>
        <w:numPr>
          <w:ilvl w:val="0"/>
          <w:numId w:val="7"/>
        </w:numPr>
        <w:spacing w:after="0"/>
        <w:rPr>
          <w:rFonts w:ascii="Calibri" w:hAnsi="Calibri" w:cs="Calibri"/>
          <w:sz w:val="22"/>
          <w:szCs w:val="22"/>
        </w:rPr>
      </w:pPr>
      <w:r w:rsidRPr="00736538">
        <w:rPr>
          <w:rFonts w:ascii="Calibri" w:hAnsi="Calibri" w:cs="Calibri"/>
          <w:sz w:val="22"/>
          <w:szCs w:val="22"/>
        </w:rPr>
        <w:t>Applications fell by 17.1% in key months like August 2024 compared to August 2023</w:t>
      </w:r>
    </w:p>
    <w:p w:rsidR="00E97437" w:rsidRPr="00736538" w:rsidP="00C80B1B">
      <w:pPr>
        <w:rPr>
          <w:rFonts w:ascii="Calibri" w:hAnsi="Calibri" w:cs="Calibri"/>
          <w:b/>
          <w:bCs/>
          <w:sz w:val="22"/>
          <w:szCs w:val="22"/>
        </w:rPr>
      </w:pPr>
      <w:r w:rsidRPr="00736538">
        <w:rPr>
          <w:rFonts w:ascii="Calibri" w:hAnsi="Calibri" w:cs="Calibri"/>
          <w:b/>
          <w:bCs/>
          <w:sz w:val="22"/>
          <w:szCs w:val="22"/>
        </w:rPr>
        <w:t>Monthly Progression in 2025</w:t>
      </w:r>
    </w:p>
    <w:p w:rsidR="00E97437" w:rsidRPr="00736538" w:rsidP="00C80B1B">
      <w:pPr>
        <w:rPr>
          <w:rFonts w:ascii="Calibri" w:hAnsi="Calibri" w:cs="Calibri"/>
          <w:sz w:val="22"/>
          <w:szCs w:val="22"/>
        </w:rPr>
      </w:pPr>
      <w:r w:rsidRPr="00736538">
        <w:rPr>
          <w:rFonts w:ascii="Calibri" w:hAnsi="Calibri" w:cs="Calibri"/>
          <w:sz w:val="22"/>
          <w:szCs w:val="22"/>
        </w:rPr>
        <w:t>The recovery has been consistent throughout early 2025</w:t>
      </w:r>
    </w:p>
    <w:p w:rsidR="00E97437" w:rsidRPr="00736538" w:rsidP="00F42119">
      <w:pPr>
        <w:numPr>
          <w:ilvl w:val="0"/>
          <w:numId w:val="2"/>
        </w:numPr>
        <w:spacing w:after="0"/>
        <w:rPr>
          <w:rFonts w:ascii="Calibri" w:hAnsi="Calibri" w:cs="Calibri"/>
          <w:sz w:val="22"/>
          <w:szCs w:val="22"/>
        </w:rPr>
      </w:pPr>
      <w:r w:rsidRPr="00736538">
        <w:rPr>
          <w:rFonts w:ascii="Calibri" w:hAnsi="Calibri" w:cs="Calibri"/>
          <w:b/>
          <w:bCs/>
          <w:sz w:val="22"/>
          <w:szCs w:val="22"/>
        </w:rPr>
        <w:t>January 2025</w:t>
      </w:r>
      <w:r w:rsidRPr="00736538">
        <w:rPr>
          <w:rFonts w:ascii="Calibri" w:hAnsi="Calibri" w:cs="Calibri"/>
          <w:sz w:val="22"/>
          <w:szCs w:val="22"/>
        </w:rPr>
        <w:t>: 28,700 applications (13% increase over January 2024) </w:t>
      </w:r>
      <w:r w:rsidRPr="00736538">
        <w:rPr>
          <w:rFonts w:ascii="Calibri" w:hAnsi="Calibri" w:cs="Calibri"/>
          <w:sz w:val="22"/>
          <w:szCs w:val="22"/>
        </w:rPr>
        <w:t xml:space="preserve"> </w:t>
      </w:r>
    </w:p>
    <w:p w:rsidR="00E97437" w:rsidRPr="00736538" w:rsidP="00F42119">
      <w:pPr>
        <w:numPr>
          <w:ilvl w:val="0"/>
          <w:numId w:val="2"/>
        </w:numPr>
        <w:spacing w:after="0"/>
        <w:rPr>
          <w:rFonts w:ascii="Calibri" w:hAnsi="Calibri" w:cs="Calibri"/>
          <w:sz w:val="22"/>
          <w:szCs w:val="22"/>
        </w:rPr>
      </w:pPr>
      <w:r w:rsidRPr="00736538">
        <w:rPr>
          <w:rFonts w:ascii="Calibri" w:hAnsi="Calibri" w:cs="Calibri"/>
          <w:b/>
          <w:bCs/>
          <w:sz w:val="22"/>
          <w:szCs w:val="22"/>
        </w:rPr>
        <w:t>Q1 2025</w:t>
      </w:r>
      <w:r w:rsidRPr="00736538">
        <w:rPr>
          <w:rFonts w:ascii="Calibri" w:hAnsi="Calibri" w:cs="Calibri"/>
          <w:sz w:val="22"/>
          <w:szCs w:val="22"/>
        </w:rPr>
        <w:t>: 47,000 applications (32% increase over Q1 2024) </w:t>
      </w:r>
      <w:r w:rsidRPr="00736538">
        <w:rPr>
          <w:rFonts w:ascii="Calibri" w:hAnsi="Calibri" w:cs="Calibri"/>
          <w:sz w:val="22"/>
          <w:szCs w:val="22"/>
        </w:rPr>
        <w:t xml:space="preserve"> </w:t>
      </w:r>
    </w:p>
    <w:p w:rsidR="00E97437" w:rsidRPr="00736538" w:rsidP="00F42119">
      <w:pPr>
        <w:numPr>
          <w:ilvl w:val="0"/>
          <w:numId w:val="2"/>
        </w:numPr>
        <w:spacing w:after="0"/>
        <w:rPr>
          <w:rFonts w:ascii="Calibri" w:hAnsi="Calibri" w:cs="Calibri"/>
          <w:sz w:val="22"/>
          <w:szCs w:val="22"/>
        </w:rPr>
      </w:pPr>
      <w:r w:rsidRPr="00736538">
        <w:rPr>
          <w:rFonts w:ascii="Calibri" w:hAnsi="Calibri" w:cs="Calibri"/>
          <w:b/>
          <w:bCs/>
          <w:sz w:val="22"/>
          <w:szCs w:val="22"/>
        </w:rPr>
        <w:t>April 2025</w:t>
      </w:r>
      <w:r w:rsidRPr="00736538">
        <w:rPr>
          <w:rFonts w:ascii="Calibri" w:hAnsi="Calibri" w:cs="Calibri"/>
          <w:sz w:val="22"/>
          <w:szCs w:val="22"/>
        </w:rPr>
        <w:t>: 14,800 applications (35% increase over April 2024) </w:t>
      </w:r>
      <w:r w:rsidRPr="00736538">
        <w:rPr>
          <w:rFonts w:ascii="Calibri" w:hAnsi="Calibri" w:cs="Calibri"/>
          <w:sz w:val="22"/>
          <w:szCs w:val="22"/>
        </w:rPr>
        <w:t xml:space="preserve"> </w:t>
      </w:r>
    </w:p>
    <w:p w:rsidR="00E97437" w:rsidRPr="00736538" w:rsidP="00F42119">
      <w:pPr>
        <w:numPr>
          <w:ilvl w:val="0"/>
          <w:numId w:val="2"/>
        </w:numPr>
        <w:spacing w:after="0"/>
        <w:rPr>
          <w:rFonts w:ascii="Calibri" w:hAnsi="Calibri" w:cs="Calibri"/>
          <w:sz w:val="22"/>
          <w:szCs w:val="22"/>
        </w:rPr>
      </w:pPr>
      <w:r w:rsidRPr="00736538">
        <w:rPr>
          <w:rFonts w:ascii="Calibri" w:hAnsi="Calibri" w:cs="Calibri"/>
          <w:b/>
          <w:bCs/>
          <w:sz w:val="22"/>
          <w:szCs w:val="22"/>
        </w:rPr>
        <w:t>May 2025</w:t>
      </w:r>
      <w:r w:rsidRPr="00736538">
        <w:rPr>
          <w:rFonts w:ascii="Calibri" w:hAnsi="Calibri" w:cs="Calibri"/>
          <w:sz w:val="22"/>
          <w:szCs w:val="22"/>
        </w:rPr>
        <w:t>: 18,500 applications (19% increase over May 2024) </w:t>
      </w:r>
      <w:r w:rsidRPr="00736538">
        <w:rPr>
          <w:rFonts w:ascii="Calibri" w:hAnsi="Calibri" w:cs="Calibri"/>
          <w:sz w:val="22"/>
          <w:szCs w:val="22"/>
        </w:rPr>
        <w:t xml:space="preserve"> </w:t>
      </w:r>
    </w:p>
    <w:p w:rsidR="00E97437" w:rsidRPr="00736538" w:rsidP="00C80B1B">
      <w:pPr>
        <w:rPr>
          <w:rFonts w:ascii="Calibri" w:hAnsi="Calibri" w:cs="Calibri"/>
          <w:sz w:val="22"/>
          <w:szCs w:val="22"/>
        </w:rPr>
      </w:pPr>
      <w:r w:rsidRPr="00736538">
        <w:rPr>
          <w:rFonts w:ascii="Calibri" w:hAnsi="Calibri" w:cs="Calibri"/>
          <w:b/>
          <w:bCs/>
          <w:sz w:val="22"/>
          <w:szCs w:val="22"/>
        </w:rPr>
        <w:t>External factors</w:t>
      </w:r>
      <w:r w:rsidRPr="00736538">
        <w:rPr>
          <w:rFonts w:ascii="Calibri" w:hAnsi="Calibri" w:cs="Calibri"/>
          <w:sz w:val="22"/>
          <w:szCs w:val="22"/>
        </w:rPr>
        <w:t> contributing to the UK's appeal include:</w:t>
      </w:r>
    </w:p>
    <w:p w:rsidR="00E97437" w:rsidRPr="00736538" w:rsidP="00F42119">
      <w:pPr>
        <w:numPr>
          <w:ilvl w:val="0"/>
          <w:numId w:val="4"/>
        </w:numPr>
        <w:spacing w:after="0"/>
        <w:rPr>
          <w:rFonts w:ascii="Calibri" w:hAnsi="Calibri" w:cs="Calibri"/>
          <w:sz w:val="22"/>
          <w:szCs w:val="22"/>
        </w:rPr>
      </w:pPr>
      <w:r w:rsidRPr="00736538">
        <w:rPr>
          <w:rFonts w:ascii="Calibri" w:hAnsi="Calibri" w:cs="Calibri"/>
          <w:sz w:val="22"/>
          <w:szCs w:val="22"/>
        </w:rPr>
        <w:t>Stricter visa rules in competing destinations like Australia, Canada, and the US </w:t>
      </w:r>
    </w:p>
    <w:p w:rsidR="00E97437" w:rsidRPr="00736538" w:rsidP="00F42119">
      <w:pPr>
        <w:numPr>
          <w:ilvl w:val="0"/>
          <w:numId w:val="4"/>
        </w:numPr>
        <w:spacing w:after="0"/>
        <w:rPr>
          <w:rFonts w:ascii="Calibri" w:hAnsi="Calibri" w:cs="Calibri"/>
          <w:sz w:val="22"/>
          <w:szCs w:val="22"/>
        </w:rPr>
      </w:pPr>
      <w:r w:rsidRPr="00736538">
        <w:rPr>
          <w:rFonts w:ascii="Calibri" w:hAnsi="Calibri" w:cs="Calibri"/>
          <w:sz w:val="22"/>
          <w:szCs w:val="22"/>
        </w:rPr>
        <w:t xml:space="preserve">Political uncertainty in the United States leading </w:t>
      </w:r>
      <w:r w:rsidRPr="00736538">
        <w:rPr>
          <w:rFonts w:ascii="Calibri" w:hAnsi="Calibri" w:cs="Calibri"/>
          <w:sz w:val="22"/>
          <w:szCs w:val="22"/>
        </w:rPr>
        <w:t>students to seek safer, more stable options</w:t>
      </w:r>
    </w:p>
    <w:p w:rsidR="00E97437" w:rsidRPr="00736538" w:rsidP="00F42119">
      <w:pPr>
        <w:numPr>
          <w:ilvl w:val="0"/>
          <w:numId w:val="4"/>
        </w:numPr>
        <w:spacing w:after="0"/>
        <w:rPr>
          <w:rFonts w:ascii="Calibri" w:hAnsi="Calibri" w:cs="Calibri"/>
          <w:sz w:val="22"/>
          <w:szCs w:val="22"/>
        </w:rPr>
      </w:pPr>
      <w:r w:rsidRPr="00736538">
        <w:rPr>
          <w:rFonts w:ascii="Calibri" w:hAnsi="Calibri" w:cs="Calibri"/>
          <w:sz w:val="22"/>
          <w:szCs w:val="22"/>
        </w:rPr>
        <w:t>The UK maintaining its post-study work offer despite the reduction to 18 months</w:t>
      </w:r>
      <w:r w:rsidRPr="00736538">
        <w:rPr>
          <w:rFonts w:ascii="Calibri" w:hAnsi="Calibri" w:cs="Calibri"/>
          <w:sz w:val="22"/>
          <w:szCs w:val="22"/>
        </w:rPr>
        <w:t xml:space="preserve">. </w:t>
      </w:r>
    </w:p>
    <w:p w:rsidR="00E97437" w:rsidRPr="00736538" w:rsidP="00C80B1B">
      <w:pPr>
        <w:rPr>
          <w:rFonts w:ascii="Calibri" w:hAnsi="Calibri" w:cs="Calibri"/>
          <w:b/>
          <w:bCs/>
          <w:sz w:val="22"/>
          <w:szCs w:val="22"/>
        </w:rPr>
      </w:pPr>
      <w:r w:rsidRPr="00736538">
        <w:rPr>
          <w:rFonts w:ascii="Calibri" w:hAnsi="Calibri" w:cs="Calibri"/>
          <w:b/>
          <w:bCs/>
          <w:sz w:val="22"/>
          <w:szCs w:val="22"/>
        </w:rPr>
        <w:t>Important Caveats</w:t>
      </w:r>
    </w:p>
    <w:p w:rsidR="00E97437" w:rsidRPr="00736538" w:rsidP="00C80B1B">
      <w:pPr>
        <w:rPr>
          <w:rFonts w:ascii="Calibri" w:hAnsi="Calibri" w:cs="Calibri"/>
          <w:sz w:val="22"/>
          <w:szCs w:val="22"/>
        </w:rPr>
      </w:pPr>
      <w:r w:rsidRPr="00736538">
        <w:rPr>
          <w:rFonts w:ascii="Calibri" w:hAnsi="Calibri" w:cs="Calibri"/>
          <w:sz w:val="22"/>
          <w:szCs w:val="22"/>
        </w:rPr>
        <w:t xml:space="preserve">While the trend is positive, </w:t>
      </w:r>
      <w:r w:rsidRPr="00736538">
        <w:rPr>
          <w:rFonts w:ascii="Calibri" w:hAnsi="Calibri" w:cs="Calibri"/>
          <w:sz w:val="22"/>
          <w:szCs w:val="22"/>
        </w:rPr>
        <w:t>we</w:t>
      </w:r>
      <w:r w:rsidRPr="00736538">
        <w:rPr>
          <w:rFonts w:ascii="Calibri" w:hAnsi="Calibri" w:cs="Calibri"/>
          <w:sz w:val="22"/>
          <w:szCs w:val="22"/>
        </w:rPr>
        <w:t xml:space="preserve"> caution that:</w:t>
      </w:r>
    </w:p>
    <w:p w:rsidR="00E97437" w:rsidRPr="00736538" w:rsidP="00F42119">
      <w:pPr>
        <w:numPr>
          <w:ilvl w:val="0"/>
          <w:numId w:val="5"/>
        </w:numPr>
        <w:spacing w:after="0"/>
        <w:rPr>
          <w:rFonts w:ascii="Calibri" w:hAnsi="Calibri" w:cs="Calibri"/>
          <w:sz w:val="22"/>
          <w:szCs w:val="22"/>
        </w:rPr>
      </w:pPr>
      <w:r w:rsidRPr="00736538">
        <w:rPr>
          <w:rFonts w:ascii="Calibri" w:hAnsi="Calibri" w:cs="Calibri"/>
          <w:sz w:val="22"/>
          <w:szCs w:val="22"/>
        </w:rPr>
        <w:t>June 2025 saw the </w:t>
      </w:r>
      <w:r w:rsidRPr="00736538">
        <w:rPr>
          <w:rFonts w:ascii="Calibri" w:hAnsi="Calibri" w:cs="Calibri"/>
          <w:b/>
          <w:bCs/>
          <w:sz w:val="22"/>
          <w:szCs w:val="22"/>
        </w:rPr>
        <w:t>first year-on-year decline</w:t>
      </w:r>
      <w:r w:rsidRPr="00736538">
        <w:rPr>
          <w:rFonts w:ascii="Calibri" w:hAnsi="Calibri" w:cs="Calibri"/>
          <w:sz w:val="22"/>
          <w:szCs w:val="22"/>
        </w:rPr>
        <w:t> in six months, suggesting the recovery may be fragile </w:t>
      </w:r>
      <w:r>
        <w:rPr>
          <w:rStyle w:val="FootnoteReference"/>
          <w:rFonts w:ascii="Calibri" w:hAnsi="Calibri" w:cs="Calibri"/>
          <w:sz w:val="22"/>
          <w:szCs w:val="22"/>
        </w:rPr>
        <w:footnoteReference w:id="2"/>
      </w:r>
    </w:p>
    <w:p w:rsidR="00E97437" w:rsidRPr="00736538" w:rsidP="00F42119">
      <w:pPr>
        <w:numPr>
          <w:ilvl w:val="0"/>
          <w:numId w:val="5"/>
        </w:numPr>
        <w:spacing w:after="0"/>
        <w:rPr>
          <w:rFonts w:ascii="Calibri" w:hAnsi="Calibri" w:cs="Calibri"/>
          <w:sz w:val="22"/>
          <w:szCs w:val="22"/>
        </w:rPr>
      </w:pPr>
      <w:r w:rsidRPr="00736538">
        <w:rPr>
          <w:rFonts w:ascii="Calibri" w:hAnsi="Calibri" w:cs="Calibri"/>
          <w:sz w:val="22"/>
          <w:szCs w:val="22"/>
        </w:rPr>
        <w:t>Many students are "casting a wide net" and applying to multiple countries simultaneously </w:t>
      </w:r>
    </w:p>
    <w:p w:rsidR="00E97437" w:rsidRPr="00736538" w:rsidP="00F42119">
      <w:pPr>
        <w:numPr>
          <w:ilvl w:val="0"/>
          <w:numId w:val="5"/>
        </w:numPr>
        <w:spacing w:after="0"/>
        <w:rPr>
          <w:rFonts w:ascii="Calibri" w:hAnsi="Calibri" w:cs="Calibri"/>
          <w:sz w:val="22"/>
          <w:szCs w:val="22"/>
        </w:rPr>
      </w:pPr>
      <w:r w:rsidRPr="00736538">
        <w:rPr>
          <w:rFonts w:ascii="Calibri" w:hAnsi="Calibri" w:cs="Calibri"/>
          <w:sz w:val="22"/>
          <w:szCs w:val="22"/>
        </w:rPr>
        <w:t>The full impact of the May 2025 Immigration White Paper restrictions may not yet be reflected in the dat</w:t>
      </w:r>
      <w:r w:rsidRPr="00736538">
        <w:rPr>
          <w:rFonts w:ascii="Calibri" w:hAnsi="Calibri" w:cs="Calibri"/>
          <w:sz w:val="22"/>
          <w:szCs w:val="22"/>
        </w:rPr>
        <w:t xml:space="preserve">a. </w:t>
      </w:r>
    </w:p>
    <w:p w:rsidR="00E97437" w:rsidRPr="00736538" w:rsidP="00454666">
      <w:pPr>
        <w:pStyle w:val="ListParagraph"/>
        <w:numPr>
          <w:ilvl w:val="0"/>
          <w:numId w:val="1"/>
        </w:numPr>
        <w:rPr>
          <w:rFonts w:ascii="Calibri" w:hAnsi="Calibri" w:cs="Calibri"/>
          <w:i/>
          <w:iCs/>
          <w:sz w:val="22"/>
          <w:szCs w:val="22"/>
        </w:rPr>
      </w:pPr>
      <w:r w:rsidRPr="00736538">
        <w:rPr>
          <w:rFonts w:ascii="Calibri" w:hAnsi="Calibri" w:cs="Calibri"/>
          <w:i/>
          <w:iCs/>
          <w:sz w:val="22"/>
          <w:szCs w:val="22"/>
        </w:rPr>
        <w:t xml:space="preserve">Lack of Diversification / Overreliance </w:t>
      </w:r>
    </w:p>
    <w:p w:rsidR="00E97437" w:rsidRPr="00736538" w:rsidP="00E814D3">
      <w:pPr>
        <w:rPr>
          <w:rFonts w:ascii="Calibri" w:hAnsi="Calibri" w:cs="Calibri"/>
          <w:sz w:val="22"/>
          <w:szCs w:val="22"/>
        </w:rPr>
      </w:pPr>
      <w:r w:rsidRPr="00736538">
        <w:rPr>
          <w:rFonts w:ascii="Calibri" w:hAnsi="Calibri" w:cs="Calibri"/>
          <w:sz w:val="22"/>
          <w:szCs w:val="22"/>
        </w:rPr>
        <w:t xml:space="preserve">The financial pressure created by reduced international student income has made tuition fee increases inevitable, despite their political sensitivity. The modest increase from £9,250 to £9,535 for 2025-26 represents the first rise since 2017, but this adjustment barely addresses the real-terms decline in funding over nearly eight years. </w:t>
      </w:r>
    </w:p>
    <w:p w:rsidR="00E97437" w:rsidRPr="00736538" w:rsidP="00C80B1B">
      <w:pPr>
        <w:rPr>
          <w:rFonts w:ascii="Calibri" w:hAnsi="Calibri" w:cs="Calibri"/>
          <w:sz w:val="22"/>
          <w:szCs w:val="22"/>
        </w:rPr>
      </w:pPr>
      <w:r w:rsidRPr="00736538">
        <w:rPr>
          <w:rFonts w:ascii="Calibri" w:hAnsi="Calibri" w:cs="Calibri"/>
          <w:sz w:val="22"/>
          <w:szCs w:val="22"/>
        </w:rPr>
        <w:t>The interaction between declining international income and domestic fee constraints creates an unsustainable funding model. With international students previously cross-subsidising domestic education and research activities, their reduced numbers necessitate either higher domestic fees, reduced educational quality, or both. The Office for Students has warned that institutions are already closing courses and selling buildings to cut costs, but these measures alone cannot address the scale of the funding chal</w:t>
      </w:r>
      <w:r w:rsidRPr="00736538">
        <w:rPr>
          <w:rFonts w:ascii="Calibri" w:hAnsi="Calibri" w:cs="Calibri"/>
          <w:sz w:val="22"/>
          <w:szCs w:val="22"/>
        </w:rPr>
        <w:t xml:space="preserve">lenge. There are two viable options for funding model reform: either reforming the current funding model by balancing immigration policies to allow for international student growth or provide increased public funding through higher domestic fees and grants. </w:t>
      </w:r>
    </w:p>
    <w:p w:rsidR="00E97437" w:rsidRPr="00736538">
      <w:pPr>
        <w:rPr>
          <w:rFonts w:ascii="Calibri" w:hAnsi="Calibri" w:cs="Calibri"/>
          <w:sz w:val="22"/>
          <w:szCs w:val="22"/>
        </w:rPr>
      </w:pPr>
      <w:r w:rsidRPr="00736538">
        <w:rPr>
          <w:rFonts w:ascii="Calibri" w:hAnsi="Calibri" w:cs="Calibri"/>
          <w:sz w:val="22"/>
          <w:szCs w:val="22"/>
        </w:rPr>
        <w:t xml:space="preserve">The current regulatory framework provides inadequate protection for students and staff in insolvency scenarios. Unlike private companies, universities do not fall under standard insolvency legislation, meaning processes like administration and company voluntary arrangements are not available as a matter of law. The only current option is compulsory liquidation, which is unsuitable for continuing educational provision. This regulatory gap means there is effectively "no formal protection for students" should </w:t>
      </w:r>
      <w:r w:rsidRPr="00736538">
        <w:rPr>
          <w:rFonts w:ascii="Calibri" w:hAnsi="Calibri" w:cs="Calibri"/>
          <w:sz w:val="22"/>
          <w:szCs w:val="22"/>
        </w:rPr>
        <w:t>an institution fail</w:t>
      </w:r>
      <w:r w:rsidRPr="00736538">
        <w:rPr>
          <w:rFonts w:ascii="Calibri" w:hAnsi="Calibri" w:cs="Calibri"/>
          <w:sz w:val="22"/>
          <w:szCs w:val="22"/>
        </w:rPr>
        <w:t xml:space="preserve">. </w:t>
      </w:r>
    </w:p>
    <w:p w:rsidR="00E97437" w:rsidRPr="00736538">
      <w:pPr>
        <w:rPr>
          <w:rFonts w:ascii="Calibri" w:hAnsi="Calibri" w:cs="Calibri"/>
          <w:b/>
          <w:bCs/>
          <w:sz w:val="22"/>
          <w:szCs w:val="22"/>
        </w:rPr>
      </w:pPr>
      <w:r w:rsidRPr="00736538">
        <w:rPr>
          <w:rFonts w:ascii="Calibri" w:hAnsi="Calibri" w:cs="Calibri"/>
          <w:b/>
          <w:bCs/>
          <w:sz w:val="22"/>
          <w:szCs w:val="22"/>
        </w:rPr>
        <w:t>Q: How do higher education institutions contribute to growth in their local economies, the provision of public services, and their wider communities?</w:t>
      </w:r>
    </w:p>
    <w:p w:rsidR="00E97437" w:rsidRPr="00736538">
      <w:pPr>
        <w:rPr>
          <w:rFonts w:ascii="Calibri" w:hAnsi="Calibri" w:cs="Calibri"/>
          <w:sz w:val="22"/>
          <w:szCs w:val="22"/>
        </w:rPr>
      </w:pPr>
      <w:r w:rsidRPr="00736538">
        <w:rPr>
          <w:rFonts w:ascii="Calibri" w:hAnsi="Calibri" w:cs="Calibri"/>
          <w:sz w:val="22"/>
          <w:szCs w:val="22"/>
        </w:rPr>
        <w:t>According to our 2022 report on the role of universities in boosting regional economies (</w:t>
      </w:r>
      <w:r>
        <w:fldChar w:fldCharType="begin"/>
      </w:r>
      <w:r>
        <w:instrText xml:space="preserve"> HYPERLINK "https://www.policyconnect.org.uk/research/empowering-innovation-role-universities-boosting-regional-economies" </w:instrText>
      </w:r>
      <w:r>
        <w:fldChar w:fldCharType="separate"/>
      </w:r>
      <w:r w:rsidRPr="00736538">
        <w:rPr>
          <w:rStyle w:val="Hyperlink"/>
          <w:rFonts w:ascii="Calibri" w:hAnsi="Calibri" w:cs="Calibri"/>
          <w:sz w:val="22"/>
          <w:szCs w:val="22"/>
        </w:rPr>
        <w:t>Empowering Innovation</w:t>
      </w:r>
      <w:r>
        <w:fldChar w:fldCharType="end"/>
      </w:r>
      <w:r w:rsidRPr="00736538">
        <w:rPr>
          <w:rFonts w:ascii="Calibri" w:hAnsi="Calibri" w:cs="Calibri"/>
          <w:sz w:val="22"/>
          <w:szCs w:val="22"/>
        </w:rPr>
        <w:t>), </w:t>
      </w:r>
      <w:r w:rsidRPr="00736538">
        <w:rPr>
          <w:rFonts w:ascii="Calibri" w:hAnsi="Calibri" w:cs="Calibri"/>
          <w:b/>
          <w:bCs/>
          <w:sz w:val="22"/>
          <w:szCs w:val="22"/>
        </w:rPr>
        <w:t>higher education institutions serve as fundamental anchor institutions</w:t>
      </w:r>
      <w:r w:rsidRPr="00736538">
        <w:rPr>
          <w:rFonts w:ascii="Calibri" w:hAnsi="Calibri" w:cs="Calibri"/>
          <w:sz w:val="22"/>
          <w:szCs w:val="22"/>
        </w:rPr>
        <w:t> that drive local economic growth, enhance public services, and strengthen communities through multiple interconnected mechanisms.</w:t>
      </w:r>
    </w:p>
    <w:p w:rsidR="00E97437" w:rsidRPr="00736538">
      <w:pPr>
        <w:rPr>
          <w:rFonts w:ascii="Calibri" w:hAnsi="Calibri" w:cs="Calibri"/>
          <w:sz w:val="22"/>
          <w:szCs w:val="22"/>
        </w:rPr>
      </w:pPr>
      <w:r w:rsidRPr="00736538">
        <w:rPr>
          <w:rFonts w:ascii="Calibri" w:hAnsi="Calibri" w:cs="Calibri"/>
          <w:sz w:val="22"/>
          <w:szCs w:val="22"/>
        </w:rPr>
        <w:t xml:space="preserve">Universities are major economic engines in their local areas, whether that be through substantial employment or spending. They provide stable, high-quality employment and generate significant economic multiplier effects through their operational spending. </w:t>
      </w:r>
    </w:p>
    <w:p w:rsidR="00E97437" w:rsidRPr="00736538">
      <w:pPr>
        <w:rPr>
          <w:rFonts w:ascii="Calibri" w:hAnsi="Calibri" w:cs="Calibri"/>
          <w:sz w:val="22"/>
          <w:szCs w:val="22"/>
        </w:rPr>
      </w:pPr>
      <w:r w:rsidRPr="00736538">
        <w:rPr>
          <w:rFonts w:ascii="Calibri" w:hAnsi="Calibri" w:cs="Calibri"/>
          <w:sz w:val="22"/>
          <w:szCs w:val="22"/>
        </w:rPr>
        <w:t xml:space="preserve">Stakeholders across the sector have also stated that universities help “crowd in” private sector investment by creating collaborative networks and providing research infrastructure. Public sector stimulus is critical in stimulating private sector co-investment – and in creating the foundations of vibrant ecosystems and research intensive, high value clusters. </w:t>
      </w:r>
    </w:p>
    <w:p w:rsidR="00E97437" w:rsidRPr="00736538">
      <w:pPr>
        <w:rPr>
          <w:rFonts w:ascii="Calibri" w:hAnsi="Calibri" w:cs="Calibri"/>
          <w:sz w:val="22"/>
          <w:szCs w:val="22"/>
        </w:rPr>
      </w:pPr>
      <w:r w:rsidRPr="00736538">
        <w:rPr>
          <w:rFonts w:ascii="Calibri" w:hAnsi="Calibri" w:cs="Calibri"/>
          <w:sz w:val="22"/>
          <w:szCs w:val="22"/>
        </w:rPr>
        <w:t xml:space="preserve">Case studies are detailed in the report, but an exemplary case would be the South Wales Semiconductor Cluster, where Cardiff University partnered with regional authorities and industry to </w:t>
      </w:r>
      <w:r w:rsidRPr="00736538">
        <w:rPr>
          <w:rFonts w:ascii="Calibri" w:hAnsi="Calibri" w:cs="Calibri"/>
          <w:sz w:val="22"/>
          <w:szCs w:val="22"/>
        </w:rPr>
        <w:t xml:space="preserve">create 1,500 jobs with plans for exponential expansion. </w:t>
      </w:r>
      <w:r w:rsidRPr="00736538">
        <w:rPr>
          <w:rFonts w:ascii="Calibri" w:hAnsi="Calibri" w:cs="Calibri"/>
          <w:sz w:val="22"/>
          <w:szCs w:val="22"/>
        </w:rPr>
        <w:t xml:space="preserve">In 2023, </w:t>
      </w:r>
      <w:r w:rsidRPr="00736538">
        <w:rPr>
          <w:rFonts w:ascii="Calibri" w:hAnsi="Calibri" w:cs="Calibri"/>
          <w:sz w:val="22"/>
          <w:szCs w:val="22"/>
        </w:rPr>
        <w:t xml:space="preserve">the figures for employed individuals </w:t>
      </w:r>
      <w:r w:rsidRPr="00736538">
        <w:rPr>
          <w:rFonts w:ascii="Calibri" w:hAnsi="Calibri" w:cs="Calibri"/>
          <w:sz w:val="22"/>
          <w:szCs w:val="22"/>
        </w:rPr>
        <w:t>were a total of</w:t>
      </w:r>
      <w:r w:rsidRPr="00736538">
        <w:rPr>
          <w:rFonts w:ascii="Calibri" w:hAnsi="Calibri" w:cs="Calibri"/>
          <w:sz w:val="22"/>
          <w:szCs w:val="22"/>
        </w:rPr>
        <w:t xml:space="preserve"> 1,773.</w:t>
      </w:r>
      <w:r>
        <w:rPr>
          <w:rStyle w:val="FootnoteReference"/>
          <w:rFonts w:ascii="Calibri" w:hAnsi="Calibri" w:cs="Calibri"/>
          <w:sz w:val="22"/>
          <w:szCs w:val="22"/>
        </w:rPr>
        <w:footnoteReference w:id="3"/>
      </w:r>
      <w:r w:rsidRPr="00736538">
        <w:rPr>
          <w:rFonts w:ascii="Calibri" w:hAnsi="Calibri" w:cs="Calibri"/>
          <w:sz w:val="22"/>
          <w:szCs w:val="22"/>
        </w:rPr>
        <w:t xml:space="preserve"> </w:t>
      </w:r>
    </w:p>
    <w:p w:rsidR="00E97437" w:rsidRPr="00736538">
      <w:pPr>
        <w:rPr>
          <w:rFonts w:ascii="Calibri" w:hAnsi="Calibri" w:cs="Calibri"/>
          <w:sz w:val="22"/>
          <w:szCs w:val="22"/>
        </w:rPr>
      </w:pPr>
      <w:r w:rsidRPr="00736538">
        <w:rPr>
          <w:rFonts w:ascii="Calibri" w:hAnsi="Calibri" w:cs="Calibri"/>
          <w:sz w:val="22"/>
          <w:szCs w:val="22"/>
        </w:rPr>
        <w:t xml:space="preserve">In the Secretary of State’s letter to the Education Select Committee, she detailed the need for the sector to “Make a stronger contribution to economic growth” and “play a greater civic role in their communities”. Our Empowering Innovation report found that universities could be further supported to meet these visions by: </w:t>
      </w:r>
    </w:p>
    <w:p w:rsidR="00E97437" w:rsidRPr="00736538" w:rsidP="005E66F8">
      <w:pPr>
        <w:pStyle w:val="ListParagraph"/>
        <w:numPr>
          <w:ilvl w:val="1"/>
          <w:numId w:val="5"/>
        </w:numPr>
        <w:rPr>
          <w:rFonts w:ascii="Calibri" w:hAnsi="Calibri" w:cs="Calibri"/>
          <w:sz w:val="22"/>
          <w:szCs w:val="22"/>
        </w:rPr>
      </w:pPr>
      <w:r w:rsidRPr="00736538">
        <w:rPr>
          <w:rFonts w:ascii="Calibri" w:hAnsi="Calibri" w:cs="Calibri"/>
          <w:sz w:val="22"/>
          <w:szCs w:val="22"/>
        </w:rPr>
        <w:t>The government should empower regional leaders to build capacity by using devolved funding programmes</w:t>
      </w:r>
      <w:r w:rsidRPr="00736538">
        <w:rPr>
          <w:rFonts w:ascii="Calibri" w:hAnsi="Calibri" w:cs="Calibri"/>
          <w:sz w:val="22"/>
          <w:szCs w:val="22"/>
        </w:rPr>
        <w:t xml:space="preserve"> to deliver innovation projects. These projects should form the basis of regional Innovation Deals to help grow</w:t>
      </w:r>
    </w:p>
    <w:p w:rsidR="00E97437" w:rsidRPr="00736538" w:rsidP="005E66F8">
      <w:pPr>
        <w:pStyle w:val="ListParagraph"/>
        <w:numPr>
          <w:ilvl w:val="1"/>
          <w:numId w:val="5"/>
        </w:numPr>
        <w:rPr>
          <w:rFonts w:ascii="Calibri" w:hAnsi="Calibri" w:cs="Calibri"/>
          <w:sz w:val="22"/>
          <w:szCs w:val="22"/>
        </w:rPr>
      </w:pPr>
      <w:r w:rsidRPr="00736538">
        <w:rPr>
          <w:rFonts w:ascii="Calibri" w:hAnsi="Calibri" w:cs="Calibri"/>
          <w:sz w:val="22"/>
          <w:szCs w:val="22"/>
        </w:rPr>
        <w:t xml:space="preserve">innovation initiatives, as delivered by Higher Education institutions.  </w:t>
      </w:r>
    </w:p>
    <w:p w:rsidR="00E97437" w:rsidRPr="00736538" w:rsidP="005E66F8">
      <w:pPr>
        <w:pStyle w:val="ListParagraph"/>
        <w:numPr>
          <w:ilvl w:val="1"/>
          <w:numId w:val="5"/>
        </w:numPr>
        <w:rPr>
          <w:rFonts w:ascii="Calibri" w:hAnsi="Calibri" w:cs="Calibri"/>
          <w:sz w:val="22"/>
          <w:szCs w:val="22"/>
        </w:rPr>
      </w:pPr>
      <w:r w:rsidRPr="00736538">
        <w:rPr>
          <w:rFonts w:ascii="Calibri" w:hAnsi="Calibri" w:cs="Calibri"/>
          <w:sz w:val="22"/>
          <w:szCs w:val="22"/>
        </w:rPr>
        <w:t>To boost regional development and increase commercialisation, the government should extend the geographical spread of existing Catapults, to target lower R&amp;D intensive areas. The government should also be ready to set up new sector-specific Catapults to take advantage of emerging technological and industrial opportunities. Promoting innovation capabilities in economically lagging regions should be added to the Catapult Network’s formal mission.</w:t>
      </w:r>
    </w:p>
    <w:p w:rsidR="00E97437" w:rsidRPr="00736538" w:rsidP="004813D2">
      <w:pPr>
        <w:rPr>
          <w:rFonts w:ascii="Calibri" w:hAnsi="Calibri" w:cs="Calibri"/>
          <w:sz w:val="22"/>
          <w:szCs w:val="22"/>
        </w:rPr>
      </w:pPr>
      <w:r w:rsidRPr="00736538">
        <w:rPr>
          <w:rFonts w:ascii="Calibri" w:hAnsi="Calibri" w:cs="Calibri"/>
          <w:sz w:val="22"/>
          <w:szCs w:val="22"/>
        </w:rPr>
        <w:t>Throughout the Commission’s various research inquiries we have gathered that oftentimes, higher education institutions are at the fringe of LSIPs involvement</w:t>
      </w:r>
      <w:r w:rsidRPr="00736538">
        <w:rPr>
          <w:rFonts w:ascii="Calibri" w:hAnsi="Calibri" w:cs="Calibri"/>
          <w:sz w:val="22"/>
          <w:szCs w:val="22"/>
        </w:rPr>
        <w:t xml:space="preserve"> – too often, universities are </w:t>
      </w:r>
      <w:r w:rsidRPr="00736538">
        <w:rPr>
          <w:rFonts w:ascii="Calibri" w:hAnsi="Calibri" w:cs="Calibri"/>
          <w:sz w:val="22"/>
          <w:szCs w:val="22"/>
        </w:rPr>
        <w:t xml:space="preserve">yet to be well-integrated into local skills planning. In </w:t>
      </w:r>
      <w:r>
        <w:fldChar w:fldCharType="begin"/>
      </w:r>
      <w:r>
        <w:instrText xml:space="preserve"> HYPERLINK "https://www.policyconnect.org.uk/research/skills-2030-building-world-class-skills-system" </w:instrText>
      </w:r>
      <w:r>
        <w:fldChar w:fldCharType="separate"/>
      </w:r>
      <w:r w:rsidRPr="00736538">
        <w:rPr>
          <w:rStyle w:val="Hyperlink"/>
          <w:rFonts w:ascii="Calibri" w:hAnsi="Calibri" w:cs="Calibri"/>
          <w:sz w:val="22"/>
          <w:szCs w:val="22"/>
        </w:rPr>
        <w:t>Skills 2030</w:t>
      </w:r>
      <w:r>
        <w:fldChar w:fldCharType="end"/>
      </w:r>
      <w:r w:rsidRPr="00736538">
        <w:rPr>
          <w:rFonts w:ascii="Calibri" w:hAnsi="Calibri" w:cs="Calibri"/>
          <w:sz w:val="22"/>
          <w:szCs w:val="22"/>
        </w:rPr>
        <w:t xml:space="preserve">, we recommended that the government should provide Mayoral Combined Authorities and other regional authorities with “no-strings-attached” funding settlements for adult skills and an enhanced set of powers to shape skills provision in their area. </w:t>
      </w:r>
    </w:p>
    <w:p w:rsidR="00E97437" w:rsidRPr="00736538" w:rsidP="004813D2">
      <w:pPr>
        <w:rPr>
          <w:rFonts w:ascii="Calibri" w:hAnsi="Calibri" w:cs="Calibri"/>
          <w:sz w:val="22"/>
          <w:szCs w:val="22"/>
        </w:rPr>
      </w:pPr>
      <w:r w:rsidRPr="00736538">
        <w:rPr>
          <w:rFonts w:ascii="Calibri" w:hAnsi="Calibri" w:cs="Calibri"/>
          <w:sz w:val="22"/>
          <w:szCs w:val="22"/>
        </w:rPr>
        <w:t>A “no-strings-attached” funding settlement involves:</w:t>
      </w:r>
    </w:p>
    <w:p w:rsidR="00E97437" w:rsidRPr="00736538" w:rsidP="004813D2">
      <w:pPr>
        <w:rPr>
          <w:rFonts w:ascii="Calibri" w:hAnsi="Calibri" w:cs="Calibri"/>
          <w:sz w:val="22"/>
          <w:szCs w:val="22"/>
        </w:rPr>
      </w:pPr>
      <w:r w:rsidRPr="00736538">
        <w:rPr>
          <w:rFonts w:ascii="Calibri" w:hAnsi="Calibri" w:cs="Calibri"/>
          <w:sz w:val="22"/>
          <w:szCs w:val="22"/>
        </w:rPr>
        <w:t>A. A single consolidated budget for all 19+ adult skills</w:t>
      </w:r>
      <w:r w:rsidRPr="00736538">
        <w:rPr>
          <w:rFonts w:ascii="Calibri" w:hAnsi="Calibri" w:cs="Calibri"/>
          <w:sz w:val="22"/>
          <w:szCs w:val="22"/>
        </w:rPr>
        <w:t xml:space="preserve"> </w:t>
      </w:r>
      <w:r w:rsidRPr="00736538">
        <w:rPr>
          <w:rFonts w:ascii="Calibri" w:hAnsi="Calibri" w:cs="Calibri"/>
          <w:sz w:val="22"/>
          <w:szCs w:val="22"/>
        </w:rPr>
        <w:t>funding.</w:t>
      </w:r>
    </w:p>
    <w:p w:rsidR="00E97437" w:rsidRPr="00736538" w:rsidP="004813D2">
      <w:pPr>
        <w:rPr>
          <w:rFonts w:ascii="Calibri" w:hAnsi="Calibri" w:cs="Calibri"/>
          <w:b/>
          <w:bCs/>
          <w:sz w:val="22"/>
          <w:szCs w:val="22"/>
        </w:rPr>
      </w:pPr>
      <w:r w:rsidRPr="00736538">
        <w:rPr>
          <w:rFonts w:ascii="Calibri" w:hAnsi="Calibri" w:cs="Calibri"/>
          <w:b/>
          <w:bCs/>
          <w:sz w:val="22"/>
          <w:szCs w:val="22"/>
        </w:rPr>
        <w:t>Enhanced powers should include:</w:t>
      </w:r>
    </w:p>
    <w:p w:rsidR="00E97437" w:rsidRPr="00736538" w:rsidP="00F42119">
      <w:pPr>
        <w:pStyle w:val="ListParagraph"/>
        <w:numPr>
          <w:ilvl w:val="1"/>
          <w:numId w:val="2"/>
        </w:numPr>
        <w:rPr>
          <w:rFonts w:ascii="Calibri" w:hAnsi="Calibri" w:cs="Calibri"/>
          <w:sz w:val="22"/>
          <w:szCs w:val="22"/>
        </w:rPr>
      </w:pPr>
      <w:r w:rsidRPr="00736538">
        <w:rPr>
          <w:rFonts w:ascii="Calibri" w:hAnsi="Calibri" w:cs="Calibri"/>
          <w:sz w:val="22"/>
          <w:szCs w:val="22"/>
        </w:rPr>
        <w:t>joint governance board with the Department for</w:t>
      </w:r>
      <w:r w:rsidRPr="00736538">
        <w:rPr>
          <w:rFonts w:ascii="Calibri" w:hAnsi="Calibri" w:cs="Calibri"/>
          <w:sz w:val="22"/>
          <w:szCs w:val="22"/>
        </w:rPr>
        <w:t xml:space="preserve"> </w:t>
      </w:r>
      <w:r w:rsidRPr="00736538">
        <w:rPr>
          <w:rFonts w:ascii="Calibri" w:hAnsi="Calibri" w:cs="Calibri"/>
          <w:sz w:val="22"/>
          <w:szCs w:val="22"/>
        </w:rPr>
        <w:t>Education to co-design regional 16-18 education and</w:t>
      </w:r>
      <w:r w:rsidRPr="00736538">
        <w:rPr>
          <w:rFonts w:ascii="Calibri" w:hAnsi="Calibri" w:cs="Calibri"/>
          <w:sz w:val="22"/>
          <w:szCs w:val="22"/>
        </w:rPr>
        <w:t xml:space="preserve"> </w:t>
      </w:r>
      <w:r w:rsidRPr="00736538">
        <w:rPr>
          <w:rFonts w:ascii="Calibri" w:hAnsi="Calibri" w:cs="Calibri"/>
          <w:sz w:val="22"/>
          <w:szCs w:val="22"/>
        </w:rPr>
        <w:t>careers guidance services.</w:t>
      </w:r>
    </w:p>
    <w:p w:rsidR="00E97437" w:rsidRPr="00736538" w:rsidP="00F42119">
      <w:pPr>
        <w:pStyle w:val="ListParagraph"/>
        <w:numPr>
          <w:ilvl w:val="1"/>
          <w:numId w:val="2"/>
        </w:numPr>
        <w:rPr>
          <w:rFonts w:ascii="Calibri" w:hAnsi="Calibri" w:cs="Calibri"/>
          <w:sz w:val="22"/>
          <w:szCs w:val="22"/>
        </w:rPr>
      </w:pPr>
      <w:r w:rsidRPr="00736538">
        <w:rPr>
          <w:rFonts w:ascii="Calibri" w:hAnsi="Calibri" w:cs="Calibri"/>
          <w:sz w:val="22"/>
          <w:szCs w:val="22"/>
        </w:rPr>
        <w:t xml:space="preserve">A statutory role in Local Skills Improvement Plans </w:t>
      </w:r>
      <w:r w:rsidRPr="00736538">
        <w:rPr>
          <w:rFonts w:ascii="Calibri" w:hAnsi="Calibri" w:cs="Calibri"/>
          <w:sz w:val="22"/>
          <w:szCs w:val="22"/>
        </w:rPr>
        <w:t>(LSIPs).</w:t>
      </w:r>
    </w:p>
    <w:p w:rsidR="00E97437" w:rsidRPr="00736538" w:rsidP="00F42119">
      <w:pPr>
        <w:pStyle w:val="ListParagraph"/>
        <w:numPr>
          <w:ilvl w:val="1"/>
          <w:numId w:val="2"/>
        </w:numPr>
        <w:rPr>
          <w:rFonts w:ascii="Calibri" w:hAnsi="Calibri" w:cs="Calibri"/>
          <w:sz w:val="22"/>
          <w:szCs w:val="22"/>
        </w:rPr>
      </w:pPr>
      <w:r w:rsidRPr="00736538">
        <w:rPr>
          <w:rFonts w:ascii="Calibri" w:hAnsi="Calibri" w:cs="Calibri"/>
          <w:sz w:val="22"/>
          <w:szCs w:val="22"/>
        </w:rPr>
        <w:t>A decision-making role in skills capital investment</w:t>
      </w:r>
    </w:p>
    <w:p w:rsidR="00E97437" w:rsidRPr="00736538" w:rsidP="00F42119">
      <w:pPr>
        <w:rPr>
          <w:rFonts w:ascii="Calibri" w:hAnsi="Calibri" w:cs="Calibri"/>
          <w:sz w:val="22"/>
          <w:szCs w:val="22"/>
        </w:rPr>
      </w:pPr>
      <w:r w:rsidRPr="00736538">
        <w:rPr>
          <w:rFonts w:ascii="Calibri" w:hAnsi="Calibri" w:cs="Calibri"/>
          <w:sz w:val="22"/>
          <w:szCs w:val="22"/>
        </w:rPr>
        <w:t xml:space="preserve">We recommend that universities are consulted throughout this process as a key stakeholder in the delivery of local skills. </w:t>
      </w:r>
    </w:p>
    <w:p w:rsidR="00E97437" w:rsidRPr="00736538" w:rsidP="00F42119">
      <w:pPr>
        <w:rPr>
          <w:rFonts w:ascii="Calibri" w:hAnsi="Calibri" w:cs="Calibri"/>
          <w:sz w:val="22"/>
          <w:szCs w:val="22"/>
        </w:rPr>
      </w:pPr>
      <w:r w:rsidRPr="00736538">
        <w:rPr>
          <w:rFonts w:ascii="Calibri" w:hAnsi="Calibri" w:cs="Calibri"/>
          <w:b/>
          <w:bCs/>
          <w:sz w:val="22"/>
          <w:szCs w:val="22"/>
        </w:rPr>
        <w:t>--- </w:t>
      </w:r>
      <w:r w:rsidRPr="00736538">
        <w:rPr>
          <w:rFonts w:ascii="Calibri" w:hAnsi="Calibri" w:cs="Calibri"/>
          <w:sz w:val="22"/>
          <w:szCs w:val="22"/>
        </w:rPr>
        <w:t> </w:t>
      </w:r>
    </w:p>
    <w:p w:rsidR="00E97437" w:rsidRPr="00736538" w:rsidP="00F42119">
      <w:pPr>
        <w:rPr>
          <w:rFonts w:ascii="Calibri" w:hAnsi="Calibri" w:cs="Calibri"/>
          <w:sz w:val="22"/>
          <w:szCs w:val="22"/>
        </w:rPr>
      </w:pPr>
      <w:r w:rsidRPr="00736538">
        <w:rPr>
          <w:rFonts w:ascii="Calibri" w:hAnsi="Calibri" w:cs="Calibri"/>
          <w:sz w:val="22"/>
          <w:szCs w:val="22"/>
        </w:rPr>
        <w:t xml:space="preserve">Author: Alyson, Research and Strategy Manager, Policy Connect </w:t>
      </w:r>
    </w:p>
    <w:p w:rsidR="00E97437" w:rsidRPr="00736538" w:rsidP="00F42119">
      <w:pPr>
        <w:rPr>
          <w:rFonts w:ascii="Calibri" w:hAnsi="Calibri" w:cs="Calibri"/>
          <w:sz w:val="22"/>
          <w:szCs w:val="22"/>
        </w:rPr>
      </w:pPr>
      <w:r w:rsidRPr="00736538">
        <w:rPr>
          <w:rFonts w:ascii="Calibri" w:hAnsi="Calibri" w:cs="Calibri"/>
          <w:sz w:val="22"/>
          <w:szCs w:val="22"/>
        </w:rPr>
        <w:t>On behalf of Policy Connect and the Higher Education Commission.  </w:t>
      </w:r>
    </w:p>
    <w:p w:rsidR="00E97437" w:rsidRPr="00736538">
      <w:pPr>
        <w:rPr>
          <w:rFonts w:ascii="Calibri" w:hAnsi="Calibri" w:cs="Calibri"/>
          <w:i/>
          <w:iCs/>
          <w:sz w:val="22"/>
          <w:szCs w:val="22"/>
        </w:rPr>
      </w:pPr>
      <w:r w:rsidRPr="00736538">
        <w:rPr>
          <w:rFonts w:ascii="Calibri" w:hAnsi="Calibri" w:cs="Calibri"/>
          <w:i/>
          <w:iCs/>
          <w:sz w:val="22"/>
          <w:szCs w:val="22"/>
        </w:rPr>
        <w:t xml:space="preserve">September 2025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97437" w:rsidP="00067688">
      <w:pPr>
        <w:spacing w:after="0" w:line="240" w:lineRule="auto"/>
      </w:pPr>
      <w:r>
        <w:separator/>
      </w:r>
    </w:p>
  </w:footnote>
  <w:footnote w:type="continuationSeparator" w:id="1">
    <w:p w:rsidR="00E97437" w:rsidP="00067688">
      <w:pPr>
        <w:spacing w:after="0" w:line="240" w:lineRule="auto"/>
      </w:pPr>
      <w:r>
        <w:continuationSeparator/>
      </w:r>
    </w:p>
  </w:footnote>
  <w:footnote w:id="2">
    <w:p w:rsidR="00E97437" w:rsidRPr="00752618">
      <w:pPr>
        <w:pStyle w:val="FootnoteText"/>
        <w:rPr>
          <w:b/>
          <w:bCs/>
        </w:rPr>
      </w:pPr>
      <w:r>
        <w:rPr>
          <w:rStyle w:val="FootnoteReference"/>
        </w:rPr>
        <w:footnoteRef/>
      </w:r>
      <w:r>
        <w:t xml:space="preserve"> Home Office, (2025), </w:t>
      </w:r>
      <w:r>
        <w:fldChar w:fldCharType="begin"/>
      </w:r>
      <w:r>
        <w:instrText xml:space="preserve"> HYPERLINK "https://www.gov.uk/government/statistics/monthly-entry-clearance-visa-applications-june-2025/monthly-entry-clearance-visa-applications-june-2025" </w:instrText>
      </w:r>
      <w:r>
        <w:fldChar w:fldCharType="separate"/>
      </w:r>
      <w:r w:rsidRPr="00752618">
        <w:rPr>
          <w:rStyle w:val="Hyperlink"/>
        </w:rPr>
        <w:t>“</w:t>
      </w:r>
      <w:r w:rsidRPr="00752618">
        <w:rPr>
          <w:rStyle w:val="Hyperlink"/>
          <w:b/>
          <w:bCs/>
        </w:rPr>
        <w:t>Monthly entry clearance visa applications, June 2025”</w:t>
      </w:r>
      <w:r>
        <w:fldChar w:fldCharType="end"/>
      </w:r>
      <w:r w:rsidRPr="00752618">
        <w:rPr>
          <w:b/>
          <w:bCs/>
        </w:rPr>
        <w:t xml:space="preserve"> </w:t>
      </w:r>
    </w:p>
  </w:footnote>
  <w:footnote w:id="3">
    <w:p w:rsidR="00E97437" w:rsidP="005E66F8">
      <w:pPr>
        <w:pStyle w:val="FootnoteText"/>
      </w:pPr>
      <w:r>
        <w:rPr>
          <w:rStyle w:val="FootnoteReference"/>
        </w:rPr>
        <w:footnoteRef/>
      </w:r>
      <w:r>
        <w:t xml:space="preserve"> CSConnected, (2025), </w:t>
      </w:r>
      <w:r>
        <w:fldChar w:fldCharType="begin"/>
      </w:r>
      <w:r>
        <w:instrText xml:space="preserve"> HYPERLINK "https://csconnected.com/media/t52dosq5/weru-csconnected-sipf-2024-annual-report.pdf" </w:instrText>
      </w:r>
      <w:r>
        <w:fldChar w:fldCharType="separate"/>
      </w:r>
      <w:r w:rsidRPr="005E66F8">
        <w:rPr>
          <w:rStyle w:val="Hyperlink"/>
        </w:rPr>
        <w:t>Annual Report: Compound Semiconductor Cluster in South Wales 2024</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301A45"/>
    <w:multiLevelType w:val="multilevel"/>
    <w:tmpl w:val="1F68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6B55A6"/>
    <w:multiLevelType w:val="hybridMultilevel"/>
    <w:tmpl w:val="9D94C9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7F63E1D"/>
    <w:multiLevelType w:val="multilevel"/>
    <w:tmpl w:val="5D6E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4DA26C5"/>
    <w:multiLevelType w:val="multilevel"/>
    <w:tmpl w:val="F4C8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88351D"/>
    <w:multiLevelType w:val="multilevel"/>
    <w:tmpl w:val="6FAA437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2A2882"/>
    <w:multiLevelType w:val="multilevel"/>
    <w:tmpl w:val="7696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954BEB"/>
    <w:multiLevelType w:val="multilevel"/>
    <w:tmpl w:val="24AE71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67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6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688"/>
    <w:rPr>
      <w:rFonts w:eastAsiaTheme="majorEastAsia" w:cstheme="majorBidi"/>
      <w:color w:val="272727" w:themeColor="text1" w:themeTint="D8"/>
    </w:rPr>
  </w:style>
  <w:style w:type="paragraph" w:styleId="Title">
    <w:name w:val="Title"/>
    <w:basedOn w:val="Normal"/>
    <w:next w:val="Normal"/>
    <w:link w:val="TitleChar"/>
    <w:uiPriority w:val="10"/>
    <w:qFormat/>
    <w:rsid w:val="00067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688"/>
    <w:pPr>
      <w:spacing w:before="160"/>
      <w:jc w:val="center"/>
    </w:pPr>
    <w:rPr>
      <w:i/>
      <w:iCs/>
      <w:color w:val="404040" w:themeColor="text1" w:themeTint="BF"/>
    </w:rPr>
  </w:style>
  <w:style w:type="character" w:customStyle="1" w:styleId="QuoteChar">
    <w:name w:val="Quote Char"/>
    <w:basedOn w:val="DefaultParagraphFont"/>
    <w:link w:val="Quote"/>
    <w:uiPriority w:val="29"/>
    <w:rsid w:val="00067688"/>
    <w:rPr>
      <w:i/>
      <w:iCs/>
      <w:color w:val="404040" w:themeColor="text1" w:themeTint="BF"/>
    </w:rPr>
  </w:style>
  <w:style w:type="paragraph" w:styleId="ListParagraph">
    <w:name w:val="List Paragraph"/>
    <w:basedOn w:val="Normal"/>
    <w:uiPriority w:val="34"/>
    <w:qFormat/>
    <w:rsid w:val="00067688"/>
    <w:pPr>
      <w:ind w:left="720"/>
      <w:contextualSpacing/>
    </w:pPr>
  </w:style>
  <w:style w:type="character" w:styleId="IntenseEmphasis">
    <w:name w:val="Intense Emphasis"/>
    <w:basedOn w:val="DefaultParagraphFont"/>
    <w:uiPriority w:val="21"/>
    <w:qFormat/>
    <w:rsid w:val="00067688"/>
    <w:rPr>
      <w:i/>
      <w:iCs/>
      <w:color w:val="0F4761" w:themeColor="accent1" w:themeShade="BF"/>
    </w:rPr>
  </w:style>
  <w:style w:type="paragraph" w:styleId="IntenseQuote">
    <w:name w:val="Intense Quote"/>
    <w:basedOn w:val="Normal"/>
    <w:next w:val="Normal"/>
    <w:link w:val="IntenseQuoteChar"/>
    <w:uiPriority w:val="30"/>
    <w:qFormat/>
    <w:rsid w:val="00067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688"/>
    <w:rPr>
      <w:i/>
      <w:iCs/>
      <w:color w:val="0F4761" w:themeColor="accent1" w:themeShade="BF"/>
    </w:rPr>
  </w:style>
  <w:style w:type="character" w:styleId="IntenseReference">
    <w:name w:val="Intense Reference"/>
    <w:basedOn w:val="DefaultParagraphFont"/>
    <w:uiPriority w:val="32"/>
    <w:qFormat/>
    <w:rsid w:val="00067688"/>
    <w:rPr>
      <w:b/>
      <w:bCs/>
      <w:smallCaps/>
      <w:color w:val="0F4761" w:themeColor="accent1" w:themeShade="BF"/>
      <w:spacing w:val="5"/>
    </w:rPr>
  </w:style>
  <w:style w:type="paragraph" w:styleId="Header">
    <w:name w:val="header"/>
    <w:basedOn w:val="Normal"/>
    <w:link w:val="HeaderChar"/>
    <w:uiPriority w:val="99"/>
    <w:unhideWhenUsed/>
    <w:rsid w:val="00067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88"/>
  </w:style>
  <w:style w:type="paragraph" w:styleId="Footer">
    <w:name w:val="footer"/>
    <w:basedOn w:val="Normal"/>
    <w:link w:val="FooterChar"/>
    <w:uiPriority w:val="99"/>
    <w:unhideWhenUsed/>
    <w:rsid w:val="00067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88"/>
  </w:style>
  <w:style w:type="character" w:styleId="Hyperlink">
    <w:name w:val="Hyperlink"/>
    <w:basedOn w:val="DefaultParagraphFont"/>
    <w:uiPriority w:val="99"/>
    <w:unhideWhenUsed/>
    <w:rsid w:val="00454666"/>
    <w:rPr>
      <w:color w:val="467886" w:themeColor="hyperlink"/>
      <w:u w:val="single"/>
    </w:rPr>
  </w:style>
  <w:style w:type="character" w:customStyle="1" w:styleId="UnresolvedMention1">
    <w:name w:val="Unresolved Mention1"/>
    <w:basedOn w:val="DefaultParagraphFont"/>
    <w:uiPriority w:val="99"/>
    <w:semiHidden/>
    <w:unhideWhenUsed/>
    <w:rsid w:val="00454666"/>
    <w:rPr>
      <w:color w:val="605E5C"/>
      <w:shd w:val="clear" w:color="auto" w:fill="E1DFDD"/>
    </w:rPr>
  </w:style>
  <w:style w:type="paragraph" w:styleId="FootnoteText">
    <w:name w:val="footnote text"/>
    <w:basedOn w:val="Normal"/>
    <w:link w:val="FootnoteTextChar"/>
    <w:uiPriority w:val="99"/>
    <w:semiHidden/>
    <w:unhideWhenUsed/>
    <w:rsid w:val="007526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618"/>
    <w:rPr>
      <w:sz w:val="20"/>
      <w:szCs w:val="20"/>
    </w:rPr>
  </w:style>
  <w:style w:type="character" w:styleId="FootnoteReference">
    <w:name w:val="footnote reference"/>
    <w:basedOn w:val="DefaultParagraphFont"/>
    <w:uiPriority w:val="99"/>
    <w:semiHidden/>
    <w:unhideWhenUsed/>
    <w:rsid w:val="007526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c67d17-d531-4bec-ad40-f4293aa38a50">
      <Terms xmlns="http://schemas.microsoft.com/office/infopath/2007/PartnerControls"/>
    </lcf76f155ced4ddcb4097134ff3c332f>
    <TaxCatchAll xmlns="24d66215-56c6-4a6b-a270-1008f7711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441C7055752E43B6717933568C7655" ma:contentTypeVersion="18" ma:contentTypeDescription="Create a new document." ma:contentTypeScope="" ma:versionID="faf57447d94b4804bb4412d390d181f5">
  <xsd:schema xmlns:xsd="http://www.w3.org/2001/XMLSchema" xmlns:xs="http://www.w3.org/2001/XMLSchema" xmlns:p="http://schemas.microsoft.com/office/2006/metadata/properties" xmlns:ns2="6fc67d17-d531-4bec-ad40-f4293aa38a50" xmlns:ns3="24d66215-56c6-4a6b-a270-1008f7711070" targetNamespace="http://schemas.microsoft.com/office/2006/metadata/properties" ma:root="true" ma:fieldsID="8b6bc52e87e5af8ca2ba842b0fe0ed30" ns2:_="" ns3:_="">
    <xsd:import namespace="6fc67d17-d531-4bec-ad40-f4293aa38a50"/>
    <xsd:import namespace="24d66215-56c6-4a6b-a270-1008f77110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67d17-d531-4bec-ad40-f4293aa3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4db327-33f2-48e4-9b91-dffc365dfd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66215-56c6-4a6b-a270-1008f77110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989693-8525-486f-a3a7-cb4801948c64}" ma:internalName="TaxCatchAll" ma:showField="CatchAllData" ma:web="24d66215-56c6-4a6b-a270-1008f77110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443B8-B0DE-4B45-92A3-7343AF639E3C}">
  <ds:schemaRefs>
    <ds:schemaRef ds:uri="http://schemas.openxmlformats.org/officeDocument/2006/bibliography"/>
  </ds:schemaRefs>
</ds:datastoreItem>
</file>

<file path=customXml/itemProps2.xml><?xml version="1.0" encoding="utf-8"?>
<ds:datastoreItem xmlns:ds="http://schemas.openxmlformats.org/officeDocument/2006/customXml" ds:itemID="{12F5DAB4-82D1-423C-A92F-8EE8ACC296BB}">
  <ds:schemaRefs/>
</ds:datastoreItem>
</file>

<file path=customXml/itemProps3.xml><?xml version="1.0" encoding="utf-8"?>
<ds:datastoreItem xmlns:ds="http://schemas.openxmlformats.org/officeDocument/2006/customXml" ds:itemID="{49C5359E-BB2B-472D-915C-B15333F8C4C8}">
  <ds:schemaRefs/>
</ds:datastoreItem>
</file>

<file path=customXml/itemProps4.xml><?xml version="1.0" encoding="utf-8"?>
<ds:datastoreItem xmlns:ds="http://schemas.openxmlformats.org/officeDocument/2006/customXml" ds:itemID="{FD8E8F23-D679-4645-8418-04925BAC7B73}">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