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F1CE4" w:rsidRPr="000F1CE4" w:rsidP="003A5CC5">
      <w:pPr>
        <w:pStyle w:val="Heading2"/>
        <w:rPr>
          <w:rFonts w:asciiTheme="majorHAnsi" w:hAnsiTheme="majorHAnsi" w:cstheme="majorHAnsi"/>
          <w:b/>
          <w:bCs/>
          <w:sz w:val="22"/>
          <w:szCs w:val="22"/>
        </w:rPr>
      </w:pPr>
    </w:p>
    <w:p w:rsidR="000F1CE4" w:rsidRPr="000F1CE4" w:rsidP="000F1CE4">
      <w:pPr>
        <w:pStyle w:val="Heading2"/>
        <w:jc w:val="center"/>
        <w:rPr>
          <w:rFonts w:asciiTheme="majorHAnsi" w:hAnsiTheme="majorHAnsi" w:cstheme="majorHAnsi"/>
          <w:b/>
          <w:bCs/>
          <w:sz w:val="22"/>
          <w:szCs w:val="22"/>
        </w:rPr>
      </w:pPr>
      <w:r w:rsidRPr="000F1CE4">
        <w:rPr>
          <w:rFonts w:asciiTheme="majorHAnsi" w:hAnsiTheme="majorHAnsi" w:cstheme="majorHAnsi"/>
          <w:b/>
          <w:bCs/>
          <w:sz w:val="22"/>
          <w:szCs w:val="22"/>
        </w:rPr>
        <w:t xml:space="preserve">Written evidence by </w:t>
      </w:r>
      <w:r w:rsidRPr="000F1CE4">
        <w:rPr>
          <w:rFonts w:asciiTheme="majorHAnsi" w:hAnsiTheme="majorHAnsi" w:cstheme="majorHAnsi"/>
          <w:b/>
          <w:bCs/>
          <w:sz w:val="22"/>
          <w:szCs w:val="22"/>
        </w:rPr>
        <w:t>Russell Group Students' Unions, Students' Union UCL</w:t>
      </w:r>
      <w:r w:rsidRPr="000F1CE4">
        <w:rPr>
          <w:rFonts w:asciiTheme="majorHAnsi" w:hAnsiTheme="majorHAnsi" w:cstheme="majorHAnsi"/>
          <w:b/>
          <w:bCs/>
          <w:sz w:val="22"/>
          <w:szCs w:val="22"/>
        </w:rPr>
        <w:t xml:space="preserve"> (HEF058)</w:t>
      </w:r>
    </w:p>
    <w:p w:rsidR="000F1CE4" w:rsidRPr="000F1CE4" w:rsidP="000F1CE4">
      <w:pPr>
        <w:rPr>
          <w:rFonts w:asciiTheme="majorHAnsi" w:hAnsiTheme="majorHAnsi" w:cstheme="majorHAnsi"/>
        </w:rPr>
      </w:pPr>
    </w:p>
    <w:p w:rsidR="000F1CE4" w:rsidRPr="000F1CE4" w:rsidP="000F1CE4">
      <w:pPr>
        <w:rPr>
          <w:rFonts w:asciiTheme="majorHAnsi" w:hAnsiTheme="majorHAnsi" w:cstheme="majorHAnsi"/>
          <w:b/>
          <w:bCs/>
        </w:rPr>
      </w:pPr>
      <w:r w:rsidRPr="000F1CE4">
        <w:rPr>
          <w:rFonts w:asciiTheme="majorHAnsi" w:hAnsiTheme="majorHAnsi" w:cstheme="majorHAnsi"/>
          <w:b/>
          <w:bCs/>
        </w:rPr>
        <w:t>Education committee</w:t>
      </w:r>
    </w:p>
    <w:p w:rsidR="000F1CE4" w:rsidRPr="000F1CE4" w:rsidP="000F1CE4">
      <w:pPr>
        <w:rPr>
          <w:rFonts w:asciiTheme="majorHAnsi" w:hAnsiTheme="majorHAnsi" w:cstheme="majorHAnsi"/>
          <w:b/>
          <w:bCs/>
        </w:rPr>
      </w:pPr>
      <w:r w:rsidRPr="000F1CE4">
        <w:rPr>
          <w:rFonts w:asciiTheme="majorHAnsi" w:hAnsiTheme="majorHAnsi" w:cstheme="majorHAnsi"/>
          <w:b/>
          <w:bCs/>
        </w:rPr>
        <w:t xml:space="preserve">Higher education and funding: The threat of insolvency and international students </w:t>
      </w:r>
    </w:p>
    <w:p w:rsidR="003047B1" w:rsidRPr="000F1CE4" w:rsidP="003A5CC5">
      <w:pPr>
        <w:pStyle w:val="Heading2"/>
        <w:rPr>
          <w:rFonts w:asciiTheme="majorHAnsi" w:hAnsiTheme="majorHAnsi" w:cstheme="majorHAnsi"/>
          <w:b/>
          <w:bCs/>
          <w:sz w:val="22"/>
          <w:szCs w:val="22"/>
        </w:rPr>
      </w:pPr>
      <w:r w:rsidRPr="000F1CE4">
        <w:rPr>
          <w:rFonts w:asciiTheme="majorHAnsi" w:hAnsiTheme="majorHAnsi" w:cstheme="majorHAnsi"/>
          <w:b/>
          <w:bCs/>
          <w:sz w:val="22"/>
          <w:szCs w:val="22"/>
        </w:rPr>
        <w:t>Introduction</w:t>
      </w:r>
    </w:p>
    <w:p w:rsidR="003047B1" w:rsidRPr="000F1CE4" w:rsidP="003A5CC5">
      <w:pPr>
        <w:pStyle w:val="NormalWeb"/>
        <w:spacing w:line="276" w:lineRule="auto"/>
        <w:rPr>
          <w:rFonts w:asciiTheme="majorHAnsi" w:hAnsiTheme="majorHAnsi" w:cstheme="majorHAnsi"/>
          <w:sz w:val="22"/>
          <w:szCs w:val="22"/>
        </w:rPr>
      </w:pPr>
      <w:r w:rsidRPr="000F1CE4">
        <w:rPr>
          <w:rFonts w:asciiTheme="majorHAnsi" w:hAnsiTheme="majorHAnsi" w:cstheme="majorHAnsi"/>
          <w:sz w:val="22"/>
          <w:szCs w:val="22"/>
        </w:rPr>
        <w:t>Russell Group Students’ Unions represents the collective voice of students’ unions at the 24 Russell Group universities, advocating for more than 700,000 students across the UK’s leading research-intensive institutions</w:t>
      </w:r>
      <w:r w:rsidRPr="000F1CE4">
        <w:rPr>
          <w:rStyle w:val="max-w-full"/>
          <w:rFonts w:asciiTheme="majorHAnsi" w:hAnsiTheme="majorHAnsi" w:cstheme="majorHAnsi"/>
          <w:sz w:val="22"/>
          <w:szCs w:val="22"/>
        </w:rPr>
        <w:t xml:space="preserve">. </w:t>
      </w:r>
      <w:r w:rsidRPr="000F1CE4">
        <w:rPr>
          <w:rFonts w:asciiTheme="majorHAnsi" w:hAnsiTheme="majorHAnsi" w:cstheme="majorHAnsi"/>
          <w:sz w:val="22"/>
          <w:szCs w:val="22"/>
        </w:rPr>
        <w:t xml:space="preserve">We welcome the Committee’s inquiry into higher education funding, international students, and the threat of institutional insolvency. </w:t>
      </w:r>
    </w:p>
    <w:p w:rsidR="003047B1" w:rsidRPr="000F1CE4" w:rsidP="003A5CC5">
      <w:pPr>
        <w:pStyle w:val="NormalWeb"/>
        <w:spacing w:line="276" w:lineRule="auto"/>
        <w:rPr>
          <w:rFonts w:asciiTheme="majorHAnsi" w:hAnsiTheme="majorHAnsi" w:cstheme="majorHAnsi"/>
          <w:sz w:val="22"/>
          <w:szCs w:val="22"/>
        </w:rPr>
      </w:pPr>
      <w:r w:rsidRPr="000F1CE4">
        <w:rPr>
          <w:rFonts w:asciiTheme="majorHAnsi" w:hAnsiTheme="majorHAnsi" w:cstheme="majorHAnsi"/>
          <w:sz w:val="22"/>
          <w:szCs w:val="22"/>
        </w:rPr>
        <w:t xml:space="preserve">This submission draws on recent research from Russell Group Students’ Unions – including our </w:t>
      </w:r>
      <w:r w:rsidRPr="000F1CE4">
        <w:rPr>
          <w:rStyle w:val="Emphasis"/>
          <w:rFonts w:asciiTheme="majorHAnsi" w:hAnsiTheme="majorHAnsi" w:cstheme="majorHAnsi"/>
          <w:sz w:val="22"/>
          <w:szCs w:val="22"/>
        </w:rPr>
        <w:t>Globally Competitive</w:t>
      </w:r>
      <w:r w:rsidRPr="000F1CE4">
        <w:rPr>
          <w:rFonts w:asciiTheme="majorHAnsi" w:hAnsiTheme="majorHAnsi" w:cstheme="majorHAnsi"/>
          <w:sz w:val="22"/>
          <w:szCs w:val="22"/>
        </w:rPr>
        <w:t xml:space="preserve"> report</w:t>
      </w:r>
      <w:r>
        <w:rPr>
          <w:rStyle w:val="FootnoteReference"/>
          <w:rFonts w:asciiTheme="majorHAnsi" w:hAnsiTheme="majorHAnsi" w:cstheme="majorHAnsi"/>
          <w:sz w:val="22"/>
          <w:szCs w:val="22"/>
        </w:rPr>
        <w:footnoteReference w:id="2"/>
      </w:r>
      <w:r w:rsidRPr="000F1CE4">
        <w:rPr>
          <w:rFonts w:asciiTheme="majorHAnsi" w:hAnsiTheme="majorHAnsi" w:cstheme="majorHAnsi"/>
          <w:sz w:val="22"/>
          <w:szCs w:val="22"/>
        </w:rPr>
        <w:t xml:space="preserve"> on international students’ experiences, our 2024 Student Manifesto, and our 2023 Cost of Living Report – to provide evidence-driven insights. </w:t>
      </w:r>
    </w:p>
    <w:p w:rsidR="003047B1" w:rsidRPr="000F1CE4" w:rsidP="003A5CC5">
      <w:pPr>
        <w:pStyle w:val="NormalWeb"/>
        <w:spacing w:line="276" w:lineRule="auto"/>
        <w:rPr>
          <w:rFonts w:asciiTheme="majorHAnsi" w:hAnsiTheme="majorHAnsi" w:cstheme="majorHAnsi"/>
          <w:sz w:val="22"/>
          <w:szCs w:val="22"/>
        </w:rPr>
      </w:pPr>
      <w:r w:rsidRPr="000F1CE4">
        <w:rPr>
          <w:rFonts w:asciiTheme="majorHAnsi" w:hAnsiTheme="majorHAnsi" w:cstheme="majorHAnsi"/>
          <w:sz w:val="22"/>
          <w:szCs w:val="22"/>
        </w:rPr>
        <w:t xml:space="preserve">We focus on two key themes: </w:t>
      </w:r>
    </w:p>
    <w:p w:rsidR="003047B1" w:rsidRPr="000F1CE4" w:rsidP="003A5CC5">
      <w:pPr>
        <w:pStyle w:val="NormalWeb"/>
        <w:spacing w:after="0" w:afterAutospacing="0" w:line="276" w:lineRule="auto"/>
        <w:rPr>
          <w:rFonts w:asciiTheme="majorHAnsi" w:hAnsiTheme="majorHAnsi" w:cstheme="majorHAnsi"/>
          <w:sz w:val="22"/>
          <w:szCs w:val="22"/>
        </w:rPr>
      </w:pPr>
      <w:r w:rsidRPr="000F1CE4">
        <w:rPr>
          <w:rFonts w:asciiTheme="majorHAnsi" w:hAnsiTheme="majorHAnsi" w:cstheme="majorHAnsi"/>
          <w:sz w:val="22"/>
          <w:szCs w:val="22"/>
        </w:rPr>
        <w:t xml:space="preserve">(1) the impact of government policy on international students and university finances, and </w:t>
      </w:r>
    </w:p>
    <w:p w:rsidR="003047B1" w:rsidRPr="000F1CE4" w:rsidP="003A5CC5">
      <w:pPr>
        <w:pStyle w:val="NormalWeb"/>
        <w:spacing w:before="0" w:beforeAutospacing="0" w:line="276" w:lineRule="auto"/>
        <w:rPr>
          <w:rFonts w:asciiTheme="majorHAnsi" w:hAnsiTheme="majorHAnsi" w:cstheme="majorHAnsi"/>
          <w:sz w:val="22"/>
          <w:szCs w:val="22"/>
        </w:rPr>
      </w:pPr>
      <w:r w:rsidRPr="000F1CE4">
        <w:rPr>
          <w:rFonts w:asciiTheme="majorHAnsi" w:hAnsiTheme="majorHAnsi" w:cstheme="majorHAnsi"/>
          <w:sz w:val="22"/>
          <w:szCs w:val="22"/>
        </w:rPr>
        <w:t xml:space="preserve">(2) the ramifications of institutional insolvency and regional impacts. </w:t>
      </w:r>
    </w:p>
    <w:p w:rsidR="003047B1" w:rsidRPr="000F1CE4" w:rsidP="003A5CC5">
      <w:pPr>
        <w:pStyle w:val="NormalWeb"/>
        <w:spacing w:line="276" w:lineRule="auto"/>
        <w:rPr>
          <w:rFonts w:asciiTheme="majorHAnsi" w:hAnsiTheme="majorHAnsi" w:cstheme="majorHAnsi"/>
          <w:sz w:val="22"/>
          <w:szCs w:val="22"/>
        </w:rPr>
      </w:pPr>
      <w:r w:rsidRPr="000F1CE4">
        <w:rPr>
          <w:rFonts w:asciiTheme="majorHAnsi" w:hAnsiTheme="majorHAnsi" w:cstheme="majorHAnsi"/>
          <w:sz w:val="22"/>
          <w:szCs w:val="22"/>
        </w:rPr>
        <w:t>Our recommendations are formed from the contributions and challenges of international students and aim to ensure the UK retains is position as a globally competitive destination for higher education.</w:t>
      </w:r>
    </w:p>
    <w:p w:rsidR="003047B1" w:rsidRPr="000F1CE4" w:rsidP="003A5CC5">
      <w:pPr>
        <w:pStyle w:val="Heading2"/>
        <w:rPr>
          <w:rFonts w:asciiTheme="majorHAnsi" w:hAnsiTheme="majorHAnsi" w:cstheme="majorHAnsi"/>
          <w:b/>
          <w:bCs/>
          <w:sz w:val="22"/>
          <w:szCs w:val="22"/>
        </w:rPr>
      </w:pPr>
      <w:r w:rsidRPr="000F1CE4">
        <w:rPr>
          <w:rFonts w:asciiTheme="majorHAnsi" w:hAnsiTheme="majorHAnsi" w:cstheme="majorHAnsi"/>
          <w:b/>
          <w:bCs/>
          <w:sz w:val="22"/>
          <w:szCs w:val="22"/>
        </w:rPr>
        <w:t>Impact of Government Policy on International Students and University Finances</w:t>
      </w:r>
    </w:p>
    <w:p w:rsidR="003047B1" w:rsidRPr="000F1CE4" w:rsidP="003A5CC5">
      <w:pPr>
        <w:pStyle w:val="NormalWeb"/>
        <w:spacing w:line="276" w:lineRule="auto"/>
        <w:rPr>
          <w:rFonts w:asciiTheme="majorHAnsi" w:hAnsiTheme="majorHAnsi" w:cstheme="majorHAnsi"/>
          <w:sz w:val="22"/>
          <w:szCs w:val="22"/>
        </w:rPr>
      </w:pPr>
      <w:r w:rsidRPr="000F1CE4">
        <w:rPr>
          <w:rStyle w:val="Strong"/>
          <w:rFonts w:asciiTheme="majorHAnsi" w:hAnsiTheme="majorHAnsi" w:cstheme="majorHAnsi"/>
          <w:sz w:val="22"/>
          <w:szCs w:val="22"/>
        </w:rPr>
        <w:t>International Students’ Contributions and Reliance on their Fees:</w:t>
      </w:r>
      <w:r w:rsidRPr="000F1CE4">
        <w:rPr>
          <w:rFonts w:asciiTheme="majorHAnsi" w:hAnsiTheme="majorHAnsi" w:cstheme="majorHAnsi"/>
          <w:sz w:val="22"/>
          <w:szCs w:val="22"/>
        </w:rPr>
        <w:t xml:space="preserve"> </w:t>
      </w:r>
    </w:p>
    <w:p w:rsidR="003047B1" w:rsidRPr="000F1CE4" w:rsidP="003A5CC5">
      <w:pPr>
        <w:pStyle w:val="NormalWeb"/>
        <w:spacing w:line="276" w:lineRule="auto"/>
        <w:rPr>
          <w:rFonts w:asciiTheme="majorHAnsi" w:hAnsiTheme="majorHAnsi" w:cstheme="majorHAnsi"/>
          <w:sz w:val="22"/>
          <w:szCs w:val="22"/>
        </w:rPr>
      </w:pPr>
      <w:r w:rsidRPr="000F1CE4">
        <w:rPr>
          <w:rFonts w:asciiTheme="majorHAnsi" w:hAnsiTheme="majorHAnsi" w:cstheme="majorHAnsi"/>
          <w:sz w:val="22"/>
          <w:szCs w:val="22"/>
        </w:rPr>
        <w:t>International students are vital to the UK’s higher education and financial health. Each year, over 90,000 new international students enrol at Russell Group universities, enriching campuses both socially and academically while significantly boosting the regional and national economy. In 2021/22 alone, international students contributed approximately £42 billion to the UK economy</w:t>
      </w:r>
      <w:r>
        <w:rPr>
          <w:rStyle w:val="FootnoteReference"/>
          <w:rFonts w:asciiTheme="majorHAnsi" w:hAnsiTheme="majorHAnsi" w:cstheme="majorHAnsi"/>
          <w:sz w:val="22"/>
          <w:szCs w:val="22"/>
        </w:rPr>
        <w:footnoteReference w:id="3"/>
      </w:r>
      <w:r w:rsidRPr="000F1CE4">
        <w:rPr>
          <w:rStyle w:val="max-w-full"/>
          <w:rFonts w:asciiTheme="majorHAnsi" w:hAnsiTheme="majorHAnsi" w:cstheme="majorHAnsi"/>
          <w:sz w:val="22"/>
          <w:szCs w:val="22"/>
        </w:rPr>
        <w:t xml:space="preserve">. </w:t>
      </w:r>
      <w:r w:rsidRPr="000F1CE4">
        <w:rPr>
          <w:rFonts w:asciiTheme="majorHAnsi" w:hAnsiTheme="majorHAnsi" w:cstheme="majorHAnsi"/>
          <w:sz w:val="22"/>
          <w:szCs w:val="22"/>
        </w:rPr>
        <w:t xml:space="preserve">This spending includes tuition fees and living expenses in local communities, helping to sustain jobs and businesses nationwide. </w:t>
      </w:r>
    </w:p>
    <w:p w:rsidR="003047B1" w:rsidRPr="000F1CE4" w:rsidP="003A5CC5">
      <w:pPr>
        <w:pStyle w:val="NormalWeb"/>
        <w:spacing w:line="276" w:lineRule="auto"/>
        <w:rPr>
          <w:rFonts w:asciiTheme="majorHAnsi" w:hAnsiTheme="majorHAnsi" w:cstheme="majorHAnsi"/>
          <w:sz w:val="22"/>
          <w:szCs w:val="22"/>
        </w:rPr>
      </w:pPr>
      <w:r w:rsidRPr="000F1CE4">
        <w:rPr>
          <w:rFonts w:asciiTheme="majorHAnsi" w:hAnsiTheme="majorHAnsi" w:cstheme="majorHAnsi"/>
          <w:sz w:val="22"/>
          <w:szCs w:val="22"/>
        </w:rPr>
        <w:t xml:space="preserve">Many institutions have become </w:t>
      </w:r>
      <w:r w:rsidRPr="000F1CE4">
        <w:rPr>
          <w:rStyle w:val="Strong"/>
          <w:rFonts w:asciiTheme="majorHAnsi" w:hAnsiTheme="majorHAnsi" w:cstheme="majorHAnsi"/>
          <w:b w:val="0"/>
          <w:bCs w:val="0"/>
          <w:sz w:val="22"/>
          <w:szCs w:val="22"/>
        </w:rPr>
        <w:t>financially dependent on international fee income</w:t>
      </w:r>
      <w:r w:rsidRPr="000F1CE4">
        <w:rPr>
          <w:rFonts w:asciiTheme="majorHAnsi" w:hAnsiTheme="majorHAnsi" w:cstheme="majorHAnsi"/>
          <w:sz w:val="22"/>
          <w:szCs w:val="22"/>
        </w:rPr>
        <w:t>, which grew from £5.4 billion to £9.7 billion (+71%) between 2016–17 and 2021–22</w:t>
      </w:r>
      <w:r>
        <w:rPr>
          <w:rStyle w:val="FootnoteReference"/>
          <w:rFonts w:asciiTheme="majorHAnsi" w:hAnsiTheme="majorHAnsi" w:cstheme="majorHAnsi"/>
          <w:sz w:val="22"/>
          <w:szCs w:val="22"/>
        </w:rPr>
        <w:footnoteReference w:id="4"/>
      </w:r>
      <w:r w:rsidRPr="000F1CE4">
        <w:rPr>
          <w:rFonts w:asciiTheme="majorHAnsi" w:hAnsiTheme="majorHAnsi" w:cstheme="majorHAnsi"/>
          <w:sz w:val="22"/>
          <w:szCs w:val="22"/>
        </w:rPr>
        <w:t xml:space="preserve">. By 2021/22, fees from overseas students comprised about </w:t>
      </w:r>
      <w:r w:rsidRPr="000F1CE4">
        <w:rPr>
          <w:rStyle w:val="Strong"/>
          <w:rFonts w:asciiTheme="majorHAnsi" w:hAnsiTheme="majorHAnsi" w:cstheme="majorHAnsi"/>
          <w:b w:val="0"/>
          <w:bCs w:val="0"/>
          <w:sz w:val="22"/>
          <w:szCs w:val="22"/>
        </w:rPr>
        <w:t>21.5% of all UK university income</w:t>
      </w:r>
      <w:r>
        <w:rPr>
          <w:rStyle w:val="FootnoteReference"/>
          <w:rFonts w:asciiTheme="majorHAnsi" w:hAnsiTheme="majorHAnsi" w:cstheme="majorHAnsi"/>
          <w:sz w:val="22"/>
          <w:szCs w:val="22"/>
        </w:rPr>
        <w:footnoteReference w:id="5"/>
      </w:r>
      <w:r w:rsidRPr="000F1CE4">
        <w:rPr>
          <w:rFonts w:asciiTheme="majorHAnsi" w:hAnsiTheme="majorHAnsi" w:cstheme="majorHAnsi"/>
          <w:b/>
          <w:bCs/>
          <w:sz w:val="22"/>
          <w:szCs w:val="22"/>
        </w:rPr>
        <w:t>.</w:t>
      </w:r>
      <w:r w:rsidRPr="000F1CE4">
        <w:rPr>
          <w:rFonts w:asciiTheme="majorHAnsi" w:hAnsiTheme="majorHAnsi" w:cstheme="majorHAnsi"/>
          <w:sz w:val="22"/>
          <w:szCs w:val="22"/>
        </w:rPr>
        <w:t xml:space="preserve"> This revenue has helped compensate for a decade-long freeze in domestic undergraduate fees, which have fallen by around 26% in real terms and 19% real terms decrease in the Strategic Priorities Grant since 2018/2019.</w:t>
      </w:r>
      <w:r>
        <w:rPr>
          <w:rStyle w:val="FootnoteReference"/>
          <w:rFonts w:asciiTheme="majorHAnsi" w:hAnsiTheme="majorHAnsi" w:cstheme="majorHAnsi"/>
          <w:sz w:val="22"/>
          <w:szCs w:val="22"/>
        </w:rPr>
        <w:footnoteReference w:id="6"/>
      </w:r>
      <w:r w:rsidRPr="000F1CE4">
        <w:rPr>
          <w:rFonts w:asciiTheme="majorHAnsi" w:hAnsiTheme="majorHAnsi" w:cstheme="majorHAnsi"/>
          <w:sz w:val="22"/>
          <w:szCs w:val="22"/>
        </w:rPr>
        <w:t xml:space="preserve"> </w:t>
      </w:r>
    </w:p>
    <w:p w:rsidR="003047B1" w:rsidRPr="000F1CE4" w:rsidP="003A5CC5">
      <w:pPr>
        <w:pStyle w:val="NormalWeb"/>
        <w:spacing w:line="276" w:lineRule="auto"/>
        <w:rPr>
          <w:rFonts w:asciiTheme="majorHAnsi" w:hAnsiTheme="majorHAnsi" w:cstheme="majorHAnsi"/>
          <w:sz w:val="22"/>
          <w:szCs w:val="22"/>
        </w:rPr>
      </w:pPr>
      <w:r w:rsidRPr="000F1CE4">
        <w:rPr>
          <w:rFonts w:asciiTheme="majorHAnsi" w:hAnsiTheme="majorHAnsi" w:cstheme="majorHAnsi"/>
          <w:sz w:val="22"/>
          <w:szCs w:val="22"/>
        </w:rPr>
        <w:t xml:space="preserve">Such dependence on international tuition income is </w:t>
      </w:r>
      <w:r w:rsidRPr="000F1CE4">
        <w:rPr>
          <w:rStyle w:val="Strong"/>
          <w:rFonts w:asciiTheme="majorHAnsi" w:hAnsiTheme="majorHAnsi" w:cstheme="majorHAnsi"/>
          <w:b w:val="0"/>
          <w:bCs w:val="0"/>
          <w:sz w:val="22"/>
          <w:szCs w:val="22"/>
        </w:rPr>
        <w:t>structurally risky and unsustainable</w:t>
      </w:r>
      <w:r w:rsidRPr="000F1CE4">
        <w:rPr>
          <w:rStyle w:val="max-w-full"/>
          <w:rFonts w:asciiTheme="majorHAnsi" w:hAnsiTheme="majorHAnsi" w:cstheme="majorHAnsi"/>
          <w:b/>
          <w:bCs/>
          <w:sz w:val="22"/>
          <w:szCs w:val="22"/>
        </w:rPr>
        <w:t>,</w:t>
      </w:r>
      <w:r w:rsidRPr="000F1CE4">
        <w:rPr>
          <w:rFonts w:asciiTheme="majorHAnsi" w:hAnsiTheme="majorHAnsi" w:cstheme="majorHAnsi"/>
          <w:sz w:val="22"/>
          <w:szCs w:val="22"/>
        </w:rPr>
        <w:t xml:space="preserve"> we note that the £9,535 cap on home undergraduate fees in England now falls well short of the actual teaching cost, which universities have been forced to plug via cross-subsidisation</w:t>
      </w:r>
      <w:r>
        <w:rPr>
          <w:rStyle w:val="FootnoteReference"/>
          <w:rFonts w:asciiTheme="majorHAnsi" w:hAnsiTheme="majorHAnsi" w:cstheme="majorHAnsi"/>
          <w:sz w:val="22"/>
          <w:szCs w:val="22"/>
        </w:rPr>
        <w:footnoteReference w:id="7"/>
      </w:r>
      <w:r w:rsidRPr="000F1CE4">
        <w:rPr>
          <w:rStyle w:val="max-w-full"/>
          <w:rFonts w:asciiTheme="majorHAnsi" w:hAnsiTheme="majorHAnsi" w:cstheme="majorHAnsi"/>
          <w:sz w:val="22"/>
          <w:szCs w:val="22"/>
        </w:rPr>
        <w:t xml:space="preserve">. </w:t>
      </w:r>
      <w:r w:rsidRPr="000F1CE4">
        <w:rPr>
          <w:rFonts w:asciiTheme="majorHAnsi" w:hAnsiTheme="majorHAnsi" w:cstheme="majorHAnsi"/>
          <w:sz w:val="22"/>
          <w:szCs w:val="22"/>
        </w:rPr>
        <w:t>Often, international students pay tuition fees three times higher than domestic students</w:t>
      </w:r>
      <w:r>
        <w:rPr>
          <w:rStyle w:val="FootnoteReference"/>
          <w:rFonts w:asciiTheme="majorHAnsi" w:hAnsiTheme="majorHAnsi" w:cstheme="majorHAnsi"/>
          <w:sz w:val="22"/>
          <w:szCs w:val="22"/>
        </w:rPr>
        <w:footnoteReference w:id="8"/>
      </w:r>
      <w:r w:rsidRPr="000F1CE4">
        <w:rPr>
          <w:rFonts w:asciiTheme="majorHAnsi" w:hAnsiTheme="majorHAnsi" w:cstheme="majorHAnsi"/>
          <w:sz w:val="22"/>
          <w:szCs w:val="22"/>
        </w:rPr>
        <w:t>, effectively subsidising teaching and research. While this revenue is keeping many institutions afloat, it places a high financial burden on international students and leaves universities exposed to fluctuations in global demand.</w:t>
      </w:r>
    </w:p>
    <w:p w:rsidR="003047B1" w:rsidRPr="000F1CE4" w:rsidP="003A5CC5">
      <w:pPr>
        <w:pStyle w:val="NormalWeb"/>
        <w:spacing w:line="276" w:lineRule="auto"/>
        <w:rPr>
          <w:rFonts w:asciiTheme="majorHAnsi" w:hAnsiTheme="majorHAnsi" w:cstheme="majorHAnsi"/>
          <w:sz w:val="22"/>
          <w:szCs w:val="22"/>
        </w:rPr>
      </w:pPr>
      <w:r w:rsidRPr="000F1CE4">
        <w:rPr>
          <w:rStyle w:val="Strong"/>
          <w:rFonts w:asciiTheme="majorHAnsi" w:hAnsiTheme="majorHAnsi" w:cstheme="majorHAnsi"/>
          <w:sz w:val="22"/>
          <w:szCs w:val="22"/>
        </w:rPr>
        <w:t>Effects of Recent Immigration Policies on Student Numbers:</w:t>
      </w:r>
      <w:r w:rsidRPr="000F1CE4">
        <w:rPr>
          <w:rFonts w:asciiTheme="majorHAnsi" w:hAnsiTheme="majorHAnsi" w:cstheme="majorHAnsi"/>
          <w:sz w:val="22"/>
          <w:szCs w:val="22"/>
        </w:rPr>
        <w:t xml:space="preserve"> </w:t>
      </w:r>
    </w:p>
    <w:p w:rsidR="003047B1" w:rsidRPr="000F1CE4" w:rsidP="003A5CC5">
      <w:pPr>
        <w:pStyle w:val="NormalWeb"/>
        <w:spacing w:line="276" w:lineRule="auto"/>
        <w:rPr>
          <w:rFonts w:asciiTheme="majorHAnsi" w:hAnsiTheme="majorHAnsi" w:cstheme="majorHAnsi"/>
          <w:sz w:val="22"/>
          <w:szCs w:val="22"/>
        </w:rPr>
      </w:pPr>
      <w:r w:rsidRPr="000F1CE4">
        <w:rPr>
          <w:rFonts w:asciiTheme="majorHAnsi" w:hAnsiTheme="majorHAnsi" w:cstheme="majorHAnsi"/>
          <w:sz w:val="22"/>
          <w:szCs w:val="22"/>
        </w:rPr>
        <w:t>Current government policies – including additional restrictions on graduate visa rules, the inclusion of students in net migration targets continuing restrictions on dependants and a proposed international student tax – are already negatively impacting international student perceptions of the UK, impacting on enrolment. Universities UK reports that the number of study visas issued in early 2024 fell by 33% compared to the previous year after new immigration rules took effect</w:t>
      </w:r>
      <w:r>
        <w:rPr>
          <w:rStyle w:val="FootnoteReference"/>
          <w:rFonts w:asciiTheme="majorHAnsi" w:hAnsiTheme="majorHAnsi" w:cstheme="majorHAnsi"/>
          <w:sz w:val="22"/>
          <w:szCs w:val="22"/>
        </w:rPr>
        <w:footnoteReference w:id="9"/>
      </w:r>
      <w:r w:rsidRPr="000F1CE4">
        <w:rPr>
          <w:rStyle w:val="ms-1"/>
          <w:rFonts w:asciiTheme="majorHAnsi" w:hAnsiTheme="majorHAnsi" w:cstheme="majorHAnsi"/>
          <w:sz w:val="22"/>
          <w:szCs w:val="22"/>
        </w:rPr>
        <w:t xml:space="preserve">. </w:t>
      </w:r>
      <w:r w:rsidRPr="000F1CE4">
        <w:rPr>
          <w:rFonts w:asciiTheme="majorHAnsi" w:hAnsiTheme="majorHAnsi" w:cstheme="majorHAnsi"/>
          <w:sz w:val="22"/>
          <w:szCs w:val="22"/>
        </w:rPr>
        <w:t xml:space="preserve">Postgraduate taught enrolments have dropped by over 40% following the January 2024 policy changes that prevented most </w:t>
      </w:r>
      <w:r w:rsidRPr="000F1CE4">
        <w:rPr>
          <w:rFonts w:asciiTheme="majorHAnsi" w:hAnsiTheme="majorHAnsi" w:cstheme="majorHAnsi"/>
          <w:sz w:val="22"/>
          <w:szCs w:val="22"/>
        </w:rPr>
        <w:t>Master’s</w:t>
      </w:r>
      <w:r w:rsidRPr="000F1CE4">
        <w:rPr>
          <w:rFonts w:asciiTheme="majorHAnsi" w:hAnsiTheme="majorHAnsi" w:cstheme="majorHAnsi"/>
          <w:sz w:val="22"/>
          <w:szCs w:val="22"/>
        </w:rPr>
        <w:t xml:space="preserve"> students from bringing family members</w:t>
      </w:r>
      <w:r>
        <w:rPr>
          <w:rStyle w:val="FootnoteReference"/>
          <w:rFonts w:asciiTheme="majorHAnsi" w:hAnsiTheme="majorHAnsi" w:cstheme="majorHAnsi"/>
          <w:sz w:val="22"/>
          <w:szCs w:val="22"/>
        </w:rPr>
        <w:footnoteReference w:id="10"/>
      </w:r>
      <w:r w:rsidRPr="000F1CE4">
        <w:rPr>
          <w:rFonts w:asciiTheme="majorHAnsi" w:hAnsiTheme="majorHAnsi" w:cstheme="majorHAnsi"/>
          <w:sz w:val="22"/>
          <w:szCs w:val="22"/>
        </w:rPr>
        <w:t>. University leaders have expressed concern that this damaging</w:t>
      </w:r>
      <w:r w:rsidRPr="000F1CE4">
        <w:rPr>
          <w:rStyle w:val="Emphasis"/>
          <w:rFonts w:asciiTheme="majorHAnsi" w:hAnsiTheme="majorHAnsi" w:cstheme="majorHAnsi"/>
          <w:sz w:val="22"/>
          <w:szCs w:val="22"/>
        </w:rPr>
        <w:t xml:space="preserve"> “the economies of towns and cities throughout the UK, as well as many universities”</w:t>
      </w:r>
      <w:r>
        <w:rPr>
          <w:rStyle w:val="FootnoteReference"/>
          <w:rFonts w:asciiTheme="majorHAnsi" w:hAnsiTheme="majorHAnsi" w:cstheme="majorHAnsi"/>
          <w:i/>
          <w:iCs/>
          <w:sz w:val="22"/>
          <w:szCs w:val="22"/>
        </w:rPr>
        <w:footnoteReference w:id="11"/>
      </w:r>
      <w:r w:rsidRPr="000F1CE4">
        <w:rPr>
          <w:rStyle w:val="Emphasis"/>
          <w:rFonts w:asciiTheme="majorHAnsi" w:hAnsiTheme="majorHAnsi" w:cstheme="majorHAnsi"/>
          <w:sz w:val="22"/>
          <w:szCs w:val="22"/>
        </w:rPr>
        <w:t>.</w:t>
      </w:r>
      <w:r w:rsidRPr="000F1CE4">
        <w:rPr>
          <w:rFonts w:asciiTheme="majorHAnsi" w:hAnsiTheme="majorHAnsi" w:cstheme="majorHAnsi"/>
          <w:sz w:val="22"/>
          <w:szCs w:val="22"/>
        </w:rPr>
        <w:t xml:space="preserve"> </w:t>
      </w:r>
    </w:p>
    <w:p w:rsidR="003047B1" w:rsidRPr="000F1CE4" w:rsidP="003A5CC5">
      <w:pPr>
        <w:pStyle w:val="NormalWeb"/>
        <w:spacing w:line="276" w:lineRule="auto"/>
        <w:rPr>
          <w:rFonts w:asciiTheme="majorHAnsi" w:hAnsiTheme="majorHAnsi" w:cstheme="majorHAnsi"/>
          <w:sz w:val="22"/>
          <w:szCs w:val="22"/>
        </w:rPr>
      </w:pPr>
      <w:r w:rsidRPr="000F1CE4">
        <w:rPr>
          <w:rFonts w:asciiTheme="majorHAnsi" w:hAnsiTheme="majorHAnsi" w:cstheme="majorHAnsi"/>
          <w:sz w:val="22"/>
          <w:szCs w:val="22"/>
        </w:rPr>
        <w:t xml:space="preserve">Indeed, with international students accounting for nearly half of taught postgraduate enrolments at UK universities and paying on average £17,000 a year in fees, a sudden decline in overseas arrivals would mean a wide range of courses become financially unviable and cause </w:t>
      </w:r>
      <w:r w:rsidRPr="000F1CE4">
        <w:rPr>
          <w:rStyle w:val="Strong"/>
          <w:rFonts w:asciiTheme="majorHAnsi" w:hAnsiTheme="majorHAnsi" w:cstheme="majorHAnsi"/>
          <w:b w:val="0"/>
          <w:bCs w:val="0"/>
          <w:sz w:val="22"/>
          <w:szCs w:val="22"/>
        </w:rPr>
        <w:t xml:space="preserve">severe financial challenges </w:t>
      </w:r>
      <w:r w:rsidRPr="000F1CE4">
        <w:rPr>
          <w:rFonts w:asciiTheme="majorHAnsi" w:hAnsiTheme="majorHAnsi" w:cstheme="majorHAnsi"/>
          <w:sz w:val="22"/>
          <w:szCs w:val="22"/>
        </w:rPr>
        <w:t>at many institutions</w:t>
      </w:r>
      <w:r>
        <w:rPr>
          <w:rStyle w:val="FootnoteReference"/>
          <w:rFonts w:asciiTheme="majorHAnsi" w:hAnsiTheme="majorHAnsi" w:cstheme="majorHAnsi"/>
          <w:sz w:val="22"/>
          <w:szCs w:val="22"/>
        </w:rPr>
        <w:footnoteReference w:id="12"/>
      </w:r>
      <w:r w:rsidRPr="000F1CE4">
        <w:rPr>
          <w:rFonts w:asciiTheme="majorHAnsi" w:hAnsiTheme="majorHAnsi" w:cstheme="majorHAnsi"/>
          <w:sz w:val="22"/>
          <w:szCs w:val="22"/>
        </w:rPr>
        <w:t xml:space="preserve">. The Office for Students has similarly cautioned that the sector </w:t>
      </w:r>
      <w:r w:rsidRPr="000F1CE4">
        <w:rPr>
          <w:rStyle w:val="Emphasis"/>
          <w:rFonts w:asciiTheme="majorHAnsi" w:hAnsiTheme="majorHAnsi" w:cstheme="majorHAnsi"/>
          <w:sz w:val="22"/>
          <w:szCs w:val="22"/>
        </w:rPr>
        <w:t>“may not be able to rely on the recruitment of international students for financial stability in the years ahead”</w:t>
      </w:r>
      <w:r>
        <w:rPr>
          <w:rStyle w:val="FootnoteReference"/>
          <w:rFonts w:asciiTheme="majorHAnsi" w:hAnsiTheme="majorHAnsi" w:cstheme="majorHAnsi"/>
          <w:i/>
          <w:iCs/>
          <w:sz w:val="22"/>
          <w:szCs w:val="22"/>
        </w:rPr>
        <w:footnoteReference w:id="13"/>
      </w:r>
      <w:r w:rsidRPr="000F1CE4">
        <w:rPr>
          <w:rStyle w:val="Emphasis"/>
          <w:rFonts w:asciiTheme="majorHAnsi" w:hAnsiTheme="majorHAnsi" w:cstheme="majorHAnsi"/>
          <w:sz w:val="22"/>
          <w:szCs w:val="22"/>
        </w:rPr>
        <w:t>.</w:t>
      </w:r>
      <w:r w:rsidRPr="000F1CE4">
        <w:rPr>
          <w:rFonts w:asciiTheme="majorHAnsi" w:hAnsiTheme="majorHAnsi" w:cstheme="majorHAnsi"/>
          <w:sz w:val="22"/>
          <w:szCs w:val="22"/>
        </w:rPr>
        <w:t xml:space="preserve"> </w:t>
      </w:r>
    </w:p>
    <w:p w:rsidR="003047B1" w:rsidRPr="000F1CE4" w:rsidP="003A5CC5">
      <w:pPr>
        <w:pStyle w:val="NormalWeb"/>
        <w:spacing w:line="276" w:lineRule="auto"/>
        <w:rPr>
          <w:rFonts w:asciiTheme="majorHAnsi" w:hAnsiTheme="majorHAnsi" w:cstheme="majorHAnsi"/>
          <w:sz w:val="22"/>
          <w:szCs w:val="22"/>
        </w:rPr>
      </w:pPr>
      <w:r w:rsidRPr="000F1CE4">
        <w:rPr>
          <w:rStyle w:val="Strong"/>
          <w:rFonts w:asciiTheme="majorHAnsi" w:hAnsiTheme="majorHAnsi" w:cstheme="majorHAnsi"/>
          <w:sz w:val="22"/>
          <w:szCs w:val="22"/>
        </w:rPr>
        <w:t>Financial Stability and Tuition Fee Implications:</w:t>
      </w:r>
      <w:r w:rsidRPr="000F1CE4">
        <w:rPr>
          <w:rFonts w:asciiTheme="majorHAnsi" w:hAnsiTheme="majorHAnsi" w:cstheme="majorHAnsi"/>
          <w:sz w:val="22"/>
          <w:szCs w:val="22"/>
        </w:rPr>
        <w:t xml:space="preserve"> </w:t>
      </w:r>
    </w:p>
    <w:p w:rsidR="003047B1" w:rsidRPr="000F1CE4" w:rsidP="003A5CC5">
      <w:pPr>
        <w:pStyle w:val="NormalWeb"/>
        <w:spacing w:line="276" w:lineRule="auto"/>
        <w:rPr>
          <w:rFonts w:asciiTheme="majorHAnsi" w:hAnsiTheme="majorHAnsi" w:cstheme="majorHAnsi"/>
          <w:sz w:val="22"/>
          <w:szCs w:val="22"/>
        </w:rPr>
      </w:pPr>
      <w:r w:rsidRPr="000F1CE4">
        <w:rPr>
          <w:rFonts w:asciiTheme="majorHAnsi" w:hAnsiTheme="majorHAnsi" w:cstheme="majorHAnsi"/>
          <w:sz w:val="22"/>
          <w:szCs w:val="22"/>
        </w:rPr>
        <w:t xml:space="preserve">Diminished international enrolment has direct implications for universities’ financial stability and potentially detrimental impacts for domestic students. Some institutions have already responded by sharply </w:t>
      </w:r>
      <w:r w:rsidRPr="000F1CE4">
        <w:rPr>
          <w:rStyle w:val="Strong"/>
          <w:rFonts w:asciiTheme="majorHAnsi" w:hAnsiTheme="majorHAnsi" w:cstheme="majorHAnsi"/>
          <w:b w:val="0"/>
          <w:bCs w:val="0"/>
          <w:sz w:val="22"/>
          <w:szCs w:val="22"/>
        </w:rPr>
        <w:t>raising international tuition fees</w:t>
      </w:r>
      <w:r w:rsidRPr="000F1CE4">
        <w:rPr>
          <w:rFonts w:asciiTheme="majorHAnsi" w:hAnsiTheme="majorHAnsi" w:cstheme="majorHAnsi"/>
          <w:b/>
          <w:bCs/>
          <w:sz w:val="22"/>
          <w:szCs w:val="22"/>
        </w:rPr>
        <w:t xml:space="preserve"> </w:t>
      </w:r>
      <w:r w:rsidRPr="000F1CE4">
        <w:rPr>
          <w:rFonts w:asciiTheme="majorHAnsi" w:hAnsiTheme="majorHAnsi" w:cstheme="majorHAnsi"/>
          <w:sz w:val="22"/>
          <w:szCs w:val="22"/>
        </w:rPr>
        <w:t>above</w:t>
      </w:r>
      <w:r w:rsidRPr="000F1CE4">
        <w:rPr>
          <w:rFonts w:asciiTheme="majorHAnsi" w:hAnsiTheme="majorHAnsi" w:cstheme="majorHAnsi"/>
          <w:b/>
          <w:bCs/>
          <w:sz w:val="22"/>
          <w:szCs w:val="22"/>
        </w:rPr>
        <w:t xml:space="preserve"> </w:t>
      </w:r>
      <w:r w:rsidRPr="000F1CE4">
        <w:rPr>
          <w:rFonts w:asciiTheme="majorHAnsi" w:hAnsiTheme="majorHAnsi" w:cstheme="majorHAnsi"/>
          <w:sz w:val="22"/>
          <w:szCs w:val="22"/>
        </w:rPr>
        <w:t>inflation to offset lower student numbers</w:t>
      </w:r>
      <w:r>
        <w:rPr>
          <w:rStyle w:val="FootnoteReference"/>
          <w:rFonts w:asciiTheme="majorHAnsi" w:hAnsiTheme="majorHAnsi" w:cstheme="majorHAnsi"/>
          <w:sz w:val="22"/>
          <w:szCs w:val="22"/>
        </w:rPr>
        <w:footnoteReference w:id="14"/>
      </w:r>
      <w:r w:rsidRPr="000F1CE4">
        <w:rPr>
          <w:rFonts w:asciiTheme="majorHAnsi" w:hAnsiTheme="majorHAnsi" w:cstheme="majorHAnsi"/>
          <w:sz w:val="22"/>
          <w:szCs w:val="22"/>
        </w:rPr>
        <w:t xml:space="preserve">, however this strategy risks pricing out talented applicants and eroding the UK’s competitiveness. </w:t>
      </w:r>
    </w:p>
    <w:p w:rsidR="003047B1" w:rsidRPr="000F1CE4" w:rsidP="003A5CC5">
      <w:pPr>
        <w:pStyle w:val="NormalWeb"/>
        <w:spacing w:line="276" w:lineRule="auto"/>
        <w:rPr>
          <w:rFonts w:asciiTheme="majorHAnsi" w:hAnsiTheme="majorHAnsi" w:cstheme="majorHAnsi"/>
          <w:sz w:val="22"/>
          <w:szCs w:val="22"/>
        </w:rPr>
      </w:pPr>
      <w:r w:rsidRPr="000F1CE4">
        <w:rPr>
          <w:rFonts w:asciiTheme="majorHAnsi" w:hAnsiTheme="majorHAnsi" w:cstheme="majorHAnsi"/>
          <w:sz w:val="22"/>
          <w:szCs w:val="22"/>
        </w:rPr>
        <w:t>In March 2025, we held a series of focus groups with international students, which highlighted that many international students are unaware of how much their tuition fees will increase each year, as fee structures often vary annually across universities. This lack of transparency creates significant financial stress and uncertainty, making it harder for students to plan their finances. It also contributes to a growing perception that the UK is becoming a less predictable and therefore less attractive destination for international study.</w:t>
      </w:r>
    </w:p>
    <w:p w:rsidR="003047B1" w:rsidRPr="000F1CE4" w:rsidP="003A5CC5">
      <w:pPr>
        <w:pStyle w:val="NormalWeb"/>
        <w:spacing w:line="276" w:lineRule="auto"/>
        <w:rPr>
          <w:rFonts w:asciiTheme="majorHAnsi" w:hAnsiTheme="majorHAnsi" w:cstheme="majorHAnsi"/>
          <w:sz w:val="22"/>
          <w:szCs w:val="22"/>
        </w:rPr>
      </w:pPr>
      <w:r w:rsidRPr="000F1CE4">
        <w:rPr>
          <w:rFonts w:asciiTheme="majorHAnsi" w:hAnsiTheme="majorHAnsi" w:cstheme="majorHAnsi"/>
          <w:sz w:val="22"/>
          <w:szCs w:val="22"/>
        </w:rPr>
        <w:t xml:space="preserve">There is a concern that these financial pressures facing UK universities will result in the government being forced to lift the domestic fee cap in the future. We strongly oppose making domestic students bear the cost of the funding shortfall. </w:t>
      </w:r>
    </w:p>
    <w:p w:rsidR="003047B1" w:rsidRPr="000F1CE4" w:rsidP="003A5CC5">
      <w:pPr>
        <w:pStyle w:val="NormalWeb"/>
        <w:spacing w:line="276" w:lineRule="auto"/>
        <w:rPr>
          <w:rFonts w:asciiTheme="majorHAnsi" w:hAnsiTheme="majorHAnsi" w:cstheme="majorHAnsi"/>
          <w:sz w:val="22"/>
          <w:szCs w:val="22"/>
        </w:rPr>
      </w:pPr>
      <w:r w:rsidRPr="000F1CE4">
        <w:rPr>
          <w:rFonts w:asciiTheme="majorHAnsi" w:hAnsiTheme="majorHAnsi" w:cstheme="majorHAnsi"/>
          <w:sz w:val="22"/>
          <w:szCs w:val="22"/>
        </w:rPr>
        <w:t xml:space="preserve">We believe the answer is </w:t>
      </w:r>
      <w:r w:rsidRPr="000F1CE4">
        <w:rPr>
          <w:rStyle w:val="Strong"/>
          <w:rFonts w:asciiTheme="majorHAnsi" w:hAnsiTheme="majorHAnsi" w:cstheme="majorHAnsi"/>
          <w:b w:val="0"/>
          <w:bCs w:val="0"/>
          <w:sz w:val="22"/>
          <w:szCs w:val="22"/>
        </w:rPr>
        <w:t>not</w:t>
      </w:r>
      <w:r w:rsidRPr="000F1CE4">
        <w:rPr>
          <w:rFonts w:asciiTheme="majorHAnsi" w:hAnsiTheme="majorHAnsi" w:cstheme="majorHAnsi"/>
          <w:sz w:val="22"/>
          <w:szCs w:val="22"/>
        </w:rPr>
        <w:t xml:space="preserve"> to further burden students (whether home or international) with higher fees, but rather for increased and sustainable public investment in higher education. We call for increased public investment, so that institutions are not forced to rely on unstable overseas markets or ever-increasing fees charged to a limited pool of students. In the absence of such support, the financial strain on universities will only get worse. </w:t>
      </w:r>
    </w:p>
    <w:p w:rsidR="003047B1" w:rsidRPr="000F1CE4" w:rsidP="003A5CC5">
      <w:pPr>
        <w:pStyle w:val="NormalWeb"/>
        <w:spacing w:line="276" w:lineRule="auto"/>
        <w:rPr>
          <w:rFonts w:asciiTheme="majorHAnsi" w:hAnsiTheme="majorHAnsi" w:cstheme="majorHAnsi"/>
          <w:sz w:val="22"/>
          <w:szCs w:val="22"/>
        </w:rPr>
      </w:pPr>
      <w:r w:rsidRPr="000F1CE4">
        <w:rPr>
          <w:rFonts w:asciiTheme="majorHAnsi" w:hAnsiTheme="majorHAnsi" w:cstheme="majorHAnsi"/>
          <w:sz w:val="22"/>
          <w:szCs w:val="22"/>
        </w:rPr>
        <w:t>This Committee should be aware that maintaining the status quo on funding while restricting international income creates a “perfect storm” threatening both educational quality and access.</w:t>
      </w:r>
      <w:r w:rsidRPr="000F1CE4">
        <w:rPr>
          <w:rStyle w:val="FootnoteReference"/>
          <w:rFonts w:asciiTheme="majorHAnsi" w:hAnsiTheme="majorHAnsi" w:cstheme="majorHAnsi"/>
          <w:sz w:val="22"/>
          <w:szCs w:val="22"/>
        </w:rPr>
        <w:t xml:space="preserve"> </w:t>
      </w:r>
      <w:r>
        <w:rPr>
          <w:rStyle w:val="FootnoteReference"/>
          <w:rFonts w:asciiTheme="majorHAnsi" w:hAnsiTheme="majorHAnsi" w:cstheme="majorHAnsi"/>
          <w:sz w:val="22"/>
          <w:szCs w:val="22"/>
        </w:rPr>
        <w:footnoteReference w:id="15"/>
      </w:r>
      <w:r w:rsidRPr="000F1CE4">
        <w:rPr>
          <w:rFonts w:asciiTheme="majorHAnsi" w:hAnsiTheme="majorHAnsi" w:cstheme="majorHAnsi"/>
          <w:sz w:val="22"/>
          <w:szCs w:val="22"/>
        </w:rPr>
        <w:t xml:space="preserve"> </w:t>
      </w:r>
      <w:r w:rsidRPr="000F1CE4">
        <w:rPr>
          <w:rStyle w:val="Strong"/>
          <w:rFonts w:asciiTheme="majorHAnsi" w:hAnsiTheme="majorHAnsi" w:cstheme="majorHAnsi"/>
          <w:b w:val="0"/>
          <w:bCs w:val="0"/>
          <w:sz w:val="22"/>
          <w:szCs w:val="22"/>
        </w:rPr>
        <w:t>We urge that any future changes to domestic fees be approached cautiously</w:t>
      </w:r>
      <w:r w:rsidRPr="000F1CE4">
        <w:rPr>
          <w:rFonts w:asciiTheme="majorHAnsi" w:hAnsiTheme="majorHAnsi" w:cstheme="majorHAnsi"/>
          <w:sz w:val="22"/>
          <w:szCs w:val="22"/>
        </w:rPr>
        <w:t>, with students’ interests in mind, and alongside measures to address the underlying funding gap through public funding rather than by leveraging student debt.</w:t>
      </w:r>
    </w:p>
    <w:p w:rsidR="003047B1" w:rsidRPr="000F1CE4" w:rsidP="003A5CC5">
      <w:pPr>
        <w:pStyle w:val="NormalWeb"/>
        <w:spacing w:line="276" w:lineRule="auto"/>
        <w:rPr>
          <w:rFonts w:asciiTheme="majorHAnsi" w:hAnsiTheme="majorHAnsi" w:cstheme="majorHAnsi"/>
          <w:sz w:val="22"/>
          <w:szCs w:val="22"/>
        </w:rPr>
      </w:pPr>
      <w:r w:rsidRPr="000F1CE4">
        <w:rPr>
          <w:rStyle w:val="Strong"/>
          <w:rFonts w:asciiTheme="majorHAnsi" w:hAnsiTheme="majorHAnsi" w:cstheme="majorHAnsi"/>
          <w:sz w:val="22"/>
          <w:szCs w:val="22"/>
        </w:rPr>
        <w:t>Impact on Students’ Experience and Wellbeing:</w:t>
      </w:r>
      <w:r w:rsidRPr="000F1CE4">
        <w:rPr>
          <w:rFonts w:asciiTheme="majorHAnsi" w:hAnsiTheme="majorHAnsi" w:cstheme="majorHAnsi"/>
          <w:sz w:val="22"/>
          <w:szCs w:val="22"/>
        </w:rPr>
        <w:t xml:space="preserve"> </w:t>
      </w:r>
    </w:p>
    <w:p w:rsidR="003047B1" w:rsidRPr="000F1CE4" w:rsidP="003A5CC5">
      <w:pPr>
        <w:pStyle w:val="NormalWeb"/>
        <w:spacing w:line="276" w:lineRule="auto"/>
        <w:rPr>
          <w:rFonts w:asciiTheme="majorHAnsi" w:hAnsiTheme="majorHAnsi" w:cstheme="majorHAnsi"/>
          <w:sz w:val="22"/>
          <w:szCs w:val="22"/>
        </w:rPr>
      </w:pPr>
      <w:r w:rsidRPr="000F1CE4">
        <w:rPr>
          <w:rFonts w:asciiTheme="majorHAnsi" w:hAnsiTheme="majorHAnsi" w:cstheme="majorHAnsi"/>
          <w:sz w:val="22"/>
          <w:szCs w:val="22"/>
        </w:rPr>
        <w:t>Government policies not only affect finances but also the lived experience of international students, which in turn influences the UK’s attractiveness as a study destination. Our research found that only 61% of international students agree that the UK government values and welcomes them.</w:t>
      </w:r>
      <w:r>
        <w:rPr>
          <w:rStyle w:val="FootnoteReference"/>
          <w:rFonts w:asciiTheme="majorHAnsi" w:hAnsiTheme="majorHAnsi" w:cstheme="majorHAnsi"/>
          <w:sz w:val="22"/>
          <w:szCs w:val="22"/>
        </w:rPr>
        <w:footnoteReference w:id="16"/>
      </w:r>
      <w:r w:rsidRPr="000F1CE4">
        <w:rPr>
          <w:rFonts w:asciiTheme="majorHAnsi" w:hAnsiTheme="majorHAnsi" w:cstheme="majorHAnsi"/>
          <w:sz w:val="22"/>
          <w:szCs w:val="22"/>
        </w:rPr>
        <w:t xml:space="preserve"> Hostile rhetoric and policy can damage the country’s reputation abroad. We are concerned that changes to policy, such as the ban on most dependants for postgraduates and increases to the Immigration Health Surcharge and visa fees introduced by the last Government, and the proposals in the Immigration White Paper – risk creating an environment where international students feel unwelcome and financially strained. </w:t>
      </w:r>
    </w:p>
    <w:p w:rsidR="003047B1" w:rsidRPr="000F1CE4" w:rsidP="003A5CC5">
      <w:pPr>
        <w:pStyle w:val="NormalWeb"/>
        <w:spacing w:line="276" w:lineRule="auto"/>
        <w:rPr>
          <w:rFonts w:asciiTheme="majorHAnsi" w:hAnsiTheme="majorHAnsi" w:cstheme="majorHAnsi"/>
          <w:sz w:val="22"/>
          <w:szCs w:val="22"/>
        </w:rPr>
      </w:pPr>
      <w:r w:rsidRPr="000F1CE4">
        <w:rPr>
          <w:rFonts w:asciiTheme="majorHAnsi" w:hAnsiTheme="majorHAnsi" w:cstheme="majorHAnsi"/>
          <w:sz w:val="22"/>
          <w:szCs w:val="22"/>
        </w:rPr>
        <w:t xml:space="preserve">Many of these students already face steep costs and barriers: </w:t>
      </w:r>
      <w:r w:rsidRPr="000F1CE4">
        <w:rPr>
          <w:rStyle w:val="Strong"/>
          <w:rFonts w:asciiTheme="majorHAnsi" w:hAnsiTheme="majorHAnsi" w:cstheme="majorHAnsi"/>
          <w:b w:val="0"/>
          <w:bCs w:val="0"/>
          <w:sz w:val="22"/>
          <w:szCs w:val="22"/>
        </w:rPr>
        <w:t>83% worry about money frequently</w:t>
      </w:r>
      <w:r w:rsidRPr="000F1CE4">
        <w:rPr>
          <w:rFonts w:asciiTheme="majorHAnsi" w:hAnsiTheme="majorHAnsi" w:cstheme="majorHAnsi"/>
          <w:sz w:val="22"/>
          <w:szCs w:val="22"/>
        </w:rPr>
        <w:t xml:space="preserve"> and 1 in 5 report worrying “all of the time” about finances</w:t>
      </w:r>
      <w:r w:rsidRPr="000F1CE4">
        <w:rPr>
          <w:rStyle w:val="max-w-full"/>
          <w:rFonts w:asciiTheme="majorHAnsi" w:hAnsiTheme="majorHAnsi" w:cstheme="majorHAnsi"/>
          <w:sz w:val="22"/>
          <w:szCs w:val="22"/>
        </w:rPr>
        <w:t>.</w:t>
      </w:r>
      <w:r>
        <w:rPr>
          <w:rStyle w:val="FootnoteReference"/>
          <w:rFonts w:asciiTheme="majorHAnsi" w:hAnsiTheme="majorHAnsi" w:cstheme="majorHAnsi"/>
          <w:sz w:val="22"/>
          <w:szCs w:val="22"/>
        </w:rPr>
        <w:footnoteReference w:id="17"/>
      </w:r>
      <w:r w:rsidRPr="000F1CE4">
        <w:rPr>
          <w:rFonts w:asciiTheme="majorHAnsi" w:hAnsiTheme="majorHAnsi" w:cstheme="majorHAnsi"/>
          <w:sz w:val="22"/>
          <w:szCs w:val="22"/>
        </w:rPr>
        <w:t xml:space="preserve"> The median living cost for an international student (excluding tuition) is about £1,402 per month, rising to £1,635 in London, on top of tuition fees that commonly range from £20,000–30,000 per year (and far more for certain courses).</w:t>
      </w:r>
      <w:r>
        <w:rPr>
          <w:rStyle w:val="FootnoteReference"/>
          <w:rFonts w:asciiTheme="majorHAnsi" w:hAnsiTheme="majorHAnsi" w:cstheme="majorHAnsi"/>
          <w:sz w:val="22"/>
          <w:szCs w:val="22"/>
        </w:rPr>
        <w:footnoteReference w:id="18"/>
      </w:r>
      <w:r w:rsidRPr="000F1CE4">
        <w:rPr>
          <w:rFonts w:asciiTheme="majorHAnsi" w:hAnsiTheme="majorHAnsi" w:cstheme="majorHAnsi"/>
          <w:sz w:val="22"/>
          <w:szCs w:val="22"/>
        </w:rPr>
        <w:t xml:space="preserve"> These cost pressures have real human impacts, whereby </w:t>
      </w:r>
      <w:r w:rsidRPr="000F1CE4">
        <w:rPr>
          <w:rStyle w:val="Strong"/>
          <w:rFonts w:asciiTheme="majorHAnsi" w:hAnsiTheme="majorHAnsi" w:cstheme="majorHAnsi"/>
          <w:b w:val="0"/>
          <w:bCs w:val="0"/>
          <w:sz w:val="22"/>
          <w:szCs w:val="22"/>
        </w:rPr>
        <w:t>half of all international students have experienced poor mental health while studying in the UK</w:t>
      </w:r>
      <w:r w:rsidRPr="000F1CE4">
        <w:rPr>
          <w:rFonts w:asciiTheme="majorHAnsi" w:hAnsiTheme="majorHAnsi" w:cstheme="majorHAnsi"/>
          <w:sz w:val="22"/>
          <w:szCs w:val="22"/>
        </w:rPr>
        <w:t xml:space="preserve">, and many cite financial stress, housing difficulties or isolation as contributing factors. </w:t>
      </w:r>
    </w:p>
    <w:p w:rsidR="003047B1" w:rsidRPr="000F1CE4" w:rsidP="003A5CC5">
      <w:pPr>
        <w:pStyle w:val="NormalWeb"/>
        <w:spacing w:line="276" w:lineRule="auto"/>
        <w:rPr>
          <w:rFonts w:asciiTheme="majorHAnsi" w:hAnsiTheme="majorHAnsi" w:cstheme="majorHAnsi"/>
          <w:sz w:val="22"/>
          <w:szCs w:val="22"/>
        </w:rPr>
      </w:pPr>
      <w:r w:rsidRPr="000F1CE4">
        <w:rPr>
          <w:rFonts w:asciiTheme="majorHAnsi" w:hAnsiTheme="majorHAnsi" w:cstheme="majorHAnsi"/>
          <w:sz w:val="22"/>
          <w:szCs w:val="22"/>
        </w:rPr>
        <w:t>Restrictive work rules make these challenges even more difficult to manage. Currently, student visa holders are limited to 20 hours of work per week during term time (and zero if enrolled part-time). Students have told us this inflexibility does not reflect academic realities – workload peaks at exam times but leaves capacity in other weeks. A significant 33% of international students in our survey said their visa conditions had limited their ability to find part-time work while studying</w:t>
      </w:r>
      <w:r w:rsidRPr="000F1CE4">
        <w:rPr>
          <w:rStyle w:val="max-w-full"/>
          <w:rFonts w:asciiTheme="majorHAnsi" w:hAnsiTheme="majorHAnsi" w:cstheme="majorHAnsi"/>
          <w:sz w:val="22"/>
          <w:szCs w:val="22"/>
        </w:rPr>
        <w:t>.</w:t>
      </w:r>
      <w:r>
        <w:rPr>
          <w:rStyle w:val="FootnoteReference"/>
          <w:rFonts w:asciiTheme="majorHAnsi" w:hAnsiTheme="majorHAnsi" w:cstheme="majorHAnsi"/>
          <w:sz w:val="22"/>
          <w:szCs w:val="22"/>
        </w:rPr>
        <w:footnoteReference w:id="19"/>
      </w:r>
      <w:r w:rsidRPr="000F1CE4">
        <w:rPr>
          <w:rStyle w:val="max-w-full"/>
          <w:rFonts w:asciiTheme="majorHAnsi" w:hAnsiTheme="majorHAnsi" w:cstheme="majorHAnsi"/>
          <w:sz w:val="22"/>
          <w:szCs w:val="22"/>
        </w:rPr>
        <w:t xml:space="preserve"> </w:t>
      </w:r>
      <w:r w:rsidRPr="000F1CE4">
        <w:rPr>
          <w:rFonts w:asciiTheme="majorHAnsi" w:hAnsiTheme="majorHAnsi" w:cstheme="majorHAnsi"/>
          <w:sz w:val="22"/>
          <w:szCs w:val="22"/>
        </w:rPr>
        <w:t xml:space="preserve">Given current cost-of-living pressures, being able to earn more when needed would help many students support themselves </w:t>
      </w:r>
      <w:r w:rsidRPr="000F1CE4">
        <w:rPr>
          <w:rFonts w:asciiTheme="majorHAnsi" w:hAnsiTheme="majorHAnsi" w:cstheme="majorHAnsi"/>
          <w:sz w:val="22"/>
          <w:szCs w:val="22"/>
        </w:rPr>
        <w:t>and also</w:t>
      </w:r>
      <w:r w:rsidRPr="000F1CE4">
        <w:rPr>
          <w:rFonts w:asciiTheme="majorHAnsi" w:hAnsiTheme="majorHAnsi" w:cstheme="majorHAnsi"/>
          <w:sz w:val="22"/>
          <w:szCs w:val="22"/>
        </w:rPr>
        <w:t xml:space="preserve"> allow them to contribute more to the UK workforce. </w:t>
      </w:r>
    </w:p>
    <w:p w:rsidR="003047B1" w:rsidRPr="000F1CE4" w:rsidP="003A5CC5">
      <w:pPr>
        <w:pStyle w:val="NormalWeb"/>
        <w:spacing w:line="276" w:lineRule="auto"/>
        <w:rPr>
          <w:rFonts w:asciiTheme="majorHAnsi" w:hAnsiTheme="majorHAnsi" w:cstheme="majorHAnsi"/>
          <w:sz w:val="22"/>
          <w:szCs w:val="22"/>
        </w:rPr>
      </w:pPr>
      <w:r w:rsidRPr="000F1CE4">
        <w:rPr>
          <w:rStyle w:val="Strong"/>
          <w:rFonts w:asciiTheme="majorHAnsi" w:hAnsiTheme="majorHAnsi" w:cstheme="majorHAnsi"/>
          <w:sz w:val="22"/>
          <w:szCs w:val="22"/>
        </w:rPr>
        <w:t>Policy Recommendations (Theme 1):</w:t>
      </w:r>
      <w:r w:rsidRPr="000F1CE4">
        <w:rPr>
          <w:rFonts w:asciiTheme="majorHAnsi" w:hAnsiTheme="majorHAnsi" w:cstheme="majorHAnsi"/>
          <w:sz w:val="22"/>
          <w:szCs w:val="22"/>
        </w:rPr>
        <w:t xml:space="preserve"> </w:t>
      </w:r>
    </w:p>
    <w:p w:rsidR="003047B1" w:rsidRPr="000F1CE4" w:rsidP="003A5CC5">
      <w:pPr>
        <w:pStyle w:val="NormalWeb"/>
        <w:spacing w:line="276" w:lineRule="auto"/>
        <w:rPr>
          <w:rFonts w:asciiTheme="majorHAnsi" w:hAnsiTheme="majorHAnsi" w:cstheme="majorHAnsi"/>
          <w:sz w:val="22"/>
          <w:szCs w:val="22"/>
        </w:rPr>
      </w:pPr>
      <w:r w:rsidRPr="000F1CE4">
        <w:rPr>
          <w:rFonts w:asciiTheme="majorHAnsi" w:hAnsiTheme="majorHAnsi" w:cstheme="majorHAnsi"/>
          <w:sz w:val="22"/>
          <w:szCs w:val="22"/>
        </w:rPr>
        <w:t xml:space="preserve">To mitigate the financial risks and ensure the UK remains a top destination for global talent, we </w:t>
      </w:r>
      <w:r w:rsidRPr="000F1CE4">
        <w:rPr>
          <w:rFonts w:asciiTheme="majorHAnsi" w:hAnsiTheme="majorHAnsi" w:cstheme="majorHAnsi"/>
          <w:sz w:val="22"/>
          <w:szCs w:val="22"/>
        </w:rPr>
        <w:t>urges</w:t>
      </w:r>
      <w:r w:rsidRPr="000F1CE4">
        <w:rPr>
          <w:rFonts w:asciiTheme="majorHAnsi" w:hAnsiTheme="majorHAnsi" w:cstheme="majorHAnsi"/>
          <w:sz w:val="22"/>
          <w:szCs w:val="22"/>
        </w:rPr>
        <w:t xml:space="preserve"> the Government to reform its policies toward international students. Our key recommendations are:</w:t>
      </w:r>
    </w:p>
    <w:p w:rsidR="003047B1" w:rsidRPr="000F1CE4" w:rsidP="003A5CC5">
      <w:pPr>
        <w:pStyle w:val="NormalWeb"/>
        <w:numPr>
          <w:ilvl w:val="0"/>
          <w:numId w:val="3"/>
        </w:numPr>
        <w:tabs>
          <w:tab w:val="clear" w:pos="720"/>
        </w:tabs>
        <w:spacing w:line="276" w:lineRule="auto"/>
        <w:ind w:left="426"/>
        <w:rPr>
          <w:rFonts w:asciiTheme="majorHAnsi" w:hAnsiTheme="majorHAnsi" w:cstheme="majorHAnsi"/>
          <w:sz w:val="22"/>
          <w:szCs w:val="22"/>
        </w:rPr>
      </w:pPr>
      <w:r w:rsidRPr="000F1CE4">
        <w:rPr>
          <w:rFonts w:asciiTheme="majorHAnsi" w:hAnsiTheme="majorHAnsi" w:cstheme="majorHAnsi"/>
          <w:b/>
          <w:bCs/>
          <w:sz w:val="22"/>
          <w:szCs w:val="22"/>
        </w:rPr>
        <w:t>Ensure that international students are not included in Government calculations to cut net migration, and that the Government proactively continues to promote the UK as a top destination for global talent.</w:t>
      </w:r>
      <w:r w:rsidRPr="000F1CE4">
        <w:rPr>
          <w:rFonts w:asciiTheme="majorHAnsi" w:hAnsiTheme="majorHAnsi" w:cstheme="majorHAnsi"/>
          <w:sz w:val="22"/>
          <w:szCs w:val="22"/>
        </w:rPr>
        <w:t xml:space="preserve"> This would send a positive signal that the UK values international students for their contributions. </w:t>
      </w:r>
      <w:r w:rsidRPr="000F1CE4">
        <w:rPr>
          <w:rFonts w:asciiTheme="majorHAnsi" w:hAnsiTheme="majorHAnsi" w:cstheme="majorHAnsi"/>
          <w:sz w:val="22"/>
          <w:szCs w:val="22"/>
        </w:rPr>
        <w:br/>
      </w:r>
    </w:p>
    <w:p w:rsidR="003047B1" w:rsidRPr="000F1CE4" w:rsidP="003A5CC5">
      <w:pPr>
        <w:pStyle w:val="NormalWeb"/>
        <w:numPr>
          <w:ilvl w:val="0"/>
          <w:numId w:val="3"/>
        </w:numPr>
        <w:tabs>
          <w:tab w:val="clear" w:pos="720"/>
        </w:tabs>
        <w:spacing w:line="276" w:lineRule="auto"/>
        <w:ind w:left="426"/>
        <w:rPr>
          <w:rFonts w:asciiTheme="majorHAnsi" w:hAnsiTheme="majorHAnsi" w:cstheme="majorHAnsi"/>
          <w:sz w:val="22"/>
          <w:szCs w:val="22"/>
        </w:rPr>
      </w:pPr>
      <w:r w:rsidRPr="000F1CE4">
        <w:rPr>
          <w:rStyle w:val="Strong"/>
          <w:rFonts w:asciiTheme="majorHAnsi" w:hAnsiTheme="majorHAnsi" w:cstheme="majorHAnsi"/>
          <w:sz w:val="22"/>
          <w:szCs w:val="22"/>
        </w:rPr>
        <w:t>Reverse the restrictions on international students’ dependants</w:t>
      </w:r>
      <w:r w:rsidRPr="000F1CE4">
        <w:rPr>
          <w:rFonts w:asciiTheme="majorHAnsi" w:hAnsiTheme="majorHAnsi" w:cstheme="majorHAnsi"/>
          <w:sz w:val="22"/>
          <w:szCs w:val="22"/>
        </w:rPr>
        <w:t xml:space="preserve"> introduced by the last Government.</w:t>
      </w:r>
      <w:r w:rsidRPr="000F1CE4">
        <w:rPr>
          <w:rFonts w:asciiTheme="majorHAnsi" w:hAnsiTheme="majorHAnsi" w:cstheme="majorHAnsi"/>
          <w:sz w:val="22"/>
          <w:szCs w:val="22"/>
        </w:rPr>
        <w:br/>
      </w:r>
    </w:p>
    <w:p w:rsidR="003047B1" w:rsidRPr="000F1CE4" w:rsidP="003A5CC5">
      <w:pPr>
        <w:pStyle w:val="NormalWeb"/>
        <w:numPr>
          <w:ilvl w:val="0"/>
          <w:numId w:val="3"/>
        </w:numPr>
        <w:tabs>
          <w:tab w:val="clear" w:pos="720"/>
        </w:tabs>
        <w:spacing w:line="276" w:lineRule="auto"/>
        <w:ind w:left="426"/>
        <w:rPr>
          <w:rFonts w:asciiTheme="majorHAnsi" w:hAnsiTheme="majorHAnsi" w:cstheme="majorHAnsi"/>
          <w:sz w:val="22"/>
          <w:szCs w:val="22"/>
        </w:rPr>
      </w:pPr>
      <w:r w:rsidRPr="000F1CE4">
        <w:rPr>
          <w:rStyle w:val="Strong"/>
          <w:rFonts w:asciiTheme="majorHAnsi" w:hAnsiTheme="majorHAnsi" w:cstheme="majorHAnsi"/>
          <w:sz w:val="22"/>
          <w:szCs w:val="22"/>
        </w:rPr>
        <w:t>Maintain an attractive post-study work offer (Graduate Route).</w:t>
      </w:r>
      <w:r w:rsidRPr="000F1CE4">
        <w:rPr>
          <w:rFonts w:asciiTheme="majorHAnsi" w:hAnsiTheme="majorHAnsi" w:cstheme="majorHAnsi"/>
          <w:sz w:val="22"/>
          <w:szCs w:val="22"/>
        </w:rPr>
        <w:t xml:space="preserve"> The re-introduction of the two-year Graduate Route visa has been a successful policy, and it is crucial that it be retained </w:t>
      </w:r>
      <w:r w:rsidRPr="000F1CE4">
        <w:rPr>
          <w:rStyle w:val="Strong"/>
          <w:rFonts w:asciiTheme="majorHAnsi" w:hAnsiTheme="majorHAnsi" w:cstheme="majorHAnsi"/>
          <w:b w:val="0"/>
          <w:bCs w:val="0"/>
          <w:sz w:val="22"/>
          <w:szCs w:val="22"/>
        </w:rPr>
        <w:t>in its current form</w:t>
      </w:r>
      <w:r w:rsidRPr="000F1CE4">
        <w:rPr>
          <w:rFonts w:asciiTheme="majorHAnsi" w:hAnsiTheme="majorHAnsi" w:cstheme="majorHAnsi"/>
          <w:sz w:val="22"/>
          <w:szCs w:val="22"/>
        </w:rPr>
        <w:t>. We urge the Government to reverse its proposal to reduce the Graduate Route to 18 months.</w:t>
      </w:r>
      <w:r w:rsidRPr="000F1CE4">
        <w:rPr>
          <w:rFonts w:asciiTheme="majorHAnsi" w:hAnsiTheme="majorHAnsi" w:cstheme="majorHAnsi"/>
          <w:sz w:val="22"/>
          <w:szCs w:val="22"/>
        </w:rPr>
        <w:br/>
      </w:r>
    </w:p>
    <w:p w:rsidR="003047B1" w:rsidRPr="000F1CE4" w:rsidP="003A5CC5">
      <w:pPr>
        <w:pStyle w:val="NormalWeb"/>
        <w:numPr>
          <w:ilvl w:val="0"/>
          <w:numId w:val="3"/>
        </w:numPr>
        <w:tabs>
          <w:tab w:val="clear" w:pos="720"/>
        </w:tabs>
        <w:spacing w:line="276" w:lineRule="auto"/>
        <w:ind w:left="426"/>
        <w:rPr>
          <w:rFonts w:asciiTheme="majorHAnsi" w:hAnsiTheme="majorHAnsi" w:cstheme="majorHAnsi"/>
          <w:sz w:val="22"/>
          <w:szCs w:val="22"/>
        </w:rPr>
      </w:pPr>
      <w:r w:rsidRPr="000F1CE4">
        <w:rPr>
          <w:rStyle w:val="Strong"/>
          <w:rFonts w:asciiTheme="majorHAnsi" w:hAnsiTheme="majorHAnsi" w:cstheme="majorHAnsi"/>
          <w:sz w:val="22"/>
          <w:szCs w:val="22"/>
        </w:rPr>
        <w:t>Implement common-sense visa reforms to reduce costs and improve flexibility.</w:t>
      </w:r>
      <w:r w:rsidRPr="000F1CE4">
        <w:rPr>
          <w:rFonts w:asciiTheme="majorHAnsi" w:hAnsiTheme="majorHAnsi" w:cstheme="majorHAnsi"/>
          <w:sz w:val="22"/>
          <w:szCs w:val="22"/>
        </w:rPr>
        <w:t xml:space="preserve"> The Government should </w:t>
      </w:r>
      <w:r w:rsidRPr="000F1CE4">
        <w:rPr>
          <w:rStyle w:val="Strong"/>
          <w:rFonts w:asciiTheme="majorHAnsi" w:hAnsiTheme="majorHAnsi" w:cstheme="majorHAnsi"/>
          <w:sz w:val="22"/>
          <w:szCs w:val="22"/>
        </w:rPr>
        <w:t>freeze or reduce visa application fees and the Immigration Health Surcharge for students</w:t>
      </w:r>
      <w:r w:rsidRPr="000F1CE4">
        <w:rPr>
          <w:rFonts w:asciiTheme="majorHAnsi" w:hAnsiTheme="majorHAnsi" w:cstheme="majorHAnsi"/>
          <w:sz w:val="22"/>
          <w:szCs w:val="22"/>
        </w:rPr>
        <w:t xml:space="preserve">. Recent above-inflation hikes to these charges risk </w:t>
      </w:r>
      <w:r w:rsidRPr="000F1CE4">
        <w:rPr>
          <w:rStyle w:val="Strong"/>
          <w:rFonts w:asciiTheme="majorHAnsi" w:hAnsiTheme="majorHAnsi" w:cstheme="majorHAnsi"/>
          <w:b w:val="0"/>
          <w:bCs w:val="0"/>
          <w:sz w:val="22"/>
          <w:szCs w:val="22"/>
        </w:rPr>
        <w:t>“pricing out many of the best and brightest students”</w:t>
      </w:r>
      <w:r w:rsidRPr="000F1CE4">
        <w:rPr>
          <w:rFonts w:asciiTheme="majorHAnsi" w:hAnsiTheme="majorHAnsi" w:cstheme="majorHAnsi"/>
          <w:sz w:val="22"/>
          <w:szCs w:val="22"/>
        </w:rPr>
        <w:t xml:space="preserve"> who may choose more affordable countries instead. </w:t>
      </w:r>
      <w:r w:rsidRPr="000F1CE4">
        <w:rPr>
          <w:rFonts w:asciiTheme="majorHAnsi" w:hAnsiTheme="majorHAnsi" w:cstheme="majorHAnsi"/>
          <w:sz w:val="22"/>
          <w:szCs w:val="22"/>
        </w:rPr>
        <w:br/>
      </w:r>
    </w:p>
    <w:p w:rsidR="003047B1" w:rsidRPr="000F1CE4" w:rsidP="003A5CC5">
      <w:pPr>
        <w:pStyle w:val="NormalWeb"/>
        <w:numPr>
          <w:ilvl w:val="0"/>
          <w:numId w:val="3"/>
        </w:numPr>
        <w:tabs>
          <w:tab w:val="clear" w:pos="720"/>
        </w:tabs>
        <w:spacing w:line="276" w:lineRule="auto"/>
        <w:ind w:left="426"/>
        <w:rPr>
          <w:rFonts w:asciiTheme="majorHAnsi" w:hAnsiTheme="majorHAnsi" w:cstheme="majorHAnsi"/>
          <w:sz w:val="22"/>
          <w:szCs w:val="22"/>
        </w:rPr>
      </w:pPr>
      <w:r w:rsidRPr="000F1CE4">
        <w:rPr>
          <w:rStyle w:val="Strong"/>
          <w:rFonts w:asciiTheme="majorHAnsi" w:hAnsiTheme="majorHAnsi" w:cstheme="majorHAnsi"/>
          <w:sz w:val="22"/>
          <w:szCs w:val="22"/>
        </w:rPr>
        <w:t>Greater work rights for student visa holders</w:t>
      </w:r>
      <w:r w:rsidRPr="000F1CE4">
        <w:rPr>
          <w:rFonts w:asciiTheme="majorHAnsi" w:hAnsiTheme="majorHAnsi" w:cstheme="majorHAnsi"/>
          <w:sz w:val="22"/>
          <w:szCs w:val="22"/>
        </w:rPr>
        <w:t>, such as allowing 48 hours per fortnight, to ensure greater flexibility for international students.</w:t>
      </w:r>
    </w:p>
    <w:p w:rsidR="003047B1" w:rsidRPr="000F1CE4" w:rsidP="003A5CC5">
      <w:pPr>
        <w:pStyle w:val="Heading2"/>
        <w:rPr>
          <w:rFonts w:asciiTheme="majorHAnsi" w:hAnsiTheme="majorHAnsi" w:cstheme="majorHAnsi"/>
          <w:b/>
          <w:bCs/>
          <w:sz w:val="22"/>
          <w:szCs w:val="22"/>
        </w:rPr>
      </w:pPr>
      <w:r w:rsidRPr="000F1CE4">
        <w:rPr>
          <w:rFonts w:asciiTheme="majorHAnsi" w:hAnsiTheme="majorHAnsi" w:cstheme="majorHAnsi"/>
          <w:b/>
          <w:bCs/>
          <w:sz w:val="22"/>
          <w:szCs w:val="22"/>
        </w:rPr>
        <w:t>Ramifications of Institutional Insolvency and Regional Impact</w:t>
      </w:r>
    </w:p>
    <w:p w:rsidR="003047B1" w:rsidRPr="000F1CE4" w:rsidP="003A5CC5">
      <w:pPr>
        <w:pStyle w:val="NormalWeb"/>
        <w:spacing w:line="276" w:lineRule="auto"/>
        <w:rPr>
          <w:rFonts w:asciiTheme="majorHAnsi" w:hAnsiTheme="majorHAnsi" w:cstheme="majorHAnsi"/>
          <w:sz w:val="22"/>
          <w:szCs w:val="22"/>
        </w:rPr>
      </w:pPr>
      <w:r w:rsidRPr="000F1CE4">
        <w:rPr>
          <w:rStyle w:val="Strong"/>
          <w:rFonts w:asciiTheme="majorHAnsi" w:hAnsiTheme="majorHAnsi" w:cstheme="majorHAnsi"/>
          <w:sz w:val="22"/>
          <w:szCs w:val="22"/>
        </w:rPr>
        <w:t>Consequences of a University Insolvency:</w:t>
      </w:r>
      <w:r w:rsidRPr="000F1CE4">
        <w:rPr>
          <w:rFonts w:asciiTheme="majorHAnsi" w:hAnsiTheme="majorHAnsi" w:cstheme="majorHAnsi"/>
          <w:sz w:val="22"/>
          <w:szCs w:val="22"/>
        </w:rPr>
        <w:t xml:space="preserve"> </w:t>
      </w:r>
    </w:p>
    <w:p w:rsidR="003047B1" w:rsidRPr="000F1CE4" w:rsidP="003A5CC5">
      <w:pPr>
        <w:pStyle w:val="NormalWeb"/>
        <w:spacing w:line="276" w:lineRule="auto"/>
        <w:rPr>
          <w:rFonts w:asciiTheme="majorHAnsi" w:hAnsiTheme="majorHAnsi" w:cstheme="majorHAnsi"/>
          <w:sz w:val="22"/>
          <w:szCs w:val="22"/>
        </w:rPr>
      </w:pPr>
      <w:r w:rsidRPr="000F1CE4">
        <w:rPr>
          <w:rFonts w:asciiTheme="majorHAnsi" w:hAnsiTheme="majorHAnsi" w:cstheme="majorHAnsi"/>
          <w:sz w:val="22"/>
          <w:szCs w:val="22"/>
        </w:rPr>
        <w:t xml:space="preserve">The collapse or insolvency of a higher education provider would have devastating effects on students, staff, and regional economies. Universities are </w:t>
      </w:r>
      <w:r w:rsidRPr="000F1CE4">
        <w:rPr>
          <w:rStyle w:val="Emphasis"/>
          <w:rFonts w:asciiTheme="majorHAnsi" w:hAnsiTheme="majorHAnsi" w:cstheme="majorHAnsi"/>
          <w:sz w:val="22"/>
          <w:szCs w:val="22"/>
        </w:rPr>
        <w:t>“the lifeblood of their local economies”</w:t>
      </w:r>
      <w:r w:rsidRPr="000F1CE4">
        <w:rPr>
          <w:rFonts w:asciiTheme="majorHAnsi" w:hAnsiTheme="majorHAnsi" w:cstheme="majorHAnsi"/>
          <w:sz w:val="22"/>
          <w:szCs w:val="22"/>
        </w:rPr>
        <w:t>,</w:t>
      </w:r>
      <w:r>
        <w:rPr>
          <w:rStyle w:val="FootnoteReference"/>
          <w:rFonts w:asciiTheme="majorHAnsi" w:hAnsiTheme="majorHAnsi" w:cstheme="majorHAnsi"/>
          <w:sz w:val="22"/>
          <w:szCs w:val="22"/>
        </w:rPr>
        <w:footnoteReference w:id="20"/>
      </w:r>
      <w:r w:rsidRPr="000F1CE4">
        <w:rPr>
          <w:rFonts w:asciiTheme="majorHAnsi" w:hAnsiTheme="majorHAnsi" w:cstheme="majorHAnsi"/>
          <w:sz w:val="22"/>
          <w:szCs w:val="22"/>
        </w:rPr>
        <w:t xml:space="preserve"> sustaining thousands of jobs (both within the institution and indirectly through local businesses), providing educational opportunities, driving innovation, and anchoring communities. If a university were to become insolvent and cease operations, the immediate consequences would </w:t>
      </w:r>
      <w:r w:rsidRPr="000F1CE4">
        <w:rPr>
          <w:rFonts w:asciiTheme="majorHAnsi" w:hAnsiTheme="majorHAnsi" w:cstheme="majorHAnsi"/>
          <w:sz w:val="22"/>
          <w:szCs w:val="22"/>
        </w:rPr>
        <w:t>include:</w:t>
      </w:r>
      <w:r w:rsidRPr="000F1CE4">
        <w:rPr>
          <w:rFonts w:asciiTheme="majorHAnsi" w:hAnsiTheme="majorHAnsi" w:cstheme="majorHAnsi"/>
          <w:sz w:val="22"/>
          <w:szCs w:val="22"/>
        </w:rPr>
        <w:t xml:space="preserve"> disruption or termination of education for its students; loss of employment for academic and support staff; and a shock to the local economy as student spending halt. </w:t>
      </w:r>
    </w:p>
    <w:p w:rsidR="003047B1" w:rsidRPr="000F1CE4" w:rsidP="003A5CC5">
      <w:pPr>
        <w:pStyle w:val="NormalWeb"/>
        <w:spacing w:line="276" w:lineRule="auto"/>
        <w:rPr>
          <w:rFonts w:asciiTheme="majorHAnsi" w:hAnsiTheme="majorHAnsi" w:cstheme="majorHAnsi"/>
          <w:sz w:val="22"/>
          <w:szCs w:val="22"/>
        </w:rPr>
      </w:pPr>
      <w:r w:rsidRPr="000F1CE4">
        <w:rPr>
          <w:rFonts w:asciiTheme="majorHAnsi" w:hAnsiTheme="majorHAnsi" w:cstheme="majorHAnsi"/>
          <w:sz w:val="22"/>
          <w:szCs w:val="22"/>
        </w:rPr>
        <w:t xml:space="preserve">Students would need costly and difficult transfers to other and many might simply be unable to continue their courses – particularly if they are international students with visa conditions tied to a specific institution. </w:t>
      </w:r>
    </w:p>
    <w:p w:rsidR="003047B1" w:rsidRPr="000F1CE4" w:rsidP="003A5CC5">
      <w:pPr>
        <w:pStyle w:val="NormalWeb"/>
        <w:spacing w:line="276" w:lineRule="auto"/>
        <w:rPr>
          <w:rFonts w:asciiTheme="majorHAnsi" w:hAnsiTheme="majorHAnsi" w:cstheme="majorHAnsi"/>
          <w:sz w:val="22"/>
          <w:szCs w:val="22"/>
        </w:rPr>
      </w:pPr>
      <w:r w:rsidRPr="000F1CE4">
        <w:rPr>
          <w:rFonts w:asciiTheme="majorHAnsi" w:hAnsiTheme="majorHAnsi" w:cstheme="majorHAnsi"/>
          <w:sz w:val="22"/>
          <w:szCs w:val="22"/>
        </w:rPr>
        <w:t xml:space="preserve">Research projects with regional or national importance could be abandoned mid-stream. Certain towns and cities in the UK are </w:t>
      </w:r>
      <w:r w:rsidRPr="000F1CE4">
        <w:rPr>
          <w:rStyle w:val="Strong"/>
          <w:rFonts w:asciiTheme="majorHAnsi" w:hAnsiTheme="majorHAnsi" w:cstheme="majorHAnsi"/>
          <w:b w:val="0"/>
          <w:bCs w:val="0"/>
          <w:sz w:val="22"/>
          <w:szCs w:val="22"/>
        </w:rPr>
        <w:t>heavily intertwined with their universities</w:t>
      </w:r>
      <w:r w:rsidRPr="000F1CE4">
        <w:rPr>
          <w:rFonts w:asciiTheme="majorHAnsi" w:hAnsiTheme="majorHAnsi" w:cstheme="majorHAnsi"/>
          <w:b/>
          <w:bCs/>
          <w:sz w:val="22"/>
          <w:szCs w:val="22"/>
        </w:rPr>
        <w:t xml:space="preserve"> </w:t>
      </w:r>
      <w:r w:rsidRPr="000F1CE4">
        <w:rPr>
          <w:rFonts w:asciiTheme="majorHAnsi" w:hAnsiTheme="majorHAnsi" w:cstheme="majorHAnsi"/>
          <w:sz w:val="22"/>
          <w:szCs w:val="22"/>
        </w:rPr>
        <w:t xml:space="preserve">– from private landlords renting to students, to shops, cafes and taxi services depending on student custom, to partnerships between universities and local schools or healthcare providers. </w:t>
      </w:r>
    </w:p>
    <w:p w:rsidR="003047B1" w:rsidRPr="000F1CE4" w:rsidP="003A5CC5">
      <w:pPr>
        <w:pStyle w:val="NormalWeb"/>
        <w:spacing w:line="276" w:lineRule="auto"/>
        <w:rPr>
          <w:rFonts w:asciiTheme="majorHAnsi" w:hAnsiTheme="majorHAnsi" w:cstheme="majorHAnsi"/>
          <w:sz w:val="22"/>
          <w:szCs w:val="22"/>
        </w:rPr>
      </w:pPr>
      <w:r w:rsidRPr="000F1CE4">
        <w:rPr>
          <w:rFonts w:asciiTheme="majorHAnsi" w:hAnsiTheme="majorHAnsi" w:cstheme="majorHAnsi"/>
          <w:sz w:val="22"/>
          <w:szCs w:val="22"/>
        </w:rPr>
        <w:t>We would also expect long-term reputational harm for UK higher education as a whole – the rare occurrence of a university going bankrupt would make international partners and students question the security of studying here.  It’s important to note that recent changes in visa policy have already undermined the confidence of prospective international students, and any insolvency and its fallout are likely to have lasting implications for student recruitment, potentially creating cyclical financial pressures across the sector.</w:t>
      </w:r>
    </w:p>
    <w:p w:rsidR="003047B1" w:rsidRPr="000F1CE4" w:rsidP="003A5CC5">
      <w:pPr>
        <w:pStyle w:val="NormalWeb"/>
        <w:spacing w:line="276" w:lineRule="auto"/>
        <w:rPr>
          <w:rFonts w:asciiTheme="majorHAnsi" w:hAnsiTheme="majorHAnsi" w:cstheme="majorHAnsi"/>
          <w:sz w:val="22"/>
          <w:szCs w:val="22"/>
        </w:rPr>
      </w:pPr>
      <w:r w:rsidRPr="000F1CE4">
        <w:rPr>
          <w:rStyle w:val="Strong"/>
          <w:rFonts w:asciiTheme="majorHAnsi" w:hAnsiTheme="majorHAnsi" w:cstheme="majorHAnsi"/>
          <w:sz w:val="22"/>
          <w:szCs w:val="22"/>
        </w:rPr>
        <w:t>International Students’ Role in Local Growth and Public Services:</w:t>
      </w:r>
      <w:r w:rsidRPr="000F1CE4">
        <w:rPr>
          <w:rFonts w:asciiTheme="majorHAnsi" w:hAnsiTheme="majorHAnsi" w:cstheme="majorHAnsi"/>
          <w:sz w:val="22"/>
          <w:szCs w:val="22"/>
        </w:rPr>
        <w:t xml:space="preserve"> </w:t>
      </w:r>
    </w:p>
    <w:p w:rsidR="003047B1" w:rsidRPr="000F1CE4" w:rsidP="003A5CC5">
      <w:pPr>
        <w:pStyle w:val="NormalWeb"/>
        <w:spacing w:line="276" w:lineRule="auto"/>
        <w:rPr>
          <w:rFonts w:asciiTheme="majorHAnsi" w:hAnsiTheme="majorHAnsi" w:cstheme="majorHAnsi"/>
          <w:sz w:val="22"/>
          <w:szCs w:val="22"/>
        </w:rPr>
      </w:pPr>
      <w:r w:rsidRPr="000F1CE4">
        <w:rPr>
          <w:rFonts w:asciiTheme="majorHAnsi" w:hAnsiTheme="majorHAnsi" w:cstheme="majorHAnsi"/>
          <w:sz w:val="22"/>
          <w:szCs w:val="22"/>
        </w:rPr>
        <w:t xml:space="preserve">International students make significant positive contributions to the regions and cities in which they study. First, they contribute economically </w:t>
      </w:r>
      <w:r w:rsidRPr="000F1CE4">
        <w:rPr>
          <w:rStyle w:val="Strong"/>
          <w:rFonts w:asciiTheme="majorHAnsi" w:hAnsiTheme="majorHAnsi" w:cstheme="majorHAnsi"/>
          <w:b w:val="0"/>
          <w:bCs w:val="0"/>
          <w:sz w:val="22"/>
          <w:szCs w:val="22"/>
        </w:rPr>
        <w:t>through their spending on housing, food, transport and other living expenses</w:t>
      </w:r>
      <w:r w:rsidRPr="000F1CE4">
        <w:rPr>
          <w:rFonts w:asciiTheme="majorHAnsi" w:hAnsiTheme="majorHAnsi" w:cstheme="majorHAnsi"/>
          <w:sz w:val="22"/>
          <w:szCs w:val="22"/>
        </w:rPr>
        <w:t>. An average international student spends around £1,400 per month on living in London and slightly less in other regions, which flows directly into local businesses and the housing rental market.</w:t>
      </w:r>
      <w:r>
        <w:rPr>
          <w:rStyle w:val="FootnoteReference"/>
          <w:rFonts w:asciiTheme="majorHAnsi" w:hAnsiTheme="majorHAnsi" w:cstheme="majorHAnsi"/>
          <w:sz w:val="22"/>
          <w:szCs w:val="22"/>
        </w:rPr>
        <w:footnoteReference w:id="21"/>
      </w:r>
      <w:r w:rsidRPr="000F1CE4">
        <w:rPr>
          <w:rFonts w:asciiTheme="majorHAnsi" w:hAnsiTheme="majorHAnsi" w:cstheme="majorHAnsi"/>
          <w:sz w:val="22"/>
          <w:szCs w:val="22"/>
        </w:rPr>
        <w:t xml:space="preserve"> </w:t>
      </w:r>
    </w:p>
    <w:p w:rsidR="003047B1" w:rsidRPr="000F1CE4" w:rsidP="003A5CC5">
      <w:pPr>
        <w:pStyle w:val="NormalWeb"/>
        <w:spacing w:line="276" w:lineRule="auto"/>
        <w:rPr>
          <w:rFonts w:asciiTheme="majorHAnsi" w:hAnsiTheme="majorHAnsi" w:cstheme="majorHAnsi"/>
          <w:sz w:val="22"/>
          <w:szCs w:val="22"/>
        </w:rPr>
      </w:pPr>
      <w:r w:rsidRPr="000F1CE4">
        <w:rPr>
          <w:rFonts w:asciiTheme="majorHAnsi" w:hAnsiTheme="majorHAnsi" w:cstheme="majorHAnsi"/>
          <w:sz w:val="22"/>
          <w:szCs w:val="22"/>
        </w:rPr>
        <w:t xml:space="preserve">For many university towns, international students represent an important consumer base that supports jobs in retail, hospitality and beyond. Furthermore, international students often </w:t>
      </w:r>
      <w:r w:rsidRPr="000F1CE4">
        <w:rPr>
          <w:rStyle w:val="Strong"/>
          <w:rFonts w:asciiTheme="majorHAnsi" w:hAnsiTheme="majorHAnsi" w:cstheme="majorHAnsi"/>
          <w:b w:val="0"/>
          <w:bCs w:val="0"/>
          <w:sz w:val="22"/>
          <w:szCs w:val="22"/>
        </w:rPr>
        <w:t>fill part-time jobs in the local economy</w:t>
      </w:r>
      <w:r w:rsidRPr="000F1CE4">
        <w:rPr>
          <w:rFonts w:asciiTheme="majorHAnsi" w:hAnsiTheme="majorHAnsi" w:cstheme="majorHAnsi"/>
          <w:sz w:val="22"/>
          <w:szCs w:val="22"/>
        </w:rPr>
        <w:t xml:space="preserve">, particularly in sectors like hospitality, catering, and customer service. While studying, about 15% of </w:t>
      </w:r>
      <w:r w:rsidRPr="000F1CE4">
        <w:rPr>
          <w:rFonts w:asciiTheme="majorHAnsi" w:hAnsiTheme="majorHAnsi" w:cstheme="majorHAnsi"/>
          <w:sz w:val="22"/>
          <w:szCs w:val="22"/>
        </w:rPr>
        <w:t>international students work part-time, and nearly half of those are employed in retail, food, or customer service roles that keep local establishments running</w:t>
      </w:r>
      <w:r w:rsidRPr="000F1CE4">
        <w:rPr>
          <w:rStyle w:val="max-w-full"/>
          <w:rFonts w:asciiTheme="majorHAnsi" w:hAnsiTheme="majorHAnsi" w:cstheme="majorHAnsi"/>
          <w:sz w:val="22"/>
          <w:szCs w:val="22"/>
        </w:rPr>
        <w:t>.</w:t>
      </w:r>
      <w:r>
        <w:rPr>
          <w:rStyle w:val="FootnoteReference"/>
          <w:rFonts w:asciiTheme="majorHAnsi" w:hAnsiTheme="majorHAnsi" w:cstheme="majorHAnsi"/>
          <w:sz w:val="22"/>
          <w:szCs w:val="22"/>
        </w:rPr>
        <w:footnoteReference w:id="22"/>
      </w:r>
      <w:r w:rsidRPr="000F1CE4">
        <w:rPr>
          <w:rStyle w:val="max-w-full"/>
          <w:rFonts w:asciiTheme="majorHAnsi" w:hAnsiTheme="majorHAnsi" w:cstheme="majorHAnsi"/>
          <w:sz w:val="22"/>
          <w:szCs w:val="22"/>
        </w:rPr>
        <w:t xml:space="preserve"> </w:t>
      </w:r>
    </w:p>
    <w:p w:rsidR="003047B1" w:rsidRPr="000F1CE4" w:rsidP="003A5CC5">
      <w:pPr>
        <w:pStyle w:val="NormalWeb"/>
        <w:spacing w:line="276" w:lineRule="auto"/>
        <w:rPr>
          <w:rFonts w:asciiTheme="majorHAnsi" w:hAnsiTheme="majorHAnsi" w:cstheme="majorHAnsi"/>
          <w:sz w:val="22"/>
          <w:szCs w:val="22"/>
        </w:rPr>
      </w:pPr>
      <w:r w:rsidRPr="000F1CE4">
        <w:rPr>
          <w:rFonts w:asciiTheme="majorHAnsi" w:hAnsiTheme="majorHAnsi" w:cstheme="majorHAnsi"/>
          <w:sz w:val="22"/>
          <w:szCs w:val="22"/>
        </w:rPr>
        <w:t>International students are also deeply engaged in their communities socially and civically. Our research found that</w:t>
      </w:r>
      <w:r w:rsidRPr="000F1CE4">
        <w:rPr>
          <w:rFonts w:asciiTheme="majorHAnsi" w:hAnsiTheme="majorHAnsi" w:cstheme="majorHAnsi"/>
          <w:b/>
          <w:bCs/>
          <w:sz w:val="22"/>
          <w:szCs w:val="22"/>
        </w:rPr>
        <w:t xml:space="preserve"> </w:t>
      </w:r>
      <w:r w:rsidRPr="000F1CE4">
        <w:rPr>
          <w:rStyle w:val="Strong"/>
          <w:rFonts w:asciiTheme="majorHAnsi" w:hAnsiTheme="majorHAnsi" w:cstheme="majorHAnsi"/>
          <w:b w:val="0"/>
          <w:bCs w:val="0"/>
          <w:sz w:val="22"/>
          <w:szCs w:val="22"/>
        </w:rPr>
        <w:t>1 in 5 international students volunteer during their time at university</w:t>
      </w:r>
      <w:r w:rsidRPr="000F1CE4">
        <w:rPr>
          <w:rFonts w:asciiTheme="majorHAnsi" w:hAnsiTheme="majorHAnsi" w:cstheme="majorHAnsi"/>
          <w:sz w:val="22"/>
          <w:szCs w:val="22"/>
        </w:rPr>
        <w:t xml:space="preserve">, giving back through activities such as working with community organisations. This volunteering not only benefits the local community but also helps students integrate and build social networks. </w:t>
      </w:r>
    </w:p>
    <w:p w:rsidR="003047B1" w:rsidRPr="000F1CE4" w:rsidP="003A5CC5">
      <w:pPr>
        <w:pStyle w:val="NormalWeb"/>
        <w:spacing w:line="276" w:lineRule="auto"/>
        <w:rPr>
          <w:rFonts w:asciiTheme="majorHAnsi" w:hAnsiTheme="majorHAnsi" w:cstheme="majorHAnsi"/>
          <w:sz w:val="22"/>
          <w:szCs w:val="22"/>
        </w:rPr>
      </w:pPr>
      <w:r w:rsidRPr="000F1CE4">
        <w:rPr>
          <w:rFonts w:asciiTheme="majorHAnsi" w:hAnsiTheme="majorHAnsi" w:cstheme="majorHAnsi"/>
          <w:sz w:val="22"/>
          <w:szCs w:val="22"/>
        </w:rPr>
        <w:t xml:space="preserve">Beyond volunteering, international students bring diversity and global perspectives, improving the cultural life of campuses and cities. They share their traditions, food, which helps create cross-cultural understanding. As Abtisam Mohamed MP in Sheffield observed, international students by their presence </w:t>
      </w:r>
      <w:r w:rsidRPr="000F1CE4">
        <w:rPr>
          <w:rStyle w:val="Emphasis"/>
          <w:rFonts w:asciiTheme="majorHAnsi" w:hAnsiTheme="majorHAnsi" w:cstheme="majorHAnsi"/>
          <w:sz w:val="22"/>
          <w:szCs w:val="22"/>
        </w:rPr>
        <w:t>“make [the city] a brilliant example of what modern Britain is today,”</w:t>
      </w:r>
      <w:r w:rsidRPr="000F1CE4">
        <w:rPr>
          <w:rFonts w:asciiTheme="majorHAnsi" w:hAnsiTheme="majorHAnsi" w:cstheme="majorHAnsi"/>
          <w:sz w:val="22"/>
          <w:szCs w:val="22"/>
        </w:rPr>
        <w:t xml:space="preserve"> through everything from working in local businesses to sharing their culture.</w:t>
      </w:r>
      <w:r>
        <w:rPr>
          <w:rStyle w:val="FootnoteReference"/>
          <w:rFonts w:asciiTheme="majorHAnsi" w:hAnsiTheme="majorHAnsi" w:cstheme="majorHAnsi"/>
          <w:sz w:val="22"/>
          <w:szCs w:val="22"/>
        </w:rPr>
        <w:footnoteReference w:id="23"/>
      </w:r>
    </w:p>
    <w:p w:rsidR="003047B1" w:rsidRPr="000F1CE4" w:rsidP="003A5CC5">
      <w:pPr>
        <w:pStyle w:val="NormalWeb"/>
        <w:spacing w:line="276" w:lineRule="auto"/>
        <w:rPr>
          <w:rFonts w:asciiTheme="majorHAnsi" w:hAnsiTheme="majorHAnsi" w:cstheme="majorHAnsi"/>
          <w:sz w:val="22"/>
          <w:szCs w:val="22"/>
        </w:rPr>
      </w:pPr>
      <w:r w:rsidRPr="000F1CE4">
        <w:rPr>
          <w:rStyle w:val="Strong"/>
          <w:rFonts w:asciiTheme="majorHAnsi" w:hAnsiTheme="majorHAnsi" w:cstheme="majorHAnsi"/>
          <w:sz w:val="22"/>
          <w:szCs w:val="22"/>
        </w:rPr>
        <w:t>Preventing Insolvency and Ensuring Sustainable Regional Provision:</w:t>
      </w:r>
      <w:r w:rsidRPr="000F1CE4">
        <w:rPr>
          <w:rFonts w:asciiTheme="majorHAnsi" w:hAnsiTheme="majorHAnsi" w:cstheme="majorHAnsi"/>
          <w:sz w:val="22"/>
          <w:szCs w:val="22"/>
        </w:rPr>
        <w:t xml:space="preserve"> </w:t>
      </w:r>
    </w:p>
    <w:p w:rsidR="003047B1" w:rsidRPr="000F1CE4" w:rsidP="003A5CC5">
      <w:pPr>
        <w:pStyle w:val="NormalWeb"/>
        <w:spacing w:line="276" w:lineRule="auto"/>
        <w:rPr>
          <w:rFonts w:asciiTheme="majorHAnsi" w:hAnsiTheme="majorHAnsi" w:cstheme="majorHAnsi"/>
          <w:sz w:val="22"/>
          <w:szCs w:val="22"/>
        </w:rPr>
      </w:pPr>
      <w:r w:rsidRPr="000F1CE4">
        <w:rPr>
          <w:rFonts w:asciiTheme="majorHAnsi" w:hAnsiTheme="majorHAnsi" w:cstheme="majorHAnsi"/>
          <w:sz w:val="22"/>
          <w:szCs w:val="22"/>
        </w:rPr>
        <w:t>We believe that proactive strategies are needed to avoid university insolvencies and to maintain a wide geographic distribution of higher education opportunities. We put forward the following approaches:</w:t>
      </w:r>
    </w:p>
    <w:p w:rsidR="003047B1" w:rsidRPr="000F1CE4" w:rsidP="003A5CC5">
      <w:pPr>
        <w:pStyle w:val="NormalWeb"/>
        <w:numPr>
          <w:ilvl w:val="0"/>
          <w:numId w:val="1"/>
        </w:numPr>
        <w:tabs>
          <w:tab w:val="num" w:pos="426"/>
          <w:tab w:val="clear" w:pos="720"/>
        </w:tabs>
        <w:spacing w:line="276" w:lineRule="auto"/>
        <w:ind w:left="426" w:hanging="349"/>
        <w:rPr>
          <w:rFonts w:asciiTheme="majorHAnsi" w:hAnsiTheme="majorHAnsi" w:cstheme="majorHAnsi"/>
          <w:b/>
          <w:bCs/>
          <w:sz w:val="22"/>
          <w:szCs w:val="22"/>
        </w:rPr>
      </w:pPr>
      <w:r w:rsidRPr="000F1CE4">
        <w:rPr>
          <w:rStyle w:val="Strong"/>
          <w:rFonts w:asciiTheme="majorHAnsi" w:hAnsiTheme="majorHAnsi" w:cstheme="majorHAnsi"/>
          <w:sz w:val="22"/>
          <w:szCs w:val="22"/>
        </w:rPr>
        <w:t>Sustainable Funding Model:</w:t>
      </w:r>
      <w:r w:rsidRPr="000F1CE4">
        <w:rPr>
          <w:rFonts w:asciiTheme="majorHAnsi" w:hAnsiTheme="majorHAnsi" w:cstheme="majorHAnsi"/>
          <w:sz w:val="22"/>
          <w:szCs w:val="22"/>
        </w:rPr>
        <w:t xml:space="preserve"> The Government should rebalance the funding model to reduce over-reliance on international student fees and ensure adequate funding for core teaching and research costs. As our Student Manifesto argues, public funding must increase to reflect the value of HE to the economy and society. This means uplifting the teaching grant or other direct support for universities, especially for high-cost and strategically important subjects, and indexing this support (and/or tuition caps) to inflation so that institutions can plan sustainably.</w:t>
      </w:r>
      <w:r w:rsidRPr="000F1CE4">
        <w:rPr>
          <w:rFonts w:asciiTheme="majorHAnsi" w:hAnsiTheme="majorHAnsi" w:cstheme="majorHAnsi"/>
          <w:sz w:val="22"/>
          <w:szCs w:val="22"/>
        </w:rPr>
        <w:br/>
      </w:r>
    </w:p>
    <w:p w:rsidR="003047B1" w:rsidRPr="000F1CE4" w:rsidP="003A5CC5">
      <w:pPr>
        <w:pStyle w:val="NormalWeb"/>
        <w:numPr>
          <w:ilvl w:val="0"/>
          <w:numId w:val="1"/>
        </w:numPr>
        <w:tabs>
          <w:tab w:val="num" w:pos="426"/>
          <w:tab w:val="clear" w:pos="720"/>
        </w:tabs>
        <w:spacing w:line="276" w:lineRule="auto"/>
        <w:ind w:left="426" w:hanging="349"/>
        <w:rPr>
          <w:rFonts w:asciiTheme="majorHAnsi" w:hAnsiTheme="majorHAnsi" w:cstheme="majorHAnsi"/>
          <w:b/>
          <w:sz w:val="22"/>
          <w:szCs w:val="22"/>
        </w:rPr>
      </w:pPr>
      <w:r w:rsidRPr="000F1CE4">
        <w:rPr>
          <w:rStyle w:val="Strong"/>
          <w:rFonts w:asciiTheme="majorHAnsi" w:hAnsiTheme="majorHAnsi" w:cstheme="majorHAnsi"/>
          <w:sz w:val="22"/>
          <w:szCs w:val="22"/>
        </w:rPr>
        <w:t>Maintain and Grow International Student Enrolment through Supportive Policies:</w:t>
      </w:r>
      <w:r w:rsidRPr="000F1CE4">
        <w:rPr>
          <w:rFonts w:asciiTheme="majorHAnsi" w:hAnsiTheme="majorHAnsi" w:cstheme="majorHAnsi"/>
          <w:sz w:val="22"/>
          <w:szCs w:val="22"/>
        </w:rPr>
        <w:t xml:space="preserve"> To ensure no region loses out on international enrolments, the UK must remain an attractive destination compared to competitor countries. That entails the policy changes outlined in the previous section, such as creating a welcoming visa process (including the continuation of the Graduate Route). Each university should also be supported in diversifying the countries from which it recruits, to avoid over-concentration risk, particularly those in regions that rely on attracting overseas talent for the viability of certain courses.</w:t>
      </w:r>
      <w:r w:rsidRPr="000F1CE4">
        <w:rPr>
          <w:rFonts w:asciiTheme="majorHAnsi" w:hAnsiTheme="majorHAnsi" w:cstheme="majorHAnsi"/>
          <w:sz w:val="22"/>
          <w:szCs w:val="22"/>
        </w:rPr>
        <w:br/>
      </w:r>
    </w:p>
    <w:p w:rsidR="003047B1" w:rsidRPr="000F1CE4" w:rsidP="003A5CC5">
      <w:pPr>
        <w:pStyle w:val="NormalWeb"/>
        <w:numPr>
          <w:ilvl w:val="0"/>
          <w:numId w:val="1"/>
        </w:numPr>
        <w:tabs>
          <w:tab w:val="num" w:pos="426"/>
          <w:tab w:val="clear" w:pos="720"/>
        </w:tabs>
        <w:spacing w:line="276" w:lineRule="auto"/>
        <w:ind w:left="426" w:hanging="349"/>
        <w:rPr>
          <w:rStyle w:val="Strong"/>
          <w:rFonts w:asciiTheme="majorHAnsi" w:hAnsiTheme="majorHAnsi" w:cstheme="majorHAnsi"/>
          <w:sz w:val="22"/>
          <w:szCs w:val="22"/>
        </w:rPr>
      </w:pPr>
      <w:r w:rsidRPr="000F1CE4">
        <w:rPr>
          <w:rStyle w:val="Strong"/>
          <w:rFonts w:asciiTheme="majorHAnsi" w:hAnsiTheme="majorHAnsi" w:cstheme="majorHAnsi"/>
          <w:sz w:val="22"/>
          <w:szCs w:val="22"/>
        </w:rPr>
        <w:t>Investing in Student Support and Infrastructure:</w:t>
      </w:r>
      <w:r w:rsidRPr="000F1CE4">
        <w:rPr>
          <w:rFonts w:asciiTheme="majorHAnsi" w:hAnsiTheme="majorHAnsi" w:cstheme="majorHAnsi"/>
          <w:sz w:val="22"/>
          <w:szCs w:val="22"/>
        </w:rPr>
        <w:t xml:space="preserve"> Ensuring students can afford to live and study in the region is essential for keeping enrolments up and avoiding a downward spiral. Our research highlights that the </w:t>
      </w:r>
      <w:r w:rsidRPr="000F1CE4">
        <w:rPr>
          <w:rStyle w:val="Strong"/>
          <w:rFonts w:asciiTheme="majorHAnsi" w:hAnsiTheme="majorHAnsi" w:cstheme="majorHAnsi"/>
          <w:b w:val="0"/>
          <w:bCs w:val="0"/>
          <w:sz w:val="22"/>
          <w:szCs w:val="22"/>
        </w:rPr>
        <w:t>cost of living and housing shortages</w:t>
      </w:r>
      <w:r w:rsidRPr="000F1CE4">
        <w:rPr>
          <w:rFonts w:asciiTheme="majorHAnsi" w:hAnsiTheme="majorHAnsi" w:cstheme="majorHAnsi"/>
          <w:sz w:val="22"/>
          <w:szCs w:val="22"/>
        </w:rPr>
        <w:t xml:space="preserve"> are hitting students hard and could drive them away from certain cities. We recommend the Government work with local authorities and universities to </w:t>
      </w:r>
      <w:r w:rsidRPr="000F1CE4">
        <w:rPr>
          <w:rStyle w:val="Strong"/>
          <w:rFonts w:asciiTheme="majorHAnsi" w:hAnsiTheme="majorHAnsi" w:cstheme="majorHAnsi"/>
          <w:b w:val="0"/>
          <w:bCs w:val="0"/>
          <w:sz w:val="22"/>
          <w:szCs w:val="22"/>
        </w:rPr>
        <w:t>develop more affordable student housing</w:t>
      </w:r>
      <w:r w:rsidRPr="000F1CE4">
        <w:rPr>
          <w:rFonts w:asciiTheme="majorHAnsi" w:hAnsiTheme="majorHAnsi" w:cstheme="majorHAnsi"/>
          <w:sz w:val="22"/>
          <w:szCs w:val="22"/>
        </w:rPr>
        <w:t xml:space="preserve">, especially in areas of high demand. We back the concept of a </w:t>
      </w:r>
      <w:r w:rsidRPr="000F1CE4">
        <w:rPr>
          <w:rStyle w:val="Strong"/>
          <w:rFonts w:asciiTheme="majorHAnsi" w:hAnsiTheme="majorHAnsi" w:cstheme="majorHAnsi"/>
          <w:b w:val="0"/>
          <w:bCs w:val="0"/>
          <w:sz w:val="22"/>
          <w:szCs w:val="22"/>
        </w:rPr>
        <w:t xml:space="preserve">“Student Living </w:t>
      </w:r>
      <w:r w:rsidRPr="000F1CE4">
        <w:rPr>
          <w:rStyle w:val="Strong"/>
          <w:rFonts w:asciiTheme="majorHAnsi" w:hAnsiTheme="majorHAnsi" w:cstheme="majorHAnsi"/>
          <w:b w:val="0"/>
          <w:bCs w:val="0"/>
          <w:sz w:val="22"/>
          <w:szCs w:val="22"/>
        </w:rPr>
        <w:t>Guarantee”</w:t>
      </w:r>
      <w:r w:rsidRPr="000F1CE4">
        <w:rPr>
          <w:rFonts w:asciiTheme="majorHAnsi" w:hAnsiTheme="majorHAnsi" w:cstheme="majorHAnsi"/>
          <w:sz w:val="22"/>
          <w:szCs w:val="22"/>
        </w:rPr>
        <w:t xml:space="preserve"> – every student should have access to housing that is reasonably priced, of decent quality, and within a reasonable distance of campus. </w:t>
      </w:r>
    </w:p>
    <w:p w:rsidR="003047B1" w:rsidRPr="000F1CE4" w:rsidP="003A5CC5">
      <w:pPr>
        <w:pStyle w:val="NormalWeb"/>
        <w:spacing w:line="276" w:lineRule="auto"/>
        <w:rPr>
          <w:rFonts w:asciiTheme="majorHAnsi" w:hAnsiTheme="majorHAnsi" w:cstheme="majorHAnsi"/>
          <w:sz w:val="22"/>
          <w:szCs w:val="22"/>
        </w:rPr>
      </w:pPr>
      <w:r w:rsidRPr="000F1CE4">
        <w:rPr>
          <w:rStyle w:val="Strong"/>
          <w:rFonts w:asciiTheme="majorHAnsi" w:hAnsiTheme="majorHAnsi" w:cstheme="majorHAnsi"/>
          <w:sz w:val="22"/>
          <w:szCs w:val="22"/>
        </w:rPr>
        <w:t>Policy Recommendations (Theme 2):</w:t>
      </w:r>
      <w:r w:rsidRPr="000F1CE4">
        <w:rPr>
          <w:rFonts w:asciiTheme="majorHAnsi" w:hAnsiTheme="majorHAnsi" w:cstheme="majorHAnsi"/>
          <w:sz w:val="22"/>
          <w:szCs w:val="22"/>
        </w:rPr>
        <w:t xml:space="preserve"> </w:t>
      </w:r>
    </w:p>
    <w:p w:rsidR="003047B1" w:rsidRPr="000F1CE4" w:rsidP="003A5CC5">
      <w:pPr>
        <w:pStyle w:val="NormalWeb"/>
        <w:spacing w:line="276" w:lineRule="auto"/>
        <w:rPr>
          <w:rFonts w:asciiTheme="majorHAnsi" w:hAnsiTheme="majorHAnsi" w:cstheme="majorHAnsi"/>
          <w:sz w:val="22"/>
          <w:szCs w:val="22"/>
        </w:rPr>
      </w:pPr>
      <w:r w:rsidRPr="000F1CE4">
        <w:rPr>
          <w:rFonts w:asciiTheme="majorHAnsi" w:hAnsiTheme="majorHAnsi" w:cstheme="majorHAnsi"/>
          <w:sz w:val="22"/>
          <w:szCs w:val="22"/>
        </w:rPr>
        <w:t>We make the following key recommendations to protect regional higher education provision and avoid institutional failures:</w:t>
      </w:r>
    </w:p>
    <w:p w:rsidR="003047B1" w:rsidRPr="000F1CE4" w:rsidP="003A5CC5">
      <w:pPr>
        <w:pStyle w:val="NormalWeb"/>
        <w:numPr>
          <w:ilvl w:val="0"/>
          <w:numId w:val="2"/>
        </w:numPr>
        <w:tabs>
          <w:tab w:val="num" w:pos="426"/>
          <w:tab w:val="clear" w:pos="720"/>
        </w:tabs>
        <w:spacing w:before="0" w:beforeAutospacing="0" w:after="0" w:afterAutospacing="0" w:line="276" w:lineRule="auto"/>
        <w:ind w:left="426"/>
        <w:rPr>
          <w:rFonts w:asciiTheme="majorHAnsi" w:hAnsiTheme="majorHAnsi" w:cstheme="majorHAnsi"/>
          <w:sz w:val="22"/>
          <w:szCs w:val="22"/>
        </w:rPr>
      </w:pPr>
      <w:r w:rsidRPr="000F1CE4">
        <w:rPr>
          <w:rStyle w:val="Strong"/>
          <w:rFonts w:asciiTheme="majorHAnsi" w:hAnsiTheme="majorHAnsi" w:cstheme="majorHAnsi"/>
          <w:sz w:val="22"/>
          <w:szCs w:val="22"/>
        </w:rPr>
        <w:t>Increase public funding for higher education to ensure no university is forced into insolvency.</w:t>
      </w:r>
      <w:r w:rsidRPr="000F1CE4">
        <w:rPr>
          <w:rFonts w:asciiTheme="majorHAnsi" w:hAnsiTheme="majorHAnsi" w:cstheme="majorHAnsi"/>
          <w:sz w:val="22"/>
          <w:szCs w:val="22"/>
        </w:rPr>
        <w:t xml:space="preserve"> Government must recognise that universities deliver over £130 billion in economic impact (over 5% of GDP) when including international student contributions and fund them accordingly.</w:t>
      </w:r>
    </w:p>
    <w:p w:rsidR="003047B1" w:rsidRPr="000F1CE4" w:rsidP="003A5CC5">
      <w:pPr>
        <w:pStyle w:val="NormalWeb"/>
        <w:tabs>
          <w:tab w:val="num" w:pos="426"/>
        </w:tabs>
        <w:spacing w:before="0" w:beforeAutospacing="0" w:after="0" w:afterAutospacing="0" w:line="276" w:lineRule="auto"/>
        <w:ind w:left="426"/>
        <w:rPr>
          <w:rFonts w:asciiTheme="majorHAnsi" w:hAnsiTheme="majorHAnsi" w:cstheme="majorHAnsi"/>
          <w:sz w:val="22"/>
          <w:szCs w:val="22"/>
        </w:rPr>
      </w:pPr>
    </w:p>
    <w:p w:rsidR="003047B1" w:rsidRPr="000F1CE4" w:rsidP="003A5CC5">
      <w:pPr>
        <w:pStyle w:val="NormalWeb"/>
        <w:numPr>
          <w:ilvl w:val="0"/>
          <w:numId w:val="2"/>
        </w:numPr>
        <w:tabs>
          <w:tab w:val="num" w:pos="426"/>
          <w:tab w:val="clear" w:pos="720"/>
        </w:tabs>
        <w:spacing w:before="0" w:beforeAutospacing="0" w:after="0" w:afterAutospacing="0" w:line="276" w:lineRule="auto"/>
        <w:ind w:left="426"/>
        <w:rPr>
          <w:rFonts w:asciiTheme="majorHAnsi" w:hAnsiTheme="majorHAnsi" w:cstheme="majorHAnsi"/>
          <w:sz w:val="22"/>
          <w:szCs w:val="22"/>
        </w:rPr>
      </w:pPr>
      <w:r w:rsidRPr="000F1CE4">
        <w:rPr>
          <w:rStyle w:val="Strong"/>
          <w:rFonts w:asciiTheme="majorHAnsi" w:hAnsiTheme="majorHAnsi" w:cstheme="majorHAnsi"/>
          <w:sz w:val="22"/>
          <w:szCs w:val="22"/>
        </w:rPr>
        <w:t>Adopt a pro-growth strategy for international education.</w:t>
      </w:r>
      <w:r w:rsidRPr="000F1CE4">
        <w:rPr>
          <w:rFonts w:asciiTheme="majorHAnsi" w:hAnsiTheme="majorHAnsi" w:cstheme="majorHAnsi"/>
          <w:sz w:val="22"/>
          <w:szCs w:val="22"/>
        </w:rPr>
        <w:t xml:space="preserve"> The Government should effectively communicate that it </w:t>
      </w:r>
      <w:r w:rsidRPr="000F1CE4">
        <w:rPr>
          <w:rStyle w:val="Emphasis"/>
          <w:rFonts w:asciiTheme="majorHAnsi" w:hAnsiTheme="majorHAnsi" w:cstheme="majorHAnsi"/>
          <w:i w:val="0"/>
          <w:iCs w:val="0"/>
          <w:sz w:val="22"/>
          <w:szCs w:val="22"/>
        </w:rPr>
        <w:t>welcomes</w:t>
      </w:r>
      <w:r w:rsidRPr="000F1CE4">
        <w:rPr>
          <w:rFonts w:asciiTheme="majorHAnsi" w:hAnsiTheme="majorHAnsi" w:cstheme="majorHAnsi"/>
          <w:sz w:val="22"/>
          <w:szCs w:val="22"/>
        </w:rPr>
        <w:t xml:space="preserve"> international students and aims for sustainable growth in international enrolment nationwide.</w:t>
      </w:r>
      <w:r w:rsidRPr="000F1CE4">
        <w:rPr>
          <w:rFonts w:asciiTheme="majorHAnsi" w:hAnsiTheme="majorHAnsi" w:cstheme="majorHAnsi"/>
          <w:sz w:val="22"/>
          <w:szCs w:val="22"/>
        </w:rPr>
        <w:br/>
      </w:r>
    </w:p>
    <w:p w:rsidR="003047B1" w:rsidRPr="000F1CE4" w:rsidP="003A5CC5">
      <w:pPr>
        <w:pStyle w:val="NormalWeb"/>
        <w:numPr>
          <w:ilvl w:val="0"/>
          <w:numId w:val="2"/>
        </w:numPr>
        <w:tabs>
          <w:tab w:val="num" w:pos="426"/>
          <w:tab w:val="clear" w:pos="720"/>
        </w:tabs>
        <w:spacing w:line="276" w:lineRule="auto"/>
        <w:ind w:left="426"/>
        <w:rPr>
          <w:rFonts w:asciiTheme="majorHAnsi" w:hAnsiTheme="majorHAnsi" w:cstheme="majorHAnsi"/>
          <w:sz w:val="22"/>
          <w:szCs w:val="22"/>
        </w:rPr>
      </w:pPr>
      <w:r w:rsidRPr="000F1CE4">
        <w:rPr>
          <w:rStyle w:val="Strong"/>
          <w:rFonts w:asciiTheme="majorHAnsi" w:hAnsiTheme="majorHAnsi" w:cstheme="majorHAnsi"/>
          <w:sz w:val="22"/>
          <w:szCs w:val="22"/>
        </w:rPr>
        <w:t>Implement local economy safeguards and partnership approaches.</w:t>
      </w:r>
      <w:r w:rsidRPr="000F1CE4">
        <w:rPr>
          <w:rFonts w:asciiTheme="majorHAnsi" w:hAnsiTheme="majorHAnsi" w:cstheme="majorHAnsi"/>
          <w:sz w:val="22"/>
          <w:szCs w:val="22"/>
        </w:rPr>
        <w:t xml:space="preserve"> Develop contingency plans so that if a university faces acute financial distress, there is a framework to protect students and the community. This could include an emergency fund or bridging loans to support teaching-out students. Additionally, incentivise universities to collaborate regionally – for example, sharing specialised facilities or coordinating on course offerings – to reduce duplication and increase efficiency, thereby lowering the risk of insolvency. Where a university is the main regional provider, consider it critical infrastructure and afford it support </w:t>
      </w:r>
      <w:r w:rsidRPr="000F1CE4">
        <w:rPr>
          <w:rFonts w:asciiTheme="majorHAnsi" w:hAnsiTheme="majorHAnsi" w:cstheme="majorHAnsi"/>
          <w:sz w:val="22"/>
          <w:szCs w:val="22"/>
        </w:rPr>
        <w:t>similar to</w:t>
      </w:r>
      <w:r w:rsidRPr="000F1CE4">
        <w:rPr>
          <w:rFonts w:asciiTheme="majorHAnsi" w:hAnsiTheme="majorHAnsi" w:cstheme="majorHAnsi"/>
          <w:sz w:val="22"/>
          <w:szCs w:val="22"/>
        </w:rPr>
        <w:t xml:space="preserve"> an enterprise in the national interest, as seen with the steel industry earlier this year.</w:t>
      </w:r>
      <w:r w:rsidRPr="000F1CE4">
        <w:rPr>
          <w:rFonts w:asciiTheme="majorHAnsi" w:hAnsiTheme="majorHAnsi" w:cstheme="majorHAnsi"/>
          <w:sz w:val="22"/>
          <w:szCs w:val="22"/>
        </w:rPr>
        <w:br/>
      </w:r>
    </w:p>
    <w:p w:rsidR="003047B1" w:rsidRPr="000F1CE4" w:rsidP="003A5CC5">
      <w:pPr>
        <w:pStyle w:val="NormalWeb"/>
        <w:numPr>
          <w:ilvl w:val="0"/>
          <w:numId w:val="2"/>
        </w:numPr>
        <w:tabs>
          <w:tab w:val="num" w:pos="426"/>
          <w:tab w:val="clear" w:pos="720"/>
        </w:tabs>
        <w:spacing w:line="276" w:lineRule="auto"/>
        <w:ind w:left="426"/>
        <w:rPr>
          <w:rFonts w:asciiTheme="majorHAnsi" w:hAnsiTheme="majorHAnsi" w:cstheme="majorHAnsi"/>
          <w:sz w:val="22"/>
          <w:szCs w:val="22"/>
        </w:rPr>
      </w:pPr>
      <w:r w:rsidRPr="000F1CE4">
        <w:rPr>
          <w:rStyle w:val="Strong"/>
          <w:rFonts w:asciiTheme="majorHAnsi" w:hAnsiTheme="majorHAnsi" w:cstheme="majorHAnsi"/>
          <w:sz w:val="22"/>
          <w:szCs w:val="22"/>
        </w:rPr>
        <w:t>Strengthen the student experience to boost retention and recruitment.</w:t>
      </w:r>
      <w:r w:rsidRPr="000F1CE4">
        <w:rPr>
          <w:rFonts w:asciiTheme="majorHAnsi" w:hAnsiTheme="majorHAnsi" w:cstheme="majorHAnsi"/>
          <w:sz w:val="22"/>
          <w:szCs w:val="22"/>
        </w:rPr>
        <w:t xml:space="preserve"> We urge investment in </w:t>
      </w:r>
      <w:r w:rsidRPr="000F1CE4">
        <w:rPr>
          <w:rStyle w:val="Strong"/>
          <w:rFonts w:asciiTheme="majorHAnsi" w:hAnsiTheme="majorHAnsi" w:cstheme="majorHAnsi"/>
          <w:b w:val="0"/>
          <w:bCs w:val="0"/>
          <w:sz w:val="22"/>
          <w:szCs w:val="22"/>
        </w:rPr>
        <w:t>affordable student housing</w:t>
      </w:r>
      <w:r w:rsidRPr="000F1CE4">
        <w:rPr>
          <w:rFonts w:asciiTheme="majorHAnsi" w:hAnsiTheme="majorHAnsi" w:cstheme="majorHAnsi"/>
          <w:sz w:val="22"/>
          <w:szCs w:val="22"/>
        </w:rPr>
        <w:t xml:space="preserve"> developments in partnership with universities, the adoption of Student Living Guarantees on every campus</w:t>
      </w:r>
      <w:r w:rsidRPr="000F1CE4">
        <w:rPr>
          <w:rStyle w:val="max-w-full"/>
          <w:rFonts w:asciiTheme="majorHAnsi" w:hAnsiTheme="majorHAnsi" w:cstheme="majorHAnsi"/>
          <w:sz w:val="22"/>
          <w:szCs w:val="22"/>
        </w:rPr>
        <w:t xml:space="preserve"> </w:t>
      </w:r>
      <w:r w:rsidRPr="000F1CE4">
        <w:rPr>
          <w:rFonts w:asciiTheme="majorHAnsi" w:hAnsiTheme="majorHAnsi" w:cstheme="majorHAnsi"/>
          <w:sz w:val="22"/>
          <w:szCs w:val="22"/>
        </w:rPr>
        <w:t xml:space="preserve">and measures to improve students’ financial stability (e.g. better maintenance loans/grants). We also recommend allowing international students more flexibility to work and contribute (e.g. reforming the 20-hour a week limit), which not only aids their finances but also fills local part-time vacancies. Ensuring robust mental health and well-being support – such as funding dedicated international student advisors or better resourcing counselling services, will help students thrive. </w:t>
      </w:r>
    </w:p>
    <w:p w:rsidR="003047B1" w:rsidRPr="000F1CE4" w:rsidP="003A5CC5">
      <w:pPr>
        <w:pStyle w:val="NormalWeb"/>
        <w:spacing w:line="276" w:lineRule="auto"/>
        <w:rPr>
          <w:rFonts w:asciiTheme="majorHAnsi" w:hAnsiTheme="majorHAnsi" w:cstheme="majorHAnsi"/>
          <w:i/>
          <w:iCs/>
          <w:sz w:val="22"/>
          <w:szCs w:val="22"/>
        </w:rPr>
      </w:pPr>
      <w:r w:rsidRPr="000F1CE4">
        <w:rPr>
          <w:rFonts w:asciiTheme="majorHAnsi" w:hAnsiTheme="majorHAnsi" w:cstheme="majorHAnsi"/>
          <w:i/>
          <w:iCs/>
          <w:sz w:val="22"/>
          <w:szCs w:val="22"/>
        </w:rPr>
        <w:t>September 2025</w:t>
      </w:r>
    </w:p>
    <w:sectPr w:rsidSect="0032615E">
      <w:headerReference w:type="default" r:id="rId9"/>
      <w:footerReference w:type="default" r:id="rId10"/>
      <w:footerReference w:type="first" r:id="rId11"/>
      <w:pgSz w:w="12240" w:h="15840"/>
      <w:pgMar w:top="1134" w:right="1134" w:bottom="1134" w:left="1134" w:header="720" w:footer="720" w:gutter="0"/>
      <w:pgNumType w:start="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47B1" w:rsidRPr="003A5CC5" w:rsidP="0032615E">
    <w:pPr>
      <w:pStyle w:val="Footer"/>
      <w:pBdr>
        <w:between w:val="single" w:sz="4" w:space="1" w:color="auto"/>
      </w:pBdr>
      <w:rPr>
        <w:rFonts w:ascii="Century Gothic" w:hAnsi="Century Gothic"/>
        <w:sz w:val="20"/>
        <w:szCs w:val="20"/>
      </w:rPr>
    </w:pPr>
  </w:p>
  <w:p w:rsidR="003047B1" w:rsidRPr="003A5CC5" w:rsidP="0032615E">
    <w:pPr>
      <w:pStyle w:val="Footer"/>
      <w:pBdr>
        <w:between w:val="single" w:sz="4" w:space="1" w:color="auto"/>
      </w:pBdr>
      <w:rPr>
        <w:rFonts w:ascii="Century Gothic" w:hAnsi="Century Gothic"/>
        <w:sz w:val="20"/>
        <w:szCs w:val="20"/>
      </w:rPr>
    </w:pPr>
  </w:p>
  <w:p w:rsidR="003047B1" w:rsidRPr="003A5CC5" w:rsidP="4232C5C2">
    <w:pPr>
      <w:rPr>
        <w:rFonts w:ascii="Century Gothic" w:hAnsi="Century Gothic"/>
        <w:color w:val="7F7F7F" w:themeColor="text1" w:themeTint="80"/>
        <w:sz w:val="18"/>
        <w:szCs w:val="18"/>
        <w:lang w:val="en-US"/>
      </w:rPr>
    </w:pPr>
    <w:r w:rsidRPr="003A5CC5">
      <w:rPr>
        <w:rFonts w:ascii="Century Gothic" w:hAnsi="Century Gothic"/>
        <w:color w:val="7F7F7F" w:themeColor="text1" w:themeTint="80"/>
        <w:sz w:val="18"/>
        <w:szCs w:val="18"/>
        <w:lang w:val="en-US"/>
      </w:rPr>
      <w:t>Together we represent more than 700,000 students, working to ensure the student experience at Russell Group universities reflects their world-class reputation.</w:t>
    </w:r>
  </w:p>
  <w:p w:rsidR="003047B1" w:rsidRPr="003A5CC5" w:rsidP="0032615E">
    <w:pPr>
      <w:rPr>
        <w:rFonts w:ascii="Century Gothic" w:hAnsi="Century Gothic"/>
        <w:color w:val="7F7F7F" w:themeColor="text1" w:themeTint="80"/>
        <w:sz w:val="18"/>
        <w:szCs w:val="18"/>
      </w:rPr>
    </w:pPr>
    <w:r>
      <w:fldChar w:fldCharType="begin"/>
    </w:r>
    <w:r>
      <w:instrText xml:space="preserve"> HYPERLINK "https://russellgroupstudentsunions.org/" </w:instrText>
    </w:r>
    <w:r>
      <w:fldChar w:fldCharType="separate"/>
    </w:r>
    <w:r w:rsidRPr="003A5CC5">
      <w:rPr>
        <w:rStyle w:val="Hyperlink"/>
        <w:rFonts w:ascii="Century Gothic" w:hAnsi="Century Gothic"/>
        <w:color w:val="7F7F7F" w:themeColor="text1" w:themeTint="80"/>
        <w:sz w:val="18"/>
        <w:szCs w:val="18"/>
      </w:rPr>
      <w:t>russellgroupstudentsunions.org</w:t>
    </w:r>
    <w:r>
      <w:fldChar w:fldCharType="end"/>
    </w:r>
    <w:r w:rsidRPr="003A5CC5">
      <w:rPr>
        <w:rFonts w:ascii="Century Gothic" w:hAnsi="Century Gothic"/>
        <w:color w:val="7F7F7F" w:themeColor="text1" w:themeTint="80"/>
        <w:sz w:val="18"/>
        <w:szCs w:val="18"/>
      </w:rPr>
      <w:tab/>
    </w:r>
    <w:r w:rsidRPr="003A5CC5">
      <w:rPr>
        <w:rFonts w:ascii="Century Gothic" w:hAnsi="Century Gothic"/>
        <w:color w:val="7F7F7F" w:themeColor="text1" w:themeTint="80"/>
        <w:sz w:val="18"/>
        <w:szCs w:val="18"/>
      </w:rPr>
      <w:tab/>
    </w:r>
    <w:r w:rsidRPr="003A5CC5">
      <w:rPr>
        <w:rFonts w:ascii="Century Gothic" w:hAnsi="Century Gothic"/>
        <w:color w:val="7F7F7F" w:themeColor="text1" w:themeTint="80"/>
        <w:sz w:val="18"/>
        <w:szCs w:val="18"/>
      </w:rPr>
      <w:tab/>
    </w:r>
    <w:r w:rsidRPr="003A5CC5">
      <w:rPr>
        <w:rFonts w:ascii="Century Gothic" w:hAnsi="Century Gothic"/>
        <w:color w:val="7F7F7F" w:themeColor="text1" w:themeTint="80"/>
        <w:sz w:val="18"/>
        <w:szCs w:val="18"/>
      </w:rPr>
      <w:tab/>
    </w:r>
    <w:r w:rsidRPr="003A5CC5">
      <w:rPr>
        <w:rFonts w:ascii="Century Gothic" w:hAnsi="Century Gothic"/>
        <w:color w:val="7F7F7F" w:themeColor="text1" w:themeTint="80"/>
        <w:sz w:val="18"/>
        <w:szCs w:val="18"/>
      </w:rPr>
      <w:tab/>
    </w:r>
    <w:r w:rsidRPr="003A5CC5">
      <w:rPr>
        <w:rFonts w:ascii="Century Gothic" w:hAnsi="Century Gothic"/>
        <w:color w:val="7F7F7F" w:themeColor="text1" w:themeTint="80"/>
        <w:sz w:val="18"/>
        <w:szCs w:val="18"/>
      </w:rPr>
      <w:tab/>
    </w:r>
    <w:r w:rsidRPr="003A5CC5">
      <w:rPr>
        <w:rFonts w:ascii="Century Gothic" w:hAnsi="Century Gothic"/>
        <w:color w:val="7F7F7F" w:themeColor="text1" w:themeTint="80"/>
        <w:sz w:val="18"/>
        <w:szCs w:val="18"/>
      </w:rPr>
      <w:tab/>
    </w:r>
    <w:r w:rsidRPr="003A5CC5">
      <w:rPr>
        <w:rFonts w:ascii="Century Gothic" w:hAnsi="Century Gothic"/>
        <w:color w:val="7F7F7F" w:themeColor="text1" w:themeTint="80"/>
        <w:sz w:val="18"/>
        <w:szCs w:val="18"/>
      </w:rPr>
      <w:tab/>
    </w:r>
    <w:r w:rsidRPr="003A5CC5">
      <w:rPr>
        <w:rFonts w:ascii="Century Gothic" w:hAnsi="Century Gothic"/>
        <w:color w:val="7F7F7F" w:themeColor="text1" w:themeTint="80"/>
        <w:sz w:val="18"/>
        <w:szCs w:val="18"/>
      </w:rPr>
      <w:tab/>
    </w:r>
    <w:r w:rsidRPr="003A5CC5">
      <w:rPr>
        <w:rFonts w:ascii="Century Gothic" w:hAnsi="Century Gothic"/>
        <w:color w:val="7F7F7F" w:themeColor="text1" w:themeTint="80"/>
        <w:sz w:val="18"/>
        <w:szCs w:val="18"/>
      </w:rPr>
      <w:fldChar w:fldCharType="begin"/>
    </w:r>
    <w:r w:rsidRPr="003A5CC5">
      <w:rPr>
        <w:rFonts w:ascii="Century Gothic" w:hAnsi="Century Gothic"/>
        <w:color w:val="7F7F7F" w:themeColor="text1" w:themeTint="80"/>
        <w:sz w:val="18"/>
        <w:szCs w:val="18"/>
      </w:rPr>
      <w:instrText xml:space="preserve"> PAGE   \* MERGEFORMAT </w:instrText>
    </w:r>
    <w:r w:rsidRPr="003A5CC5">
      <w:rPr>
        <w:rFonts w:ascii="Century Gothic" w:hAnsi="Century Gothic"/>
        <w:color w:val="7F7F7F" w:themeColor="text1" w:themeTint="80"/>
        <w:sz w:val="18"/>
        <w:szCs w:val="18"/>
      </w:rPr>
      <w:fldChar w:fldCharType="separate"/>
    </w:r>
    <w:r w:rsidRPr="003A5CC5">
      <w:rPr>
        <w:rFonts w:ascii="Century Gothic" w:hAnsi="Century Gothic"/>
        <w:color w:val="7F7F7F" w:themeColor="text1" w:themeTint="80"/>
        <w:sz w:val="18"/>
        <w:szCs w:val="18"/>
      </w:rPr>
      <w:t>1</w:t>
    </w:r>
    <w:r w:rsidRPr="003A5CC5">
      <w:rPr>
        <w:rFonts w:ascii="Century Gothic" w:hAnsi="Century Gothic"/>
        <w:noProof/>
        <w:color w:val="7F7F7F" w:themeColor="text1" w:themeTint="80"/>
        <w:sz w:val="18"/>
        <w:szCs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47B1" w:rsidRPr="00032BF9" w:rsidP="0032615E">
    <w:pPr>
      <w:pStyle w:val="Footer"/>
      <w:pBdr>
        <w:between w:val="single" w:sz="4" w:space="1" w:color="auto"/>
      </w:pBdr>
      <w:rPr>
        <w:rFonts w:ascii="Century Gothic" w:hAnsi="Century Gothic"/>
      </w:rPr>
    </w:pPr>
  </w:p>
  <w:p w:rsidR="003047B1" w:rsidRPr="00032BF9" w:rsidP="0032615E">
    <w:pPr>
      <w:pStyle w:val="Footer"/>
      <w:pBdr>
        <w:between w:val="single" w:sz="4" w:space="1" w:color="auto"/>
      </w:pBdr>
      <w:rPr>
        <w:rFonts w:ascii="Century Gothic" w:hAnsi="Century Gothic"/>
      </w:rPr>
    </w:pPr>
  </w:p>
  <w:p w:rsidR="003047B1" w:rsidRPr="00032BF9" w:rsidP="0032615E">
    <w:pPr>
      <w:rPr>
        <w:rFonts w:ascii="Century Gothic" w:hAnsi="Century Gothic"/>
        <w:color w:val="7F7F7F" w:themeColor="text1" w:themeTint="80"/>
      </w:rPr>
    </w:pPr>
    <w:r w:rsidRPr="00032BF9">
      <w:rPr>
        <w:rFonts w:ascii="Century Gothic" w:hAnsi="Century Gothic"/>
        <w:color w:val="7F7F7F" w:themeColor="text1" w:themeTint="80"/>
      </w:rPr>
      <w:tab/>
    </w:r>
    <w:r w:rsidRPr="00032BF9">
      <w:rPr>
        <w:rFonts w:ascii="Century Gothic" w:hAnsi="Century Gothic"/>
        <w:color w:val="7F7F7F" w:themeColor="text1" w:themeTint="80"/>
      </w:rPr>
      <w:tab/>
    </w:r>
    <w:r w:rsidRPr="00032BF9">
      <w:rPr>
        <w:rFonts w:ascii="Century Gothic" w:hAnsi="Century Gothic"/>
        <w:color w:val="7F7F7F" w:themeColor="text1" w:themeTint="80"/>
      </w:rPr>
      <w:tab/>
    </w:r>
    <w:r w:rsidRPr="00032BF9">
      <w:rPr>
        <w:rFonts w:ascii="Century Gothic" w:hAnsi="Century Gothic"/>
        <w:color w:val="7F7F7F" w:themeColor="text1" w:themeTint="80"/>
      </w:rPr>
      <w:tab/>
    </w:r>
    <w:r w:rsidRPr="00032BF9">
      <w:rPr>
        <w:rFonts w:ascii="Century Gothic" w:hAnsi="Century Gothic"/>
        <w:color w:val="7F7F7F" w:themeColor="text1" w:themeTint="80"/>
      </w:rPr>
      <w:tab/>
    </w:r>
    <w:r w:rsidRPr="00032BF9">
      <w:rPr>
        <w:rFonts w:ascii="Century Gothic" w:hAnsi="Century Gothic"/>
        <w:color w:val="7F7F7F" w:themeColor="text1" w:themeTint="80"/>
      </w:rPr>
      <w:tab/>
    </w:r>
    <w:r w:rsidRPr="00032BF9">
      <w:rPr>
        <w:rFonts w:ascii="Century Gothic" w:hAnsi="Century Gothic"/>
        <w:color w:val="7F7F7F" w:themeColor="text1" w:themeTint="80"/>
      </w:rPr>
      <w:tab/>
    </w:r>
    <w:r w:rsidRPr="00032BF9">
      <w:rPr>
        <w:rFonts w:ascii="Century Gothic" w:hAnsi="Century Gothic"/>
        <w:color w:val="7F7F7F" w:themeColor="text1" w:themeTint="80"/>
      </w:rPr>
      <w:fldChar w:fldCharType="begin"/>
    </w:r>
    <w:r w:rsidRPr="00032BF9">
      <w:rPr>
        <w:rFonts w:ascii="Century Gothic" w:hAnsi="Century Gothic"/>
        <w:color w:val="7F7F7F" w:themeColor="text1" w:themeTint="80"/>
      </w:rPr>
      <w:instrText xml:space="preserve"> PAGE   \* MERGEFORMAT </w:instrText>
    </w:r>
    <w:r w:rsidRPr="00032BF9">
      <w:rPr>
        <w:rFonts w:ascii="Century Gothic" w:hAnsi="Century Gothic"/>
        <w:color w:val="7F7F7F" w:themeColor="text1" w:themeTint="80"/>
      </w:rPr>
      <w:fldChar w:fldCharType="separate"/>
    </w:r>
    <w:r w:rsidRPr="00032BF9">
      <w:rPr>
        <w:rFonts w:ascii="Century Gothic" w:hAnsi="Century Gothic"/>
        <w:noProof/>
        <w:color w:val="7F7F7F" w:themeColor="text1" w:themeTint="80"/>
      </w:rPr>
      <w:t>1</w:t>
    </w:r>
    <w:r w:rsidRPr="00032BF9">
      <w:rPr>
        <w:rFonts w:ascii="Century Gothic" w:hAnsi="Century Gothic"/>
        <w:noProof/>
        <w:color w:val="7F7F7F" w:themeColor="text1" w:themeTint="8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047B1" w:rsidP="0032615E">
      <w:pPr>
        <w:spacing w:line="240" w:lineRule="auto"/>
      </w:pPr>
      <w:r>
        <w:separator/>
      </w:r>
    </w:p>
  </w:footnote>
  <w:footnote w:type="continuationSeparator" w:id="1">
    <w:p w:rsidR="003047B1" w:rsidP="0032615E">
      <w:pPr>
        <w:spacing w:line="240" w:lineRule="auto"/>
      </w:pPr>
      <w:r>
        <w:continuationSeparator/>
      </w:r>
    </w:p>
  </w:footnote>
  <w:footnote w:id="2">
    <w:p w:rsidR="003047B1" w:rsidRPr="00A53739">
      <w:pPr>
        <w:pStyle w:val="FootnoteText"/>
        <w:rPr>
          <w:rFonts w:ascii="Century Gothic" w:hAnsi="Century Gothic"/>
          <w:sz w:val="18"/>
          <w:szCs w:val="18"/>
        </w:rPr>
      </w:pPr>
      <w:r w:rsidRPr="00A53739">
        <w:rPr>
          <w:rStyle w:val="FootnoteReference"/>
          <w:rFonts w:ascii="Century Gothic" w:hAnsi="Century Gothic"/>
          <w:sz w:val="18"/>
          <w:szCs w:val="18"/>
        </w:rPr>
        <w:footnoteRef/>
      </w:r>
      <w:r w:rsidRPr="00A53739">
        <w:rPr>
          <w:rFonts w:ascii="Century Gothic" w:hAnsi="Century Gothic"/>
          <w:sz w:val="18"/>
          <w:szCs w:val="18"/>
        </w:rPr>
        <w:t xml:space="preserve"> RGSU, 2025, Globally Competitive Report, </w:t>
      </w:r>
      <w:r>
        <w:fldChar w:fldCharType="begin"/>
      </w:r>
      <w:r>
        <w:instrText xml:space="preserve"> HYPERLINK "https://russellgroupstudentsunions.org/international-students-report" </w:instrText>
      </w:r>
      <w:r>
        <w:fldChar w:fldCharType="separate"/>
      </w:r>
      <w:r w:rsidRPr="00A53739">
        <w:rPr>
          <w:rStyle w:val="Hyperlink"/>
          <w:rFonts w:ascii="Century Gothic" w:hAnsi="Century Gothic"/>
          <w:sz w:val="18"/>
          <w:szCs w:val="18"/>
        </w:rPr>
        <w:t>https://russellgroupstudentsunions.org/international-students-report</w:t>
      </w:r>
      <w:r>
        <w:fldChar w:fldCharType="end"/>
      </w:r>
    </w:p>
  </w:footnote>
  <w:footnote w:id="3">
    <w:p w:rsidR="003047B1" w:rsidRPr="00A53739">
      <w:pPr>
        <w:pStyle w:val="FootnoteText"/>
        <w:rPr>
          <w:rFonts w:ascii="Century Gothic" w:hAnsi="Century Gothic"/>
          <w:sz w:val="18"/>
          <w:szCs w:val="18"/>
        </w:rPr>
      </w:pPr>
      <w:r w:rsidRPr="00A53739">
        <w:rPr>
          <w:rStyle w:val="FootnoteReference"/>
          <w:rFonts w:ascii="Century Gothic" w:hAnsi="Century Gothic"/>
          <w:sz w:val="18"/>
          <w:szCs w:val="18"/>
        </w:rPr>
        <w:footnoteRef/>
      </w:r>
      <w:r w:rsidRPr="00A53739">
        <w:rPr>
          <w:rFonts w:ascii="Century Gothic" w:hAnsi="Century Gothic"/>
          <w:sz w:val="18"/>
          <w:szCs w:val="18"/>
        </w:rPr>
        <w:t xml:space="preserve"> UUK, 2023, </w:t>
      </w:r>
      <w:r>
        <w:fldChar w:fldCharType="begin"/>
      </w:r>
      <w:r>
        <w:instrText xml:space="preserve"> HYPERLINK "https://www.universitiesuk.ac.uk/latest/news/international-students-boost-uk-economy" </w:instrText>
      </w:r>
      <w:r>
        <w:fldChar w:fldCharType="separate"/>
      </w:r>
      <w:r w:rsidRPr="00A53739">
        <w:rPr>
          <w:rStyle w:val="Hyperlink"/>
          <w:rFonts w:ascii="Century Gothic" w:hAnsi="Century Gothic"/>
          <w:sz w:val="18"/>
          <w:szCs w:val="18"/>
        </w:rPr>
        <w:t>https://www.universitiesuk.ac.uk/latest/news/international-students-boost-uk-economy</w:t>
      </w:r>
      <w:r>
        <w:fldChar w:fldCharType="end"/>
      </w:r>
    </w:p>
  </w:footnote>
  <w:footnote w:id="4">
    <w:p w:rsidR="003047B1" w:rsidRPr="00A53739">
      <w:pPr>
        <w:pStyle w:val="FootnoteText"/>
        <w:rPr>
          <w:rFonts w:ascii="Century Gothic" w:hAnsi="Century Gothic"/>
          <w:sz w:val="18"/>
          <w:szCs w:val="18"/>
        </w:rPr>
      </w:pPr>
      <w:r w:rsidRPr="00A53739">
        <w:rPr>
          <w:rStyle w:val="FootnoteReference"/>
          <w:rFonts w:ascii="Century Gothic" w:hAnsi="Century Gothic"/>
          <w:sz w:val="18"/>
          <w:szCs w:val="18"/>
        </w:rPr>
        <w:footnoteRef/>
      </w:r>
      <w:r w:rsidRPr="00A53739">
        <w:rPr>
          <w:rFonts w:ascii="Century Gothic" w:hAnsi="Century Gothic"/>
          <w:sz w:val="18"/>
          <w:szCs w:val="18"/>
        </w:rPr>
        <w:t xml:space="preserve"> The Guardian, 2023, </w:t>
      </w:r>
      <w:r>
        <w:fldChar w:fldCharType="begin"/>
      </w:r>
      <w:r>
        <w:instrText xml:space="preserve"> HYPERLINK "https://www.theguardian.com/education/2023/jul/14/overseas-students-uk-universities-income" </w:instrText>
      </w:r>
      <w:r>
        <w:fldChar w:fldCharType="separate"/>
      </w:r>
      <w:r w:rsidRPr="00A53739">
        <w:rPr>
          <w:rStyle w:val="Hyperlink"/>
          <w:rFonts w:ascii="Century Gothic" w:hAnsi="Century Gothic"/>
          <w:sz w:val="18"/>
          <w:szCs w:val="18"/>
        </w:rPr>
        <w:t>https://www.theguardian.com/education/2023/jul/14/overseas-students-uk-universities-income</w:t>
      </w:r>
      <w:r>
        <w:fldChar w:fldCharType="end"/>
      </w:r>
    </w:p>
  </w:footnote>
  <w:footnote w:id="5">
    <w:p w:rsidR="003047B1" w:rsidRPr="00A53739">
      <w:pPr>
        <w:pStyle w:val="FootnoteText"/>
        <w:rPr>
          <w:rFonts w:ascii="Century Gothic" w:hAnsi="Century Gothic"/>
          <w:sz w:val="18"/>
          <w:szCs w:val="18"/>
        </w:rPr>
      </w:pPr>
      <w:r w:rsidRPr="00A53739">
        <w:rPr>
          <w:rStyle w:val="FootnoteReference"/>
          <w:rFonts w:ascii="Century Gothic" w:hAnsi="Century Gothic"/>
          <w:sz w:val="18"/>
          <w:szCs w:val="18"/>
        </w:rPr>
        <w:footnoteRef/>
      </w:r>
      <w:r w:rsidRPr="00A53739">
        <w:rPr>
          <w:rFonts w:ascii="Century Gothic" w:hAnsi="Century Gothic"/>
          <w:sz w:val="18"/>
          <w:szCs w:val="18"/>
        </w:rPr>
        <w:t xml:space="preserve"> Ibid</w:t>
      </w:r>
    </w:p>
  </w:footnote>
  <w:footnote w:id="6">
    <w:p w:rsidR="003047B1" w:rsidRPr="00D813EF">
      <w:pPr>
        <w:pStyle w:val="FootnoteText"/>
        <w:rPr>
          <w:rFonts w:ascii="Century Gothic" w:hAnsi="Century Gothic"/>
          <w:sz w:val="18"/>
          <w:szCs w:val="18"/>
        </w:rPr>
      </w:pPr>
      <w:r w:rsidRPr="00A53739">
        <w:rPr>
          <w:rStyle w:val="FootnoteReference"/>
          <w:rFonts w:ascii="Century Gothic" w:hAnsi="Century Gothic"/>
          <w:sz w:val="18"/>
          <w:szCs w:val="18"/>
        </w:rPr>
        <w:footnoteRef/>
      </w:r>
      <w:r>
        <w:rPr>
          <w:rFonts w:ascii="Century Gothic" w:hAnsi="Century Gothic"/>
          <w:sz w:val="18"/>
          <w:szCs w:val="18"/>
        </w:rPr>
        <w:t xml:space="preserve"> </w:t>
      </w:r>
      <w:r w:rsidRPr="00A53739">
        <w:rPr>
          <w:rFonts w:ascii="Century Gothic" w:hAnsi="Century Gothic"/>
          <w:sz w:val="18"/>
          <w:szCs w:val="18"/>
        </w:rPr>
        <w:t xml:space="preserve">The Russell Group, 2025, </w:t>
      </w:r>
      <w:r>
        <w:fldChar w:fldCharType="begin"/>
      </w:r>
      <w:r>
        <w:instrText xml:space="preserve"> HYPERLINK "https://www.russellgroup.ac.uk/policy/policy-briefings/higher-education-funding" </w:instrText>
      </w:r>
      <w:r>
        <w:fldChar w:fldCharType="separate"/>
      </w:r>
      <w:r w:rsidRPr="00A53739">
        <w:rPr>
          <w:rStyle w:val="Hyperlink"/>
          <w:rFonts w:ascii="Century Gothic" w:hAnsi="Century Gothic"/>
          <w:sz w:val="18"/>
          <w:szCs w:val="18"/>
        </w:rPr>
        <w:t>https://www.russellgroup.ac.uk/policy/policy-briefings/higher-education-funding</w:t>
      </w:r>
      <w:r>
        <w:fldChar w:fldCharType="end"/>
      </w:r>
    </w:p>
  </w:footnote>
  <w:footnote w:id="7">
    <w:p w:rsidR="003047B1" w:rsidRPr="00A53739">
      <w:pPr>
        <w:pStyle w:val="FootnoteText"/>
        <w:rPr>
          <w:rFonts w:ascii="Century Gothic" w:hAnsi="Century Gothic"/>
          <w:sz w:val="18"/>
          <w:szCs w:val="18"/>
        </w:rPr>
      </w:pPr>
      <w:r w:rsidRPr="00A53739">
        <w:rPr>
          <w:rStyle w:val="FootnoteReference"/>
          <w:rFonts w:ascii="Century Gothic" w:hAnsi="Century Gothic"/>
          <w:sz w:val="18"/>
          <w:szCs w:val="18"/>
        </w:rPr>
        <w:footnoteRef/>
      </w:r>
      <w:r w:rsidRPr="00A53739">
        <w:rPr>
          <w:rFonts w:ascii="Century Gothic" w:hAnsi="Century Gothic"/>
          <w:sz w:val="18"/>
          <w:szCs w:val="18"/>
        </w:rPr>
        <w:t xml:space="preserve"> RGSU, 2024, Student Manifesto, </w:t>
      </w:r>
      <w:r>
        <w:fldChar w:fldCharType="begin"/>
      </w:r>
      <w:r>
        <w:instrText xml:space="preserve"> HYPERLINK "https://russellgroupstudentsunions.org/manifesto" </w:instrText>
      </w:r>
      <w:r>
        <w:fldChar w:fldCharType="separate"/>
      </w:r>
      <w:r w:rsidRPr="00A53739">
        <w:rPr>
          <w:rStyle w:val="Hyperlink"/>
          <w:rFonts w:ascii="Century Gothic" w:hAnsi="Century Gothic"/>
          <w:sz w:val="18"/>
          <w:szCs w:val="18"/>
        </w:rPr>
        <w:t>https://russellgroupstudentsunions.org/manifesto</w:t>
      </w:r>
      <w:r>
        <w:fldChar w:fldCharType="end"/>
      </w:r>
    </w:p>
  </w:footnote>
  <w:footnote w:id="8">
    <w:p w:rsidR="003047B1" w:rsidRPr="00A53739">
      <w:pPr>
        <w:pStyle w:val="FootnoteText"/>
        <w:rPr>
          <w:rFonts w:ascii="Century Gothic" w:hAnsi="Century Gothic"/>
          <w:sz w:val="18"/>
          <w:szCs w:val="18"/>
        </w:rPr>
      </w:pPr>
      <w:r w:rsidRPr="00A53739">
        <w:rPr>
          <w:rStyle w:val="FootnoteReference"/>
          <w:rFonts w:ascii="Century Gothic" w:hAnsi="Century Gothic"/>
          <w:sz w:val="18"/>
          <w:szCs w:val="18"/>
        </w:rPr>
        <w:footnoteRef/>
      </w:r>
      <w:r w:rsidRPr="00A53739">
        <w:rPr>
          <w:rFonts w:ascii="Century Gothic" w:hAnsi="Century Gothic"/>
          <w:sz w:val="18"/>
          <w:szCs w:val="18"/>
        </w:rPr>
        <w:t xml:space="preserve"> Ibid</w:t>
      </w:r>
    </w:p>
  </w:footnote>
  <w:footnote w:id="9">
    <w:p w:rsidR="003047B1" w:rsidRPr="00A53739">
      <w:pPr>
        <w:pStyle w:val="FootnoteText"/>
        <w:rPr>
          <w:rFonts w:ascii="Century Gothic" w:hAnsi="Century Gothic"/>
          <w:sz w:val="18"/>
          <w:szCs w:val="18"/>
        </w:rPr>
      </w:pPr>
      <w:r w:rsidRPr="00A53739">
        <w:rPr>
          <w:rStyle w:val="FootnoteReference"/>
          <w:rFonts w:ascii="Century Gothic" w:hAnsi="Century Gothic"/>
          <w:sz w:val="18"/>
          <w:szCs w:val="18"/>
        </w:rPr>
        <w:footnoteRef/>
      </w:r>
      <w:r w:rsidRPr="00A53739">
        <w:rPr>
          <w:rFonts w:ascii="Century Gothic" w:hAnsi="Century Gothic"/>
          <w:sz w:val="18"/>
          <w:szCs w:val="18"/>
        </w:rPr>
        <w:t xml:space="preserve"> UUK, 2024, </w:t>
      </w:r>
      <w:r>
        <w:fldChar w:fldCharType="begin"/>
      </w:r>
      <w:r>
        <w:instrText xml:space="preserve"> HYPERLINK "https://www.universitiesuk.ac.uk/latest/news/graduate-visa-critically-important-uk" </w:instrText>
      </w:r>
      <w:r>
        <w:fldChar w:fldCharType="separate"/>
      </w:r>
      <w:r w:rsidRPr="00A53739">
        <w:rPr>
          <w:rStyle w:val="Hyperlink"/>
          <w:rFonts w:ascii="Century Gothic" w:hAnsi="Century Gothic"/>
          <w:sz w:val="18"/>
          <w:szCs w:val="18"/>
        </w:rPr>
        <w:t>https://www.universitiesuk.ac.uk/latest/news/graduate-visa-critically-important-uk</w:t>
      </w:r>
      <w:r>
        <w:fldChar w:fldCharType="end"/>
      </w:r>
    </w:p>
  </w:footnote>
  <w:footnote w:id="10">
    <w:p w:rsidR="003047B1" w:rsidRPr="00A53739">
      <w:pPr>
        <w:pStyle w:val="FootnoteText"/>
        <w:rPr>
          <w:rFonts w:ascii="Century Gothic" w:hAnsi="Century Gothic"/>
          <w:sz w:val="18"/>
          <w:szCs w:val="18"/>
        </w:rPr>
      </w:pPr>
      <w:r w:rsidRPr="00A53739">
        <w:rPr>
          <w:rStyle w:val="FootnoteReference"/>
          <w:rFonts w:ascii="Century Gothic" w:hAnsi="Century Gothic"/>
          <w:sz w:val="18"/>
          <w:szCs w:val="18"/>
        </w:rPr>
        <w:footnoteRef/>
      </w:r>
      <w:r w:rsidRPr="00A53739">
        <w:rPr>
          <w:rFonts w:ascii="Century Gothic" w:hAnsi="Century Gothic"/>
          <w:sz w:val="18"/>
          <w:szCs w:val="18"/>
        </w:rPr>
        <w:t xml:space="preserve"> Ibid</w:t>
      </w:r>
    </w:p>
  </w:footnote>
  <w:footnote w:id="11">
    <w:p w:rsidR="003047B1" w:rsidRPr="00A53739">
      <w:pPr>
        <w:pStyle w:val="FootnoteText"/>
        <w:rPr>
          <w:rFonts w:ascii="Century Gothic" w:hAnsi="Century Gothic"/>
          <w:sz w:val="18"/>
          <w:szCs w:val="18"/>
        </w:rPr>
      </w:pPr>
      <w:r w:rsidRPr="00A53739">
        <w:rPr>
          <w:rStyle w:val="FootnoteReference"/>
          <w:rFonts w:ascii="Century Gothic" w:hAnsi="Century Gothic"/>
          <w:sz w:val="18"/>
          <w:szCs w:val="18"/>
        </w:rPr>
        <w:footnoteRef/>
      </w:r>
      <w:r w:rsidRPr="00A53739">
        <w:rPr>
          <w:rFonts w:ascii="Century Gothic" w:hAnsi="Century Gothic"/>
          <w:sz w:val="18"/>
          <w:szCs w:val="18"/>
        </w:rPr>
        <w:t xml:space="preserve"> Ibid</w:t>
      </w:r>
    </w:p>
  </w:footnote>
  <w:footnote w:id="12">
    <w:p w:rsidR="003047B1" w:rsidRPr="00A53739">
      <w:pPr>
        <w:pStyle w:val="FootnoteText"/>
        <w:rPr>
          <w:rFonts w:ascii="Century Gothic" w:hAnsi="Century Gothic"/>
          <w:sz w:val="18"/>
          <w:szCs w:val="18"/>
        </w:rPr>
      </w:pPr>
      <w:r w:rsidRPr="00A53739">
        <w:rPr>
          <w:rStyle w:val="FootnoteReference"/>
          <w:rFonts w:ascii="Century Gothic" w:hAnsi="Century Gothic"/>
          <w:sz w:val="18"/>
          <w:szCs w:val="18"/>
        </w:rPr>
        <w:footnoteRef/>
      </w:r>
      <w:r w:rsidRPr="00A53739">
        <w:rPr>
          <w:rFonts w:ascii="Century Gothic" w:hAnsi="Century Gothic"/>
          <w:sz w:val="18"/>
          <w:szCs w:val="18"/>
        </w:rPr>
        <w:t xml:space="preserve"> Ibid</w:t>
      </w:r>
    </w:p>
  </w:footnote>
  <w:footnote w:id="13">
    <w:p w:rsidR="003047B1" w:rsidRPr="00A53739" w:rsidP="0046506A">
      <w:pPr>
        <w:pStyle w:val="EndnoteText"/>
        <w:rPr>
          <w:rFonts w:ascii="Century Gothic" w:hAnsi="Century Gothic"/>
          <w:sz w:val="18"/>
          <w:szCs w:val="18"/>
        </w:rPr>
      </w:pPr>
      <w:r w:rsidRPr="00A53739">
        <w:rPr>
          <w:rStyle w:val="FootnoteReference"/>
          <w:rFonts w:ascii="Century Gothic" w:hAnsi="Century Gothic"/>
          <w:sz w:val="18"/>
          <w:szCs w:val="18"/>
        </w:rPr>
        <w:footnoteRef/>
      </w:r>
      <w:r w:rsidRPr="00A53739">
        <w:rPr>
          <w:rFonts w:ascii="Century Gothic" w:hAnsi="Century Gothic"/>
          <w:sz w:val="18"/>
          <w:szCs w:val="18"/>
        </w:rPr>
        <w:t xml:space="preserve"> OFS, 2025, Financial sustainability of higher education providers in England. </w:t>
      </w:r>
      <w:r>
        <w:fldChar w:fldCharType="begin"/>
      </w:r>
      <w:r>
        <w:instrText xml:space="preserve"> HYPERLINK "https://www.officeforstudents.org.uk/media/upycgog5/ofs-2025_26_1.pdf" </w:instrText>
      </w:r>
      <w:r>
        <w:fldChar w:fldCharType="separate"/>
      </w:r>
      <w:r w:rsidRPr="00A53739">
        <w:rPr>
          <w:rStyle w:val="Hyperlink"/>
          <w:rFonts w:ascii="Century Gothic" w:hAnsi="Century Gothic"/>
          <w:sz w:val="18"/>
          <w:szCs w:val="18"/>
        </w:rPr>
        <w:t>https://www.officeforstudents.org.uk/media/upycgog5/ofs-2025_26_1.pdf</w:t>
      </w:r>
      <w:r>
        <w:fldChar w:fldCharType="end"/>
      </w:r>
    </w:p>
  </w:footnote>
  <w:footnote w:id="14">
    <w:p w:rsidR="003047B1" w:rsidRPr="00A53739">
      <w:pPr>
        <w:pStyle w:val="FootnoteText"/>
        <w:rPr>
          <w:rFonts w:ascii="Century Gothic" w:hAnsi="Century Gothic"/>
          <w:sz w:val="18"/>
          <w:szCs w:val="18"/>
        </w:rPr>
      </w:pPr>
      <w:r w:rsidRPr="00A53739">
        <w:rPr>
          <w:rStyle w:val="FootnoteReference"/>
          <w:rFonts w:ascii="Century Gothic" w:hAnsi="Century Gothic"/>
          <w:sz w:val="18"/>
          <w:szCs w:val="18"/>
        </w:rPr>
        <w:footnoteRef/>
      </w:r>
      <w:r w:rsidRPr="00A53739">
        <w:rPr>
          <w:rFonts w:ascii="Century Gothic" w:hAnsi="Century Gothic"/>
          <w:sz w:val="18"/>
          <w:szCs w:val="18"/>
        </w:rPr>
        <w:t xml:space="preserve"> University World News, 2025, </w:t>
      </w:r>
      <w:r>
        <w:fldChar w:fldCharType="begin"/>
      </w:r>
      <w:r>
        <w:instrText xml:space="preserve"> HYPERLINK "https://www.universityworldnews.com/post.php?story=20250118085158852" </w:instrText>
      </w:r>
      <w:r>
        <w:fldChar w:fldCharType="separate"/>
      </w:r>
      <w:r w:rsidRPr="00A53739">
        <w:rPr>
          <w:rStyle w:val="Hyperlink"/>
          <w:rFonts w:ascii="Century Gothic" w:hAnsi="Century Gothic"/>
          <w:sz w:val="18"/>
          <w:szCs w:val="18"/>
        </w:rPr>
        <w:t>https://www.universityworldnews.com/post.php?story=20250118085158852</w:t>
      </w:r>
      <w:r>
        <w:fldChar w:fldCharType="end"/>
      </w:r>
    </w:p>
  </w:footnote>
  <w:footnote w:id="15">
    <w:p w:rsidR="003047B1" w:rsidRPr="00A53739">
      <w:pPr>
        <w:pStyle w:val="FootnoteText"/>
        <w:rPr>
          <w:rFonts w:ascii="Century Gothic" w:hAnsi="Century Gothic"/>
          <w:sz w:val="18"/>
          <w:szCs w:val="18"/>
        </w:rPr>
      </w:pPr>
      <w:r w:rsidRPr="00A53739">
        <w:rPr>
          <w:rStyle w:val="FootnoteReference"/>
          <w:rFonts w:ascii="Century Gothic" w:hAnsi="Century Gothic"/>
          <w:sz w:val="18"/>
          <w:szCs w:val="18"/>
        </w:rPr>
        <w:footnoteRef/>
      </w:r>
      <w:r w:rsidRPr="00A53739">
        <w:rPr>
          <w:rFonts w:ascii="Century Gothic" w:hAnsi="Century Gothic"/>
          <w:sz w:val="18"/>
          <w:szCs w:val="18"/>
        </w:rPr>
        <w:t xml:space="preserve"> Education Select Committee, 2025, </w:t>
      </w:r>
      <w:r>
        <w:fldChar w:fldCharType="begin"/>
      </w:r>
      <w:r>
        <w:instrText xml:space="preserve"> HYPERLINK "https://committees.parliament.uk/committee/203/education-committee/news/207465/universities-on-the-brink-education-committee-launches-new-inquiry" </w:instrText>
      </w:r>
      <w:r>
        <w:fldChar w:fldCharType="separate"/>
      </w:r>
      <w:r w:rsidRPr="00A53739">
        <w:rPr>
          <w:rStyle w:val="Hyperlink"/>
          <w:rFonts w:ascii="Century Gothic" w:hAnsi="Century Gothic"/>
          <w:sz w:val="18"/>
          <w:szCs w:val="18"/>
        </w:rPr>
        <w:t>https://committees.parliament.uk/committee/203/education-committee/news/207465/universities-on-the-brink-education-committee-launches-new-inquiry</w:t>
      </w:r>
      <w:r>
        <w:fldChar w:fldCharType="end"/>
      </w:r>
    </w:p>
  </w:footnote>
  <w:footnote w:id="16">
    <w:p w:rsidR="003047B1" w:rsidRPr="00A53739">
      <w:pPr>
        <w:pStyle w:val="FootnoteText"/>
        <w:rPr>
          <w:rFonts w:ascii="Century Gothic" w:hAnsi="Century Gothic"/>
          <w:sz w:val="18"/>
          <w:szCs w:val="18"/>
        </w:rPr>
      </w:pPr>
      <w:r w:rsidRPr="00A53739">
        <w:rPr>
          <w:rStyle w:val="FootnoteReference"/>
          <w:rFonts w:ascii="Century Gothic" w:hAnsi="Century Gothic"/>
          <w:sz w:val="18"/>
          <w:szCs w:val="18"/>
        </w:rPr>
        <w:footnoteRef/>
      </w:r>
      <w:r w:rsidRPr="00A53739">
        <w:rPr>
          <w:rFonts w:ascii="Century Gothic" w:hAnsi="Century Gothic"/>
          <w:sz w:val="18"/>
          <w:szCs w:val="18"/>
        </w:rPr>
        <w:t xml:space="preserve"> RGSU, 2025, Globally Competitive, </w:t>
      </w:r>
      <w:r>
        <w:fldChar w:fldCharType="begin"/>
      </w:r>
      <w:r>
        <w:instrText xml:space="preserve"> HYPERLINK "https://russellgroupstudentsunions.org/international-students-report" </w:instrText>
      </w:r>
      <w:r>
        <w:fldChar w:fldCharType="separate"/>
      </w:r>
      <w:r w:rsidRPr="00A53739">
        <w:rPr>
          <w:rStyle w:val="Hyperlink"/>
          <w:rFonts w:ascii="Century Gothic" w:hAnsi="Century Gothic"/>
          <w:sz w:val="18"/>
          <w:szCs w:val="18"/>
        </w:rPr>
        <w:t>https://russellgroupstudentsunions.org/international-students-report</w:t>
      </w:r>
      <w:r>
        <w:fldChar w:fldCharType="end"/>
      </w:r>
    </w:p>
  </w:footnote>
  <w:footnote w:id="17">
    <w:p w:rsidR="003047B1" w:rsidRPr="00A53739">
      <w:pPr>
        <w:pStyle w:val="FootnoteText"/>
        <w:rPr>
          <w:rFonts w:ascii="Century Gothic" w:hAnsi="Century Gothic"/>
          <w:sz w:val="18"/>
          <w:szCs w:val="18"/>
        </w:rPr>
      </w:pPr>
      <w:r w:rsidRPr="00A53739">
        <w:rPr>
          <w:rStyle w:val="FootnoteReference"/>
          <w:rFonts w:ascii="Century Gothic" w:hAnsi="Century Gothic"/>
          <w:sz w:val="18"/>
          <w:szCs w:val="18"/>
        </w:rPr>
        <w:footnoteRef/>
      </w:r>
      <w:r w:rsidRPr="00A53739">
        <w:rPr>
          <w:rFonts w:ascii="Century Gothic" w:hAnsi="Century Gothic"/>
          <w:sz w:val="18"/>
          <w:szCs w:val="18"/>
        </w:rPr>
        <w:t xml:space="preserve"> Ibid</w:t>
      </w:r>
    </w:p>
  </w:footnote>
  <w:footnote w:id="18">
    <w:p w:rsidR="003047B1" w:rsidRPr="00A53739">
      <w:pPr>
        <w:pStyle w:val="FootnoteText"/>
        <w:rPr>
          <w:rFonts w:ascii="Century Gothic" w:hAnsi="Century Gothic"/>
          <w:sz w:val="18"/>
          <w:szCs w:val="18"/>
        </w:rPr>
      </w:pPr>
      <w:r w:rsidRPr="00A53739">
        <w:rPr>
          <w:rStyle w:val="FootnoteReference"/>
          <w:rFonts w:ascii="Century Gothic" w:hAnsi="Century Gothic"/>
          <w:sz w:val="18"/>
          <w:szCs w:val="18"/>
        </w:rPr>
        <w:footnoteRef/>
      </w:r>
      <w:r w:rsidRPr="00A53739">
        <w:rPr>
          <w:rFonts w:ascii="Century Gothic" w:hAnsi="Century Gothic"/>
          <w:sz w:val="18"/>
          <w:szCs w:val="18"/>
        </w:rPr>
        <w:t xml:space="preserve"> Ibid</w:t>
      </w:r>
    </w:p>
  </w:footnote>
  <w:footnote w:id="19">
    <w:p w:rsidR="003047B1" w:rsidRPr="00A53739">
      <w:pPr>
        <w:pStyle w:val="FootnoteText"/>
        <w:rPr>
          <w:rFonts w:ascii="Century Gothic" w:hAnsi="Century Gothic"/>
          <w:sz w:val="18"/>
          <w:szCs w:val="18"/>
        </w:rPr>
      </w:pPr>
      <w:r w:rsidRPr="00A53739">
        <w:rPr>
          <w:rStyle w:val="FootnoteReference"/>
          <w:rFonts w:ascii="Century Gothic" w:hAnsi="Century Gothic"/>
          <w:sz w:val="18"/>
          <w:szCs w:val="18"/>
        </w:rPr>
        <w:footnoteRef/>
      </w:r>
      <w:r w:rsidRPr="00A53739">
        <w:rPr>
          <w:rFonts w:ascii="Century Gothic" w:hAnsi="Century Gothic"/>
          <w:sz w:val="18"/>
          <w:szCs w:val="18"/>
        </w:rPr>
        <w:t xml:space="preserve"> Ibid</w:t>
      </w:r>
    </w:p>
  </w:footnote>
  <w:footnote w:id="20">
    <w:p w:rsidR="003047B1" w:rsidRPr="00A53739">
      <w:pPr>
        <w:pStyle w:val="FootnoteText"/>
        <w:rPr>
          <w:rFonts w:ascii="Century Gothic" w:hAnsi="Century Gothic"/>
          <w:sz w:val="18"/>
          <w:szCs w:val="18"/>
        </w:rPr>
      </w:pPr>
      <w:r w:rsidRPr="00A53739">
        <w:rPr>
          <w:rStyle w:val="FootnoteReference"/>
          <w:rFonts w:ascii="Century Gothic" w:hAnsi="Century Gothic"/>
          <w:sz w:val="18"/>
          <w:szCs w:val="18"/>
        </w:rPr>
        <w:footnoteRef/>
      </w:r>
      <w:r w:rsidRPr="00A53739">
        <w:rPr>
          <w:rFonts w:ascii="Century Gothic" w:hAnsi="Century Gothic"/>
          <w:sz w:val="18"/>
          <w:szCs w:val="18"/>
        </w:rPr>
        <w:t xml:space="preserve"> Education Select Committee (Helen Hayes MP), 2025, </w:t>
      </w:r>
      <w:r>
        <w:fldChar w:fldCharType="begin"/>
      </w:r>
      <w:r>
        <w:instrText xml:space="preserve"> HYPERLINK "https://committees.parliament.uk/committee/203/education-committee/news/207465/universities-on-the-brink-education-committee-launches-new-inquiry/" </w:instrText>
      </w:r>
      <w:r>
        <w:fldChar w:fldCharType="separate"/>
      </w:r>
      <w:r w:rsidRPr="00A53739">
        <w:rPr>
          <w:rStyle w:val="Hyperlink"/>
          <w:rFonts w:ascii="Century Gothic" w:hAnsi="Century Gothic"/>
          <w:sz w:val="18"/>
          <w:szCs w:val="18"/>
        </w:rPr>
        <w:t>https://committees.parliament.uk/committee/203/education-committee/news/207465/universities-on-the-brink-education-committee-launches-new-inquiry/</w:t>
      </w:r>
      <w:r>
        <w:fldChar w:fldCharType="end"/>
      </w:r>
    </w:p>
  </w:footnote>
  <w:footnote w:id="21">
    <w:p w:rsidR="003047B1" w:rsidRPr="00A53739">
      <w:pPr>
        <w:pStyle w:val="FootnoteText"/>
        <w:rPr>
          <w:rFonts w:ascii="Century Gothic" w:hAnsi="Century Gothic"/>
          <w:sz w:val="18"/>
          <w:szCs w:val="18"/>
        </w:rPr>
      </w:pPr>
      <w:r w:rsidRPr="00A53739">
        <w:rPr>
          <w:rStyle w:val="FootnoteReference"/>
          <w:rFonts w:ascii="Century Gothic" w:hAnsi="Century Gothic"/>
          <w:sz w:val="18"/>
          <w:szCs w:val="18"/>
        </w:rPr>
        <w:footnoteRef/>
      </w:r>
      <w:r w:rsidRPr="00A53739">
        <w:rPr>
          <w:rFonts w:ascii="Century Gothic" w:hAnsi="Century Gothic"/>
          <w:sz w:val="18"/>
          <w:szCs w:val="18"/>
        </w:rPr>
        <w:t xml:space="preserve"> The British Council, 2025, </w:t>
      </w:r>
      <w:r>
        <w:fldChar w:fldCharType="begin"/>
      </w:r>
      <w:r>
        <w:instrText xml:space="preserve"> HYPERLINK "https://study-uk.britishcouncil.org/moving-uk/cost-studying" </w:instrText>
      </w:r>
      <w:r>
        <w:fldChar w:fldCharType="separate"/>
      </w:r>
      <w:r w:rsidRPr="00A53739">
        <w:rPr>
          <w:rStyle w:val="Hyperlink"/>
          <w:rFonts w:ascii="Century Gothic" w:hAnsi="Century Gothic"/>
          <w:sz w:val="18"/>
          <w:szCs w:val="18"/>
        </w:rPr>
        <w:t>https://study-uk.britishcouncil.org/moving-uk/cost-studying</w:t>
      </w:r>
      <w:r>
        <w:fldChar w:fldCharType="end"/>
      </w:r>
    </w:p>
  </w:footnote>
  <w:footnote w:id="22">
    <w:p w:rsidR="003047B1" w:rsidRPr="00A53739">
      <w:pPr>
        <w:pStyle w:val="FootnoteText"/>
        <w:rPr>
          <w:rFonts w:ascii="Century Gothic" w:hAnsi="Century Gothic"/>
          <w:sz w:val="18"/>
          <w:szCs w:val="18"/>
        </w:rPr>
      </w:pPr>
      <w:r w:rsidRPr="00A53739">
        <w:rPr>
          <w:rStyle w:val="FootnoteReference"/>
          <w:rFonts w:ascii="Century Gothic" w:hAnsi="Century Gothic"/>
          <w:sz w:val="18"/>
          <w:szCs w:val="18"/>
        </w:rPr>
        <w:footnoteRef/>
      </w:r>
      <w:r w:rsidRPr="00A53739">
        <w:rPr>
          <w:rFonts w:ascii="Century Gothic" w:hAnsi="Century Gothic"/>
          <w:sz w:val="18"/>
          <w:szCs w:val="18"/>
        </w:rPr>
        <w:t xml:space="preserve"> RGSU, 2025, Globally Competitive, </w:t>
      </w:r>
      <w:r>
        <w:fldChar w:fldCharType="begin"/>
      </w:r>
      <w:r>
        <w:instrText xml:space="preserve"> HYPERLINK "https://russellgroupstudentsunions.org/international-students-report" </w:instrText>
      </w:r>
      <w:r>
        <w:fldChar w:fldCharType="separate"/>
      </w:r>
      <w:r w:rsidRPr="00A53739">
        <w:rPr>
          <w:rStyle w:val="Hyperlink"/>
          <w:rFonts w:ascii="Century Gothic" w:hAnsi="Century Gothic"/>
          <w:sz w:val="18"/>
          <w:szCs w:val="18"/>
        </w:rPr>
        <w:t>https://russellgroupstudentsunions.org/international-students-report</w:t>
      </w:r>
      <w:r>
        <w:fldChar w:fldCharType="end"/>
      </w:r>
    </w:p>
  </w:footnote>
  <w:footnote w:id="23">
    <w:p w:rsidR="003047B1" w:rsidRPr="00A53739">
      <w:pPr>
        <w:pStyle w:val="FootnoteText"/>
        <w:rPr>
          <w:rFonts w:ascii="Century Gothic" w:hAnsi="Century Gothic"/>
          <w:sz w:val="18"/>
          <w:szCs w:val="18"/>
        </w:rPr>
      </w:pPr>
      <w:r w:rsidRPr="00A53739">
        <w:rPr>
          <w:rStyle w:val="FootnoteReference"/>
          <w:rFonts w:ascii="Century Gothic" w:hAnsi="Century Gothic"/>
          <w:sz w:val="18"/>
          <w:szCs w:val="18"/>
        </w:rPr>
        <w:footnoteRef/>
      </w:r>
      <w:r w:rsidRPr="00A53739">
        <w:rPr>
          <w:rFonts w:ascii="Century Gothic" w:hAnsi="Century Gothic"/>
          <w:sz w:val="18"/>
          <w:szCs w:val="18"/>
        </w:rPr>
        <w:t xml:space="preserve"> Ibid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47B1" w:rsidRPr="003A5CC5">
    <w:pPr>
      <w:pStyle w:val="Header"/>
      <w:rPr>
        <w:rFonts w:ascii="Century Gothic" w:hAnsi="Century Gothic"/>
        <w:color w:val="7F7F7F" w:themeColor="text1" w:themeTint="80"/>
        <w:sz w:val="18"/>
        <w:szCs w:val="18"/>
      </w:rPr>
    </w:pPr>
    <w:r w:rsidRPr="003A5CC5">
      <w:rPr>
        <w:rFonts w:ascii="Century Gothic" w:hAnsi="Century Gothic"/>
        <w:color w:val="7F7F7F" w:themeColor="text1" w:themeTint="80"/>
        <w:sz w:val="18"/>
        <w:szCs w:val="18"/>
      </w:rPr>
      <w:t>Russell Group Students’ Unions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5FA31BC"/>
    <w:multiLevelType w:val="multilevel"/>
    <w:tmpl w:val="1C2622E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DD45D1A"/>
    <w:multiLevelType w:val="multilevel"/>
    <w:tmpl w:val="6E066C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D97130F"/>
    <w:multiLevelType w:val="multilevel"/>
    <w:tmpl w:val="65D072E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name w:val="a"/>
    <w:basedOn w:val="TableNormal"/>
    <w:tblPr>
      <w:tblStyleRowBandSize w:val="1"/>
      <w:tblStyleColBandSize w:val="1"/>
      <w:tblCellMar>
        <w:top w:w="100" w:type="dxa"/>
        <w:left w:w="100" w:type="dxa"/>
        <w:bottom w:w="100" w:type="dxa"/>
        <w:right w:w="100" w:type="dxa"/>
      </w:tblCellMar>
    </w:tblPr>
  </w:style>
  <w:style w:type="table" w:customStyle="1" w:styleId="a0">
    <w:name w:val="a0"/>
    <w:basedOn w:val="TableNormal"/>
    <w:tblPr>
      <w:tblStyleRowBandSize w:val="1"/>
      <w:tblStyleColBandSize w:val="1"/>
      <w:tblCellMar>
        <w:top w:w="100" w:type="dxa"/>
        <w:left w:w="100" w:type="dxa"/>
        <w:bottom w:w="100" w:type="dxa"/>
        <w:right w:w="100" w:type="dxa"/>
      </w:tblCellMar>
    </w:tblPr>
  </w:style>
  <w:style w:type="table" w:customStyle="1" w:styleId="a1">
    <w:name w:val="a1"/>
    <w:basedOn w:val="TableNormal"/>
    <w:tblPr>
      <w:tblStyleRowBandSize w:val="1"/>
      <w:tblStyleColBandSize w:val="1"/>
      <w:tblCellMar>
        <w:top w:w="100" w:type="dxa"/>
        <w:left w:w="100" w:type="dxa"/>
        <w:bottom w:w="100" w:type="dxa"/>
        <w:right w:w="100" w:type="dxa"/>
      </w:tblCellMar>
    </w:tblPr>
  </w:style>
  <w:style w:type="paragraph" w:customStyle="1" w:styleId="Default">
    <w:name w:val="Default"/>
    <w:basedOn w:val="Normal"/>
    <w:uiPriority w:val="1"/>
    <w:rsid w:val="00936885"/>
    <w:pPr>
      <w:spacing w:line="259" w:lineRule="auto"/>
    </w:pPr>
    <w:rPr>
      <w:rFonts w:ascii="Century Gothic" w:hAnsi="Century Gothic" w:eastAsiaTheme="minorEastAsia" w:cs="Century Gothic"/>
      <w:color w:val="000000" w:themeColor="text1"/>
      <w:sz w:val="24"/>
      <w:szCs w:val="24"/>
      <w:lang w:val="en-US" w:eastAsia="en-US"/>
    </w:rPr>
  </w:style>
  <w:style w:type="table" w:styleId="TableGrid">
    <w:name w:val="Table Grid"/>
    <w:basedOn w:val="TableNormal"/>
    <w:uiPriority w:val="59"/>
    <w:rsid w:val="00936885"/>
    <w:pPr>
      <w:spacing w:line="240" w:lineRule="auto"/>
    </w:pPr>
    <w:rPr>
      <w:rFonts w:asciiTheme="minorHAnsi" w:eastAsiaTheme="minorHAnsi" w:hAnsiTheme="minorHAnsi" w:cstheme="minorBidi"/>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32615E"/>
    <w:pPr>
      <w:tabs>
        <w:tab w:val="center" w:pos="4513"/>
        <w:tab w:val="right" w:pos="9026"/>
      </w:tabs>
      <w:spacing w:line="240" w:lineRule="auto"/>
    </w:pPr>
  </w:style>
  <w:style w:type="character" w:customStyle="1" w:styleId="HeaderChar">
    <w:name w:val="Header Char"/>
    <w:basedOn w:val="DefaultParagraphFont"/>
    <w:link w:val="Header"/>
    <w:uiPriority w:val="99"/>
    <w:rsid w:val="0032615E"/>
  </w:style>
  <w:style w:type="paragraph" w:styleId="Footer">
    <w:name w:val="footer"/>
    <w:basedOn w:val="Normal"/>
    <w:link w:val="FooterChar"/>
    <w:uiPriority w:val="99"/>
    <w:unhideWhenUsed/>
    <w:rsid w:val="0032615E"/>
    <w:pPr>
      <w:tabs>
        <w:tab w:val="center" w:pos="4513"/>
        <w:tab w:val="right" w:pos="9026"/>
      </w:tabs>
      <w:spacing w:line="240" w:lineRule="auto"/>
    </w:pPr>
  </w:style>
  <w:style w:type="character" w:customStyle="1" w:styleId="FooterChar">
    <w:name w:val="Footer Char"/>
    <w:basedOn w:val="DefaultParagraphFont"/>
    <w:link w:val="Footer"/>
    <w:uiPriority w:val="99"/>
    <w:rsid w:val="0032615E"/>
  </w:style>
  <w:style w:type="character" w:styleId="Hyperlink">
    <w:name w:val="Hyperlink"/>
    <w:basedOn w:val="DefaultParagraphFont"/>
    <w:uiPriority w:val="99"/>
    <w:unhideWhenUsed/>
    <w:rsid w:val="0032615E"/>
    <w:rPr>
      <w:color w:val="0000FF" w:themeColor="hyperlink"/>
      <w:u w:val="single"/>
    </w:rPr>
  </w:style>
  <w:style w:type="character" w:customStyle="1" w:styleId="UnresolvedMention1">
    <w:name w:val="Unresolved Mention1"/>
    <w:basedOn w:val="DefaultParagraphFont"/>
    <w:uiPriority w:val="99"/>
    <w:semiHidden/>
    <w:unhideWhenUsed/>
    <w:rsid w:val="0032615E"/>
    <w:rPr>
      <w:color w:val="605E5C"/>
      <w:shd w:val="clear" w:color="auto" w:fill="E1DFDD"/>
    </w:rPr>
  </w:style>
  <w:style w:type="character" w:styleId="Strong">
    <w:name w:val="Strong"/>
    <w:basedOn w:val="DefaultParagraphFont"/>
    <w:uiPriority w:val="22"/>
    <w:qFormat/>
    <w:rsid w:val="001856D8"/>
    <w:rPr>
      <w:b/>
      <w:bCs/>
    </w:rPr>
  </w:style>
  <w:style w:type="character" w:customStyle="1" w:styleId="ms-1">
    <w:name w:val="ms-1"/>
    <w:basedOn w:val="DefaultParagraphFont"/>
    <w:rsid w:val="001856D8"/>
  </w:style>
  <w:style w:type="character" w:customStyle="1" w:styleId="max-w-full">
    <w:name w:val="max-w-full"/>
    <w:basedOn w:val="DefaultParagraphFont"/>
    <w:rsid w:val="001856D8"/>
  </w:style>
  <w:style w:type="paragraph" w:styleId="NormalWeb">
    <w:name w:val="Normal (Web)"/>
    <w:basedOn w:val="Normal"/>
    <w:uiPriority w:val="99"/>
    <w:unhideWhenUsed/>
    <w:rsid w:val="0060247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02477"/>
    <w:rPr>
      <w:i/>
      <w:iCs/>
    </w:rPr>
  </w:style>
  <w:style w:type="paragraph" w:styleId="ListParagraph">
    <w:name w:val="List Paragraph"/>
    <w:basedOn w:val="Normal"/>
    <w:uiPriority w:val="34"/>
    <w:qFormat/>
    <w:rsid w:val="0045491D"/>
    <w:pPr>
      <w:ind w:left="720"/>
      <w:contextualSpacing/>
    </w:pPr>
  </w:style>
  <w:style w:type="character" w:styleId="CommentReference">
    <w:name w:val="annotation reference"/>
    <w:basedOn w:val="DefaultParagraphFont"/>
    <w:uiPriority w:val="99"/>
    <w:semiHidden/>
    <w:unhideWhenUsed/>
    <w:rsid w:val="00A72125"/>
    <w:rPr>
      <w:sz w:val="16"/>
      <w:szCs w:val="16"/>
    </w:rPr>
  </w:style>
  <w:style w:type="paragraph" w:styleId="CommentText">
    <w:name w:val="annotation text"/>
    <w:basedOn w:val="Normal"/>
    <w:link w:val="CommentTextChar"/>
    <w:uiPriority w:val="99"/>
    <w:unhideWhenUsed/>
    <w:rsid w:val="00A72125"/>
    <w:pPr>
      <w:spacing w:line="240" w:lineRule="auto"/>
    </w:pPr>
    <w:rPr>
      <w:sz w:val="20"/>
      <w:szCs w:val="20"/>
    </w:rPr>
  </w:style>
  <w:style w:type="character" w:customStyle="1" w:styleId="CommentTextChar">
    <w:name w:val="Comment Text Char"/>
    <w:basedOn w:val="DefaultParagraphFont"/>
    <w:link w:val="CommentText"/>
    <w:uiPriority w:val="99"/>
    <w:rsid w:val="00A72125"/>
    <w:rPr>
      <w:sz w:val="20"/>
      <w:szCs w:val="20"/>
    </w:rPr>
  </w:style>
  <w:style w:type="paragraph" w:styleId="CommentSubject">
    <w:name w:val="annotation subject"/>
    <w:basedOn w:val="CommentText"/>
    <w:next w:val="CommentText"/>
    <w:link w:val="CommentSubjectChar"/>
    <w:uiPriority w:val="99"/>
    <w:semiHidden/>
    <w:unhideWhenUsed/>
    <w:rsid w:val="00A72125"/>
    <w:rPr>
      <w:b/>
      <w:bCs/>
    </w:rPr>
  </w:style>
  <w:style w:type="character" w:customStyle="1" w:styleId="CommentSubjectChar">
    <w:name w:val="Comment Subject Char"/>
    <w:basedOn w:val="CommentTextChar"/>
    <w:link w:val="CommentSubject"/>
    <w:uiPriority w:val="99"/>
    <w:semiHidden/>
    <w:rsid w:val="00A72125"/>
    <w:rPr>
      <w:b/>
      <w:bCs/>
      <w:sz w:val="20"/>
      <w:szCs w:val="20"/>
    </w:rPr>
  </w:style>
  <w:style w:type="paragraph" w:styleId="Revision">
    <w:name w:val="Revision"/>
    <w:hidden/>
    <w:uiPriority w:val="99"/>
    <w:semiHidden/>
    <w:rsid w:val="00243803"/>
    <w:pPr>
      <w:spacing w:line="240" w:lineRule="auto"/>
    </w:pPr>
  </w:style>
  <w:style w:type="paragraph" w:styleId="FootnoteText">
    <w:name w:val="footnote text"/>
    <w:basedOn w:val="Normal"/>
    <w:link w:val="FootnoteTextChar"/>
    <w:uiPriority w:val="99"/>
    <w:semiHidden/>
    <w:unhideWhenUsed/>
    <w:rsid w:val="00A12D76"/>
    <w:pPr>
      <w:spacing w:line="240" w:lineRule="auto"/>
    </w:pPr>
    <w:rPr>
      <w:sz w:val="20"/>
      <w:szCs w:val="20"/>
    </w:rPr>
  </w:style>
  <w:style w:type="character" w:customStyle="1" w:styleId="FootnoteTextChar">
    <w:name w:val="Footnote Text Char"/>
    <w:basedOn w:val="DefaultParagraphFont"/>
    <w:link w:val="FootnoteText"/>
    <w:uiPriority w:val="99"/>
    <w:semiHidden/>
    <w:rsid w:val="00A12D76"/>
    <w:rPr>
      <w:sz w:val="20"/>
      <w:szCs w:val="20"/>
    </w:rPr>
  </w:style>
  <w:style w:type="character" w:styleId="FootnoteReference">
    <w:name w:val="footnote reference"/>
    <w:basedOn w:val="DefaultParagraphFont"/>
    <w:uiPriority w:val="99"/>
    <w:semiHidden/>
    <w:unhideWhenUsed/>
    <w:rsid w:val="00A12D76"/>
    <w:rPr>
      <w:vertAlign w:val="superscript"/>
    </w:rPr>
  </w:style>
  <w:style w:type="character" w:styleId="FollowedHyperlink">
    <w:name w:val="FollowedHyperlink"/>
    <w:basedOn w:val="DefaultParagraphFont"/>
    <w:uiPriority w:val="99"/>
    <w:semiHidden/>
    <w:unhideWhenUsed/>
    <w:rsid w:val="00505610"/>
    <w:rPr>
      <w:color w:val="800080" w:themeColor="followedHyperlink"/>
      <w:u w:val="single"/>
    </w:rPr>
  </w:style>
  <w:style w:type="paragraph" w:styleId="EndnoteText">
    <w:name w:val="endnote text"/>
    <w:basedOn w:val="Normal"/>
    <w:link w:val="EndnoteTextChar"/>
    <w:uiPriority w:val="99"/>
    <w:unhideWhenUsed/>
    <w:rsid w:val="00505610"/>
    <w:pPr>
      <w:spacing w:line="240" w:lineRule="auto"/>
    </w:pPr>
    <w:rPr>
      <w:sz w:val="20"/>
      <w:szCs w:val="20"/>
    </w:rPr>
  </w:style>
  <w:style w:type="character" w:customStyle="1" w:styleId="EndnoteTextChar">
    <w:name w:val="Endnote Text Char"/>
    <w:basedOn w:val="DefaultParagraphFont"/>
    <w:link w:val="EndnoteText"/>
    <w:uiPriority w:val="99"/>
    <w:rsid w:val="00505610"/>
    <w:rPr>
      <w:sz w:val="20"/>
      <w:szCs w:val="20"/>
    </w:rPr>
  </w:style>
  <w:style w:type="character" w:styleId="EndnoteReference">
    <w:name w:val="endnote reference"/>
    <w:basedOn w:val="DefaultParagraphFont"/>
    <w:uiPriority w:val="99"/>
    <w:semiHidden/>
    <w:unhideWhenUsed/>
    <w:rsid w:val="00505610"/>
    <w:rPr>
      <w:vertAlign w:val="superscript"/>
    </w:rPr>
  </w:style>
  <w:style w:type="character" w:customStyle="1" w:styleId="Mention1">
    <w:name w:val="Mention1"/>
    <w:basedOn w:val="DefaultParagraphFont"/>
    <w:uiPriority w:val="99"/>
    <w:unhideWhenUsed/>
    <w:rsid w:val="00565DBD"/>
    <w:rPr>
      <w:color w:val="2B579A"/>
      <w:shd w:val="clear" w:color="auto" w:fill="E1DFDD"/>
    </w:rPr>
  </w:style>
  <w:style w:type="character" w:customStyle="1" w:styleId="Mention">
    <w:name w:val="Mention"/>
    <w:basedOn w:val="DefaultParagraphFont"/>
    <w:uiPriority w:val="99"/>
    <w:unhideWhenUsed/>
    <w:rsid w:val="003A5CC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macintosh"/>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EE6C931F04F245BBF69DC977ACE032" ma:contentTypeVersion="13" ma:contentTypeDescription="Create a new document." ma:contentTypeScope="" ma:versionID="0c80cca1a70741ca6f12e8d8e33450e4">
  <xsd:schema xmlns:xsd="http://www.w3.org/2001/XMLSchema" xmlns:xs="http://www.w3.org/2001/XMLSchema" xmlns:p="http://schemas.microsoft.com/office/2006/metadata/properties" xmlns:ns2="3bac5670-20ad-4668-a011-ac527f58dd9a" xmlns:ns3="a8698a55-1d44-4a35-9751-678d2d090b10" targetNamespace="http://schemas.microsoft.com/office/2006/metadata/properties" ma:root="true" ma:fieldsID="1ac060550bed4e869e0f34d687e37617" ns2:_="" ns3:_="">
    <xsd:import namespace="3bac5670-20ad-4668-a011-ac527f58dd9a"/>
    <xsd:import namespace="a8698a55-1d44-4a35-9751-678d2d090b1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ac5670-20ad-4668-a011-ac527f58dd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79a89b1-2c2c-4f7f-9bd7-7914fb13a02b"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8698a55-1d44-4a35-9751-678d2d090b1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5fe47b1-1c7b-48ff-b5e4-70dcad66a9a4}" ma:internalName="TaxCatchAll" ma:showField="CatchAllData" ma:web="a8698a55-1d44-4a35-9751-678d2d090b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8698a55-1d44-4a35-9751-678d2d090b10" xsi:nil="true"/>
    <lcf76f155ced4ddcb4097134ff3c332f xmlns="3bac5670-20ad-4668-a011-ac527f58dd9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F3D138-30D0-4E86-8849-170EF10945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ac5670-20ad-4668-a011-ac527f58dd9a"/>
    <ds:schemaRef ds:uri="a8698a55-1d44-4a35-9751-678d2d090b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2CC3D1-F6EE-403F-B6ED-EC21CFB9EBDD}">
  <ds:schemaRefs>
    <ds:schemaRef ds:uri="http://schemas.openxmlformats.org/package/2006/metadata/core-properties"/>
    <ds:schemaRef ds:uri="http://purl.org/dc/elements/1.1/"/>
    <ds:schemaRef ds:uri="a8698a55-1d44-4a35-9751-678d2d090b10"/>
    <ds:schemaRef ds:uri="http://schemas.microsoft.com/office/2006/metadata/properties"/>
    <ds:schemaRef ds:uri="3bac5670-20ad-4668-a011-ac527f58dd9a"/>
    <ds:schemaRef ds:uri="http://purl.org/dc/terms/"/>
    <ds:schemaRef ds:uri="http://schemas.microsoft.com/office/2006/documentManagement/types"/>
    <ds:schemaRef ds:uri="http://www.w3.org/XML/1998/namespace"/>
    <ds:schemaRef ds:uri="http://schemas.microsoft.com/office/infopath/2007/PartnerControls"/>
    <ds:schemaRef ds:uri="http://purl.org/dc/dcmitype/"/>
  </ds:schemaRefs>
</ds:datastoreItem>
</file>

<file path=customXml/itemProps3.xml><?xml version="1.0" encoding="utf-8"?>
<ds:datastoreItem xmlns:ds="http://schemas.openxmlformats.org/officeDocument/2006/customXml" ds:itemID="{24A606D3-1FBA-4469-ADFD-352C54843B86}">
  <ds:schemaRefs>
    <ds:schemaRef ds:uri="http://schemas.microsoft.com/sharepoint/v3/contenttype/forms"/>
  </ds:schemaRefs>
</ds:datastoreItem>
</file>

<file path=customXml/itemProps4.xml><?xml version="1.0" encoding="utf-8"?>
<ds:datastoreItem xmlns:ds="http://schemas.openxmlformats.org/officeDocument/2006/customXml" ds:itemID="{24A1836D-3566-486A-A155-542E15E46D36}">
  <ds:schemaRefs>
    <ds:schemaRef ds:uri="http://schemas.openxmlformats.org/officeDocument/2006/bibliography"/>
  </ds:schemaRefs>
</ds:datastoreItem>
</file>

<file path=docMetadata/LabelInfo.xml><?xml version="1.0" encoding="utf-8"?>
<clbl:labelList xmlns:clbl="http://schemas.microsoft.com/office/2020/mipLabelMetadata">
  <clbl:label id="{1faf88fe-a998-4c5b-93c9-210a11d9a5c2}" enabled="0" method="" siteId="{1faf88fe-a998-4c5b-93c9-210a11d9a5c2}" removed="1"/>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