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2DE3" w:rsidRPr="00A12DE3" w:rsidP="63B2D509">
      <w:pPr>
        <w:spacing w:after="0" w:line="240" w:lineRule="auto"/>
        <w:jc w:val="center"/>
        <w:rPr>
          <w:rFonts w:ascii="Calibri" w:eastAsia="Aptos" w:hAnsi="Calibri" w:cs="Calibri"/>
          <w:b/>
          <w:bCs/>
        </w:rPr>
      </w:pPr>
      <w:r w:rsidRPr="00A12DE3">
        <w:rPr>
          <w:rFonts w:ascii="Calibri" w:eastAsia="Aptos" w:hAnsi="Calibri" w:cs="Calibri"/>
          <w:b/>
          <w:bCs/>
        </w:rPr>
        <w:t xml:space="preserve">Written evidence by </w:t>
      </w:r>
      <w:r w:rsidRPr="00A12DE3">
        <w:rPr>
          <w:rFonts w:ascii="Calibri" w:eastAsia="Aptos" w:hAnsi="Calibri" w:cs="Calibri"/>
          <w:b/>
          <w:bCs/>
        </w:rPr>
        <w:t>London Higher (HEF0056)</w:t>
      </w:r>
    </w:p>
    <w:p w:rsidR="00A12DE3" w:rsidRPr="00A12DE3" w:rsidP="63B2D509">
      <w:pPr>
        <w:spacing w:after="0" w:line="240" w:lineRule="auto"/>
        <w:jc w:val="center"/>
        <w:rPr>
          <w:rFonts w:ascii="Calibri" w:eastAsia="Aptos" w:hAnsi="Calibri" w:cs="Calibri"/>
          <w:b/>
          <w:bCs/>
          <w:color w:val="538135" w:themeColor="accent6" w:themeShade="BF"/>
        </w:rPr>
      </w:pPr>
    </w:p>
    <w:p w:rsidR="00A12DE3" w:rsidRPr="00A12DE3" w:rsidP="00A12DE3">
      <w:pPr>
        <w:pStyle w:val="Default"/>
        <w:rPr>
          <w:rFonts w:eastAsia="Aptos"/>
          <w:b/>
          <w:bCs/>
          <w:sz w:val="22"/>
          <w:szCs w:val="22"/>
        </w:rPr>
      </w:pPr>
      <w:r w:rsidRPr="00A12DE3">
        <w:rPr>
          <w:rFonts w:eastAsia="Aptos"/>
          <w:b/>
          <w:bCs/>
          <w:sz w:val="22"/>
          <w:szCs w:val="22"/>
        </w:rPr>
        <w:t xml:space="preserve">Higher Education and Funding: Threat of Insolvency and International Students </w:t>
      </w:r>
    </w:p>
    <w:p w:rsidR="00A12DE3" w:rsidRPr="00A12DE3" w:rsidP="63B2D509">
      <w:pPr>
        <w:pStyle w:val="Default"/>
        <w:rPr>
          <w:rFonts w:eastAsia="Aptos"/>
          <w:b/>
          <w:bCs/>
          <w:sz w:val="22"/>
          <w:szCs w:val="22"/>
        </w:rPr>
      </w:pPr>
    </w:p>
    <w:p w:rsidR="00A12DE3" w:rsidRPr="00A12DE3" w:rsidP="63B2D509">
      <w:pPr>
        <w:rPr>
          <w:rFonts w:ascii="Calibri" w:eastAsia="Aptos" w:hAnsi="Calibri" w:cs="Calibri"/>
        </w:rPr>
      </w:pPr>
      <w:r w:rsidRPr="00A12DE3">
        <w:rPr>
          <w:rFonts w:ascii="Calibri" w:eastAsia="Aptos" w:hAnsi="Calibri" w:cs="Calibri"/>
        </w:rPr>
        <w:t xml:space="preserve">London Higher is the membership organisation for over 50 universities and higher education institutions across the capital, representing the full diversity of the capital’s vibrant sector from small, specialist conservatoires and research institutes to large, multi-faculty universities. London’s universities are powerful engines of economic growth, collectively educating over 507,000 students, employing over 223,000 people across all sectors of the UK economy and </w:t>
      </w:r>
      <w:r>
        <w:fldChar w:fldCharType="begin"/>
      </w:r>
      <w:r>
        <w:instrText xml:space="preserve"> HYPERLINK "https://www.universitiesuk.ac.uk/what-we-do/policy-and-research/publications/impact-higher-education-sector-uk" </w:instrText>
      </w:r>
      <w:r>
        <w:fldChar w:fldCharType="separate"/>
      </w:r>
      <w:r w:rsidRPr="00A12DE3">
        <w:rPr>
          <w:rStyle w:val="Hyperlink"/>
          <w:rFonts w:ascii="Calibri" w:eastAsia="Aptos" w:hAnsi="Calibri" w:cs="Calibri"/>
          <w:color w:val="37797B"/>
        </w:rPr>
        <w:t>generating over £27bn</w:t>
      </w:r>
      <w:r>
        <w:fldChar w:fldCharType="end"/>
      </w:r>
      <w:r w:rsidRPr="00A12DE3">
        <w:rPr>
          <w:rFonts w:ascii="Calibri" w:eastAsia="Aptos" w:hAnsi="Calibri" w:cs="Calibri"/>
        </w:rPr>
        <w:t xml:space="preserve"> in economic impact.</w:t>
      </w:r>
    </w:p>
    <w:p w:rsidR="00A12DE3" w:rsidRPr="00A12DE3" w:rsidP="63B2D509">
      <w:pPr>
        <w:pStyle w:val="Default"/>
        <w:rPr>
          <w:rFonts w:eastAsia="Aptos"/>
          <w:sz w:val="22"/>
          <w:szCs w:val="22"/>
        </w:rPr>
      </w:pPr>
    </w:p>
    <w:p w:rsidR="00A12DE3" w:rsidRPr="00A12DE3" w:rsidP="63B2D509">
      <w:pPr>
        <w:pStyle w:val="Default"/>
        <w:numPr>
          <w:ilvl w:val="0"/>
          <w:numId w:val="33"/>
        </w:numPr>
        <w:rPr>
          <w:rFonts w:eastAsia="Aptos"/>
          <w:sz w:val="22"/>
          <w:szCs w:val="22"/>
          <w:u w:val="single"/>
        </w:rPr>
      </w:pPr>
      <w:r w:rsidRPr="00A12DE3">
        <w:rPr>
          <w:rFonts w:eastAsia="Aptos"/>
          <w:sz w:val="22"/>
          <w:szCs w:val="22"/>
          <w:u w:val="single"/>
        </w:rPr>
        <w:t>Impact of Government Policy on International Students</w:t>
      </w:r>
    </w:p>
    <w:p w:rsidR="00A12DE3" w:rsidRPr="00A12DE3" w:rsidP="63B2D509">
      <w:pPr>
        <w:pStyle w:val="Default"/>
        <w:rPr>
          <w:rFonts w:eastAsia="Aptos"/>
          <w:sz w:val="22"/>
          <w:szCs w:val="22"/>
        </w:rPr>
      </w:pPr>
    </w:p>
    <w:p w:rsidR="00A12DE3" w:rsidRPr="00A12DE3" w:rsidP="63B2D509">
      <w:pPr>
        <w:pStyle w:val="Default"/>
        <w:numPr>
          <w:ilvl w:val="0"/>
          <w:numId w:val="30"/>
        </w:numPr>
        <w:rPr>
          <w:rFonts w:eastAsia="Aptos"/>
          <w:sz w:val="22"/>
          <w:szCs w:val="22"/>
        </w:rPr>
      </w:pPr>
      <w:r w:rsidRPr="00A12DE3">
        <w:rPr>
          <w:rFonts w:eastAsia="Aptos"/>
          <w:sz w:val="22"/>
          <w:szCs w:val="22"/>
        </w:rPr>
        <w:t>How will current Government policies affect the financial stability of higher education institutions?</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London’s </w:t>
      </w:r>
      <w:r w:rsidRPr="00A12DE3">
        <w:rPr>
          <w:rFonts w:eastAsia="Aptos"/>
          <w:sz w:val="22"/>
          <w:szCs w:val="22"/>
        </w:rPr>
        <w:t xml:space="preserve">unique </w:t>
      </w:r>
      <w:r w:rsidRPr="00A12DE3">
        <w:rPr>
          <w:rFonts w:eastAsia="Aptos"/>
          <w:sz w:val="22"/>
          <w:szCs w:val="22"/>
        </w:rPr>
        <w:t>concentration of world leading universities</w:t>
      </w:r>
      <w:r w:rsidRPr="00A12DE3">
        <w:rPr>
          <w:rFonts w:eastAsia="Aptos"/>
          <w:sz w:val="22"/>
          <w:szCs w:val="22"/>
        </w:rPr>
        <w:t xml:space="preserve"> and higher education institutions</w:t>
      </w:r>
      <w:r w:rsidRPr="00A12DE3">
        <w:rPr>
          <w:rFonts w:eastAsia="Aptos"/>
          <w:sz w:val="22"/>
          <w:szCs w:val="22"/>
        </w:rPr>
        <w:t xml:space="preserve"> underpins</w:t>
      </w:r>
      <w:r w:rsidRPr="00A12DE3">
        <w:rPr>
          <w:rFonts w:eastAsia="Aptos"/>
          <w:sz w:val="22"/>
          <w:szCs w:val="22"/>
        </w:rPr>
        <w:t xml:space="preserve"> its</w:t>
      </w:r>
      <w:r w:rsidRPr="00A12DE3">
        <w:rPr>
          <w:rFonts w:eastAsia="Aptos"/>
          <w:sz w:val="22"/>
          <w:szCs w:val="22"/>
        </w:rPr>
        <w:t xml:space="preserve"> status as a global city</w:t>
      </w:r>
      <w:r w:rsidRPr="00A12DE3">
        <w:rPr>
          <w:rFonts w:eastAsia="Aptos"/>
          <w:sz w:val="22"/>
          <w:szCs w:val="22"/>
        </w:rPr>
        <w:t xml:space="preserve">. </w:t>
      </w:r>
      <w:r w:rsidRPr="00A12DE3">
        <w:rPr>
          <w:rFonts w:eastAsia="Aptos"/>
          <w:sz w:val="22"/>
          <w:szCs w:val="22"/>
        </w:rPr>
        <w:t>The capital’s</w:t>
      </w:r>
      <w:r w:rsidRPr="00A12DE3">
        <w:rPr>
          <w:rFonts w:eastAsia="Aptos"/>
          <w:sz w:val="22"/>
          <w:szCs w:val="22"/>
        </w:rPr>
        <w:t xml:space="preserve"> </w:t>
      </w:r>
      <w:r w:rsidRPr="00A12DE3">
        <w:rPr>
          <w:rFonts w:eastAsia="Aptos"/>
          <w:sz w:val="22"/>
          <w:szCs w:val="22"/>
        </w:rPr>
        <w:t>diverse</w:t>
      </w:r>
      <w:r w:rsidRPr="00A12DE3">
        <w:rPr>
          <w:rFonts w:eastAsia="Aptos"/>
          <w:sz w:val="22"/>
          <w:szCs w:val="22"/>
        </w:rPr>
        <w:t xml:space="preserve"> institutions make essential contributions to London and the UK through the </w:t>
      </w:r>
      <w:r w:rsidRPr="00A12DE3">
        <w:rPr>
          <w:rFonts w:eastAsia="Aptos"/>
          <w:sz w:val="22"/>
          <w:szCs w:val="22"/>
        </w:rPr>
        <w:t>education</w:t>
      </w:r>
      <w:r w:rsidRPr="00A12DE3">
        <w:rPr>
          <w:rFonts w:eastAsia="Aptos"/>
          <w:sz w:val="22"/>
          <w:szCs w:val="22"/>
        </w:rPr>
        <w:t xml:space="preserve"> of highly skilled graduates,</w:t>
      </w:r>
      <w:r w:rsidRPr="00A12DE3">
        <w:rPr>
          <w:rFonts w:eastAsia="Aptos"/>
          <w:sz w:val="22"/>
          <w:szCs w:val="22"/>
        </w:rPr>
        <w:t xml:space="preserve"> </w:t>
      </w:r>
      <w:r w:rsidRPr="00A12DE3">
        <w:rPr>
          <w:rFonts w:eastAsia="Aptos"/>
          <w:sz w:val="22"/>
          <w:szCs w:val="22"/>
        </w:rPr>
        <w:t xml:space="preserve">cutting-edge </w:t>
      </w:r>
      <w:r w:rsidRPr="00A12DE3">
        <w:rPr>
          <w:rFonts w:eastAsia="Aptos"/>
          <w:sz w:val="22"/>
          <w:szCs w:val="22"/>
        </w:rPr>
        <w:t>research and development,</w:t>
      </w:r>
      <w:r w:rsidRPr="00A12DE3">
        <w:rPr>
          <w:rFonts w:eastAsia="Aptos"/>
          <w:sz w:val="22"/>
          <w:szCs w:val="22"/>
        </w:rPr>
        <w:t xml:space="preserve"> and through</w:t>
      </w:r>
      <w:r w:rsidRPr="00A12DE3">
        <w:rPr>
          <w:rFonts w:eastAsia="Aptos"/>
          <w:sz w:val="22"/>
          <w:szCs w:val="22"/>
        </w:rPr>
        <w:t xml:space="preserve"> innovation and enterprise</w:t>
      </w:r>
      <w:r w:rsidRPr="00A12DE3">
        <w:rPr>
          <w:rFonts w:eastAsia="Aptos"/>
          <w:sz w:val="22"/>
          <w:szCs w:val="22"/>
        </w:rPr>
        <w:t>.</w:t>
      </w:r>
      <w:r w:rsidRPr="00A12DE3">
        <w:rPr>
          <w:rFonts w:eastAsia="Aptos"/>
          <w:sz w:val="22"/>
          <w:szCs w:val="22"/>
        </w:rPr>
        <w:t xml:space="preserve"> Ranked among the </w:t>
      </w:r>
      <w:r w:rsidRPr="00A12DE3">
        <w:rPr>
          <w:rFonts w:eastAsia="Aptos"/>
          <w:sz w:val="22"/>
          <w:szCs w:val="22"/>
        </w:rPr>
        <w:t>top three</w:t>
      </w:r>
      <w:r w:rsidRPr="00A12DE3">
        <w:rPr>
          <w:rFonts w:eastAsia="Aptos"/>
          <w:sz w:val="22"/>
          <w:szCs w:val="22"/>
        </w:rPr>
        <w:t xml:space="preserve"> cities globally in the QS Best Student Cities Index, London attracts mo</w:t>
      </w:r>
      <w:r w:rsidRPr="00A12DE3">
        <w:rPr>
          <w:rFonts w:eastAsia="Aptos"/>
          <w:sz w:val="22"/>
          <w:szCs w:val="22"/>
        </w:rPr>
        <w:t>re</w:t>
      </w:r>
      <w:r w:rsidRPr="00A12DE3">
        <w:rPr>
          <w:rFonts w:eastAsia="Aptos"/>
          <w:sz w:val="22"/>
          <w:szCs w:val="22"/>
        </w:rPr>
        <w:t xml:space="preserve"> international students </w:t>
      </w:r>
      <w:r w:rsidRPr="00A12DE3">
        <w:rPr>
          <w:rFonts w:eastAsia="Aptos"/>
          <w:sz w:val="22"/>
          <w:szCs w:val="22"/>
        </w:rPr>
        <w:t xml:space="preserve">that any city </w:t>
      </w:r>
      <w:r w:rsidRPr="00A12DE3">
        <w:rPr>
          <w:rFonts w:eastAsia="Aptos"/>
          <w:sz w:val="22"/>
          <w:szCs w:val="22"/>
        </w:rPr>
        <w:t>worldwide</w:t>
      </w:r>
      <w:r w:rsidRPr="00A12DE3">
        <w:rPr>
          <w:rFonts w:eastAsia="Aptos"/>
          <w:sz w:val="22"/>
          <w:szCs w:val="22"/>
        </w:rPr>
        <w:t>,</w:t>
      </w:r>
      <w:r w:rsidRPr="00A12DE3">
        <w:rPr>
          <w:rFonts w:eastAsia="Aptos"/>
          <w:sz w:val="22"/>
          <w:szCs w:val="22"/>
        </w:rPr>
        <w:t xml:space="preserve"> with</w:t>
      </w:r>
      <w:r w:rsidRPr="00A12DE3">
        <w:rPr>
          <w:rFonts w:eastAsia="Aptos"/>
          <w:sz w:val="22"/>
          <w:szCs w:val="22"/>
        </w:rPr>
        <w:t xml:space="preserve"> </w:t>
      </w:r>
      <w:r>
        <w:fldChar w:fldCharType="begin"/>
      </w:r>
      <w:r>
        <w:instrText xml:space="preserve"> HYPERLINK "https://www.hesa.ac.uk/data-and-analysis/students/where-from" </w:instrText>
      </w:r>
      <w:r>
        <w:fldChar w:fldCharType="separate"/>
      </w:r>
      <w:r w:rsidRPr="00A12DE3">
        <w:rPr>
          <w:rStyle w:val="Hyperlink"/>
          <w:rFonts w:eastAsia="Aptos"/>
          <w:sz w:val="22"/>
          <w:szCs w:val="22"/>
        </w:rPr>
        <w:t>over 200,000</w:t>
      </w:r>
      <w:r>
        <w:fldChar w:fldCharType="end"/>
      </w:r>
      <w:r w:rsidRPr="00A12DE3">
        <w:rPr>
          <w:rFonts w:eastAsia="Aptos"/>
          <w:sz w:val="22"/>
          <w:szCs w:val="22"/>
        </w:rPr>
        <w:t xml:space="preserve">. Just one cohort of international students in London generated a net economic benefit of </w:t>
      </w:r>
      <w:r>
        <w:fldChar w:fldCharType="begin"/>
      </w:r>
      <w:r>
        <w:instrText xml:space="preserve"> HYPERLINK "https://www.hepi.ac.uk/wp-content/uploads/2023/05/Full-Report-Benefits-and-costs-of-international-students.pdf" </w:instrText>
      </w:r>
      <w:r>
        <w:fldChar w:fldCharType="separate"/>
      </w:r>
      <w:r w:rsidRPr="00A12DE3">
        <w:rPr>
          <w:rStyle w:val="Hyperlink"/>
          <w:rFonts w:eastAsia="Aptos"/>
          <w:sz w:val="22"/>
          <w:szCs w:val="22"/>
        </w:rPr>
        <w:t>£9.59 billion to the UK economy</w:t>
      </w:r>
      <w:r>
        <w:fldChar w:fldCharType="end"/>
      </w:r>
      <w:r w:rsidRPr="00A12DE3">
        <w:rPr>
          <w:rFonts w:eastAsia="Aptos"/>
          <w:sz w:val="22"/>
          <w:szCs w:val="22"/>
        </w:rPr>
        <w:t xml:space="preserve">  </w:t>
      </w:r>
      <w:r w:rsidRPr="00A12DE3">
        <w:rPr>
          <w:rFonts w:eastAsia="Aptos"/>
          <w:sz w:val="22"/>
          <w:szCs w:val="22"/>
        </w:rPr>
        <w:t>, with an average net impact of £131 million per parliamentary constituency, equivalent to £1,040 per resident. This figure is almost double the per capita benefit seen across the UK.</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International students are integral to the financial model of London institutions</w:t>
      </w:r>
      <w:r w:rsidRPr="00A12DE3">
        <w:rPr>
          <w:rFonts w:eastAsia="Aptos"/>
          <w:sz w:val="22"/>
          <w:szCs w:val="22"/>
        </w:rPr>
        <w:t xml:space="preserve">. London </w:t>
      </w:r>
      <w:r w:rsidRPr="00A12DE3">
        <w:rPr>
          <w:rFonts w:eastAsia="Aptos"/>
          <w:sz w:val="22"/>
          <w:szCs w:val="22"/>
        </w:rPr>
        <w:t>has</w:t>
      </w:r>
      <w:r w:rsidRPr="00A12DE3">
        <w:rPr>
          <w:rFonts w:eastAsia="Aptos"/>
          <w:sz w:val="22"/>
          <w:szCs w:val="22"/>
        </w:rPr>
        <w:t xml:space="preserve"> more international students </w:t>
      </w:r>
      <w:r w:rsidRPr="00A12DE3">
        <w:rPr>
          <w:rFonts w:eastAsia="Aptos"/>
          <w:sz w:val="22"/>
          <w:szCs w:val="22"/>
        </w:rPr>
        <w:t>than other</w:t>
      </w:r>
      <w:r w:rsidRPr="00A12DE3">
        <w:rPr>
          <w:rFonts w:eastAsia="Aptos"/>
          <w:sz w:val="22"/>
          <w:szCs w:val="22"/>
        </w:rPr>
        <w:t xml:space="preserve"> parts of the UK</w:t>
      </w:r>
      <w:r w:rsidRPr="00A12DE3">
        <w:rPr>
          <w:rFonts w:eastAsia="Aptos"/>
          <w:sz w:val="22"/>
          <w:szCs w:val="22"/>
        </w:rPr>
        <w:t>, so will be impacted more by any changes</w:t>
      </w:r>
      <w:r w:rsidRPr="00A12DE3">
        <w:rPr>
          <w:rFonts w:eastAsia="Aptos"/>
          <w:sz w:val="22"/>
          <w:szCs w:val="22"/>
        </w:rPr>
        <w:t xml:space="preserve">. </w:t>
      </w:r>
      <w:r w:rsidRPr="00A12DE3">
        <w:rPr>
          <w:rFonts w:eastAsia="Aptos"/>
          <w:sz w:val="22"/>
          <w:szCs w:val="22"/>
        </w:rPr>
        <w:t xml:space="preserve">International </w:t>
      </w:r>
      <w:r w:rsidRPr="00A12DE3">
        <w:rPr>
          <w:rFonts w:eastAsia="Aptos"/>
          <w:sz w:val="22"/>
          <w:szCs w:val="22"/>
        </w:rPr>
        <w:t>students'</w:t>
      </w:r>
      <w:r w:rsidRPr="00A12DE3">
        <w:rPr>
          <w:rFonts w:eastAsia="Aptos"/>
          <w:sz w:val="22"/>
          <w:szCs w:val="22"/>
        </w:rPr>
        <w:t xml:space="preserve"> </w:t>
      </w:r>
      <w:r w:rsidRPr="00A12DE3">
        <w:rPr>
          <w:rFonts w:eastAsia="Aptos"/>
          <w:sz w:val="22"/>
          <w:szCs w:val="22"/>
        </w:rPr>
        <w:t xml:space="preserve">tuition fees </w:t>
      </w:r>
      <w:r w:rsidRPr="00A12DE3">
        <w:rPr>
          <w:rFonts w:eastAsia="Aptos"/>
          <w:sz w:val="22"/>
          <w:szCs w:val="22"/>
        </w:rPr>
        <w:t>cover the cost of delivering</w:t>
      </w:r>
      <w:r w:rsidRPr="00A12DE3">
        <w:rPr>
          <w:rFonts w:eastAsia="Aptos"/>
          <w:sz w:val="22"/>
          <w:szCs w:val="22"/>
        </w:rPr>
        <w:t xml:space="preserve"> their own education </w:t>
      </w:r>
      <w:r w:rsidRPr="00A12DE3">
        <w:rPr>
          <w:rFonts w:eastAsia="Aptos"/>
          <w:sz w:val="22"/>
          <w:szCs w:val="22"/>
        </w:rPr>
        <w:t xml:space="preserve">as well as </w:t>
      </w:r>
      <w:r w:rsidRPr="00A12DE3">
        <w:rPr>
          <w:rFonts w:eastAsia="Aptos"/>
          <w:sz w:val="22"/>
          <w:szCs w:val="22"/>
        </w:rPr>
        <w:t>subsidis</w:t>
      </w:r>
      <w:r w:rsidRPr="00A12DE3">
        <w:rPr>
          <w:rFonts w:eastAsia="Aptos"/>
          <w:sz w:val="22"/>
          <w:szCs w:val="22"/>
        </w:rPr>
        <w:t>ing</w:t>
      </w:r>
      <w:r w:rsidRPr="00A12DE3">
        <w:rPr>
          <w:rFonts w:eastAsia="Aptos"/>
          <w:sz w:val="22"/>
          <w:szCs w:val="22"/>
        </w:rPr>
        <w:t xml:space="preserve"> research, student support services, and the maintenance of world class teaching and research infrastructure</w:t>
      </w:r>
      <w:r w:rsidRPr="00A12DE3">
        <w:rPr>
          <w:rFonts w:eastAsia="Aptos"/>
          <w:sz w:val="22"/>
          <w:szCs w:val="22"/>
        </w:rPr>
        <w:t>.</w:t>
      </w:r>
      <w:r w:rsidRPr="00A12DE3">
        <w:rPr>
          <w:rFonts w:ascii="Aptos" w:eastAsia="Aptos" w:hAnsi="Aptos" w:cstheme="minorBidi"/>
        </w:rPr>
        <w:t xml:space="preserve"> </w:t>
      </w:r>
      <w:r w:rsidRPr="00A12DE3">
        <w:rPr>
          <w:rFonts w:eastAsia="Aptos"/>
          <w:sz w:val="22"/>
          <w:szCs w:val="22"/>
        </w:rPr>
        <w:t xml:space="preserve">Institutions in London face </w:t>
      </w:r>
      <w:r>
        <w:fldChar w:fldCharType="begin"/>
      </w:r>
      <w:r>
        <w:instrText xml:space="preserve"> HYPERLINK "https://londonhigher.ac.uk/wp-content/uploads/2022/05/RPT-LH-Impact-of-LW-Removal-FINAL-STC_spg.pdf" </w:instrText>
      </w:r>
      <w:r>
        <w:fldChar w:fldCharType="separate"/>
      </w:r>
      <w:r w:rsidRPr="00A12DE3">
        <w:rPr>
          <w:rStyle w:val="Hyperlink"/>
          <w:rFonts w:eastAsia="Aptos"/>
          <w:sz w:val="22"/>
          <w:szCs w:val="22"/>
        </w:rPr>
        <w:t>elevated operating and staffing costs</w:t>
      </w:r>
      <w:r>
        <w:fldChar w:fldCharType="end"/>
      </w:r>
      <w:r w:rsidRPr="00A12DE3">
        <w:rPr>
          <w:rFonts w:eastAsia="Aptos"/>
          <w:sz w:val="22"/>
          <w:szCs w:val="22"/>
        </w:rPr>
        <w:t>, a challenge that has intensified since the removal of London Weighting from the OfS T-Grant in 2021/22.</w:t>
      </w:r>
      <w:r w:rsidRPr="00A12DE3">
        <w:rPr>
          <w:sz w:val="22"/>
          <w:szCs w:val="22"/>
        </w:rPr>
        <w:t xml:space="preserve"> </w:t>
      </w:r>
      <w:r w:rsidRPr="00A12DE3">
        <w:rPr>
          <w:rFonts w:eastAsia="Aptos"/>
          <w:sz w:val="22"/>
          <w:szCs w:val="22"/>
        </w:rPr>
        <w:t xml:space="preserve"> </w:t>
      </w:r>
      <w:r w:rsidRPr="00A12DE3">
        <w:rPr>
          <w:rFonts w:eastAsia="Aptos"/>
          <w:sz w:val="22"/>
          <w:szCs w:val="22"/>
        </w:rPr>
        <w:t>P</w:t>
      </w:r>
      <w:r w:rsidRPr="00A12DE3">
        <w:rPr>
          <w:rFonts w:eastAsia="Aptos"/>
          <w:sz w:val="22"/>
          <w:szCs w:val="22"/>
        </w:rPr>
        <w:t xml:space="preserve">roposed changes in government policy, most notably, the </w:t>
      </w:r>
      <w:r w:rsidRPr="00A12DE3">
        <w:rPr>
          <w:rFonts w:eastAsia="Aptos"/>
          <w:sz w:val="22"/>
          <w:szCs w:val="22"/>
        </w:rPr>
        <w:t xml:space="preserve">suggestion </w:t>
      </w:r>
      <w:r w:rsidRPr="00A12DE3">
        <w:rPr>
          <w:rFonts w:eastAsia="Aptos"/>
          <w:sz w:val="22"/>
          <w:szCs w:val="22"/>
        </w:rPr>
        <w:t xml:space="preserve">of a </w:t>
      </w:r>
      <w:r w:rsidRPr="00A12DE3">
        <w:rPr>
          <w:rFonts w:eastAsia="Aptos"/>
          <w:sz w:val="22"/>
          <w:szCs w:val="22"/>
        </w:rPr>
        <w:t xml:space="preserve">6% </w:t>
      </w:r>
      <w:r w:rsidRPr="00A12DE3">
        <w:rPr>
          <w:rFonts w:eastAsia="Aptos"/>
          <w:sz w:val="22"/>
          <w:szCs w:val="22"/>
        </w:rPr>
        <w:t>levy on international student fee income</w:t>
      </w:r>
      <w:r w:rsidRPr="00A12DE3">
        <w:rPr>
          <w:rFonts w:eastAsia="Aptos"/>
          <w:sz w:val="22"/>
          <w:szCs w:val="22"/>
        </w:rPr>
        <w:t xml:space="preserve">, puts this </w:t>
      </w:r>
      <w:r w:rsidRPr="00A12DE3">
        <w:rPr>
          <w:rFonts w:eastAsia="Aptos"/>
          <w:sz w:val="22"/>
          <w:szCs w:val="22"/>
        </w:rPr>
        <w:t xml:space="preserve">already-delicate </w:t>
      </w:r>
      <w:r w:rsidRPr="00A12DE3">
        <w:rPr>
          <w:rFonts w:eastAsia="Aptos"/>
          <w:sz w:val="22"/>
          <w:szCs w:val="22"/>
        </w:rPr>
        <w:t xml:space="preserve">model at </w:t>
      </w:r>
      <w:r w:rsidRPr="00A12DE3">
        <w:rPr>
          <w:rFonts w:eastAsia="Aptos"/>
          <w:sz w:val="22"/>
          <w:szCs w:val="22"/>
        </w:rPr>
        <w:t xml:space="preserve">further </w:t>
      </w:r>
      <w:r w:rsidRPr="00A12DE3">
        <w:rPr>
          <w:rFonts w:eastAsia="Aptos"/>
          <w:sz w:val="22"/>
          <w:szCs w:val="22"/>
        </w:rPr>
        <w:t>risk</w:t>
      </w:r>
      <w:r w:rsidRPr="00A12DE3">
        <w:rPr>
          <w:rFonts w:eastAsia="Aptos"/>
          <w:sz w:val="22"/>
          <w:szCs w:val="22"/>
        </w:rPr>
        <w:t>.</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While estimates based on the government’s own figures in the</w:t>
      </w:r>
      <w:r w:rsidRPr="00A12DE3">
        <w:rPr>
          <w:rFonts w:eastAsia="Aptos"/>
          <w:sz w:val="22"/>
          <w:szCs w:val="22"/>
        </w:rPr>
        <w:t xml:space="preserve"> </w:t>
      </w:r>
      <w:r>
        <w:fldChar w:fldCharType="begin"/>
      </w:r>
      <w:r>
        <w:instrText xml:space="preserve"> HYPERLINK "https://www.gov.uk/government/publications/restoring-control-over-the-immigration-system-white-paper/restoring-control-over-the-immigration-system-technical-annex" </w:instrText>
      </w:r>
      <w:r>
        <w:fldChar w:fldCharType="separate"/>
      </w:r>
      <w:r w:rsidRPr="00A12DE3">
        <w:rPr>
          <w:rStyle w:val="Hyperlink"/>
          <w:rFonts w:eastAsia="Aptos"/>
          <w:sz w:val="22"/>
          <w:szCs w:val="22"/>
        </w:rPr>
        <w:t>Immigration White Paper</w:t>
      </w:r>
      <w:r>
        <w:fldChar w:fldCharType="end"/>
      </w:r>
      <w:r w:rsidRPr="00A12DE3">
        <w:rPr>
          <w:rFonts w:eastAsia="Aptos"/>
          <w:sz w:val="22"/>
          <w:szCs w:val="22"/>
        </w:rPr>
        <w:t xml:space="preserve"> </w:t>
      </w:r>
      <w:r w:rsidRPr="00A12DE3">
        <w:rPr>
          <w:rFonts w:eastAsia="Aptos"/>
          <w:sz w:val="22"/>
          <w:szCs w:val="22"/>
        </w:rPr>
        <w:t xml:space="preserve"> indicate a net loss to the sector of £200 million, London Higher members believe this is a significant underestimate. These figures do not reflect the likely behavioural responses, administrative costs or wider financial dislocation that will result from the levy. The proposed charge is especially damaging for institutions that have developed a stable and high</w:t>
      </w:r>
      <w:r w:rsidRPr="00A12DE3">
        <w:rPr>
          <w:rFonts w:eastAsia="Aptos"/>
          <w:sz w:val="22"/>
          <w:szCs w:val="22"/>
        </w:rPr>
        <w:t>-</w:t>
      </w:r>
      <w:r w:rsidRPr="00A12DE3">
        <w:rPr>
          <w:rFonts w:eastAsia="Aptos"/>
          <w:sz w:val="22"/>
          <w:szCs w:val="22"/>
        </w:rPr>
        <w:t>quality</w:t>
      </w:r>
      <w:r w:rsidRPr="00A12DE3">
        <w:rPr>
          <w:rFonts w:eastAsia="Aptos"/>
          <w:sz w:val="22"/>
          <w:szCs w:val="22"/>
        </w:rPr>
        <w:t xml:space="preserve"> international recruitment model, particularly those whose international income supports core teaching and research activities that are otherwise structurally underfunded. By penalising success in international recruitment, the levy disincentivises precisely the kind of sustainable international engagement that has enabled UK universities</w:t>
      </w:r>
      <w:r w:rsidRPr="00A12DE3">
        <w:rPr>
          <w:rFonts w:eastAsia="Aptos"/>
          <w:sz w:val="22"/>
          <w:szCs w:val="22"/>
        </w:rPr>
        <w:t xml:space="preserve">, and London as a </w:t>
      </w:r>
      <w:r w:rsidRPr="00A12DE3">
        <w:rPr>
          <w:rFonts w:eastAsia="Aptos"/>
          <w:sz w:val="22"/>
          <w:szCs w:val="22"/>
        </w:rPr>
        <w:t>c</w:t>
      </w:r>
      <w:r w:rsidRPr="00A12DE3">
        <w:rPr>
          <w:rFonts w:eastAsia="Aptos"/>
          <w:sz w:val="22"/>
          <w:szCs w:val="22"/>
        </w:rPr>
        <w:t>ity,</w:t>
      </w:r>
      <w:r w:rsidRPr="00A12DE3">
        <w:rPr>
          <w:rFonts w:eastAsia="Aptos"/>
          <w:sz w:val="22"/>
          <w:szCs w:val="22"/>
        </w:rPr>
        <w:t xml:space="preserve"> to remain globally competitive.</w:t>
      </w:r>
      <w:r w:rsidRPr="00A12DE3">
        <w:rPr>
          <w:rFonts w:eastAsia="Aptos"/>
          <w:sz w:val="22"/>
          <w:szCs w:val="22"/>
        </w:rPr>
        <w:t xml:space="preserve">  </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Further concern in the sector relates to the proposal to tighten the Basic Compliance Assessment (BCA) metrics, particularly in the </w:t>
      </w:r>
      <w:r w:rsidRPr="00A12DE3">
        <w:rPr>
          <w:rFonts w:eastAsia="Aptos"/>
          <w:sz w:val="22"/>
          <w:szCs w:val="22"/>
        </w:rPr>
        <w:t xml:space="preserve">current </w:t>
      </w:r>
      <w:r w:rsidRPr="00A12DE3">
        <w:rPr>
          <w:rFonts w:eastAsia="Aptos"/>
          <w:sz w:val="22"/>
          <w:szCs w:val="22"/>
        </w:rPr>
        <w:t xml:space="preserve">absence of transparent and real time data from UKVI systems. At present, sponsors are unable to monitor visa progress with sufficient clarity. </w:t>
      </w:r>
      <w:r w:rsidRPr="00A12DE3">
        <w:rPr>
          <w:rFonts w:eastAsia="Aptos"/>
          <w:sz w:val="22"/>
          <w:szCs w:val="22"/>
        </w:rPr>
        <w:t>Confirmation of Acceptance (</w:t>
      </w:r>
      <w:r w:rsidRPr="00A12DE3">
        <w:rPr>
          <w:rFonts w:eastAsia="Aptos"/>
          <w:sz w:val="22"/>
          <w:szCs w:val="22"/>
        </w:rPr>
        <w:t>CAS</w:t>
      </w:r>
      <w:r w:rsidRPr="00A12DE3">
        <w:rPr>
          <w:rFonts w:eastAsia="Aptos"/>
          <w:sz w:val="22"/>
          <w:szCs w:val="22"/>
        </w:rPr>
        <w:t>)</w:t>
      </w:r>
      <w:r w:rsidRPr="00A12DE3">
        <w:rPr>
          <w:rFonts w:eastAsia="Aptos"/>
          <w:sz w:val="22"/>
          <w:szCs w:val="22"/>
        </w:rPr>
        <w:t xml:space="preserve"> statuses in the Sponsor Management System fail to distinguish between outcomes such as granted, refused, or still under consideration, while many records remain </w:t>
      </w:r>
      <w:r w:rsidRPr="00A12DE3">
        <w:rPr>
          <w:rFonts w:eastAsia="Aptos"/>
          <w:sz w:val="22"/>
          <w:szCs w:val="22"/>
        </w:rPr>
        <w:t>marked as assigned even after decisions have been made. The shift away from Biometric Residence Permits and toward digital immigration status has also left institution</w:t>
      </w:r>
      <w:r w:rsidRPr="00A12DE3">
        <w:rPr>
          <w:rFonts w:eastAsia="Aptos"/>
          <w:sz w:val="22"/>
          <w:szCs w:val="22"/>
        </w:rPr>
        <w:t xml:space="preserve">s reliant on student </w:t>
      </w:r>
      <w:r w:rsidRPr="00A12DE3">
        <w:rPr>
          <w:rFonts w:eastAsia="Aptos"/>
          <w:sz w:val="22"/>
          <w:szCs w:val="22"/>
        </w:rPr>
        <w:t>self-reporting</w:t>
      </w:r>
      <w:r w:rsidRPr="00A12DE3">
        <w:rPr>
          <w:rFonts w:eastAsia="Aptos"/>
          <w:sz w:val="22"/>
          <w:szCs w:val="22"/>
        </w:rPr>
        <w:t>, adding significant administrative burden and reducing the reliability of visa outcome data. A secure, institution</w:t>
      </w:r>
      <w:r w:rsidRPr="00A12DE3">
        <w:rPr>
          <w:rFonts w:eastAsia="Aptos"/>
          <w:sz w:val="22"/>
          <w:szCs w:val="22"/>
        </w:rPr>
        <w:t>-</w:t>
      </w:r>
      <w:r w:rsidRPr="00A12DE3">
        <w:rPr>
          <w:rFonts w:eastAsia="Aptos"/>
          <w:sz w:val="22"/>
          <w:szCs w:val="22"/>
        </w:rPr>
        <w:t>facing dashboard showing outcome level detail such as decisions reached, dates of issuance, and audit trails would materially improve compliance monitoring and reduce risk.</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If BCA metrics are to be used with increased regulatory consequence, UKVI must address the current ambiguity in definitions of enrolment and completion, including how withdrawals and deferrals are treated when they result from factors outside institutional control. Sponsors would benefit from scenario</w:t>
      </w:r>
      <w:r w:rsidRPr="00A12DE3">
        <w:rPr>
          <w:rFonts w:eastAsia="Aptos"/>
          <w:sz w:val="22"/>
          <w:szCs w:val="22"/>
        </w:rPr>
        <w:t>-</w:t>
      </w:r>
      <w:r w:rsidRPr="00A12DE3">
        <w:rPr>
          <w:rFonts w:eastAsia="Aptos"/>
          <w:sz w:val="22"/>
          <w:szCs w:val="22"/>
        </w:rPr>
        <w:t>based guidance, a clearer understanding of acceptable mitigating circumstances, and prior notice of changing UKVI casework priorities. The reinstatement of Management Information dashboards and provision of early trend data, such as rising refusal rates by country or course, would allow providers to respond swiftly and responsibly. Without phased implementation and improved data sharing, the tightening of BCA thresholds risks creating punitive outcomes for providers already operating in good faith within a</w:t>
      </w:r>
      <w:r w:rsidRPr="00A12DE3">
        <w:rPr>
          <w:rFonts w:eastAsia="Aptos"/>
          <w:sz w:val="22"/>
          <w:szCs w:val="22"/>
        </w:rPr>
        <w:t xml:space="preserve"> system that lacks sufficient clarity or control.</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This policy </w:t>
      </w:r>
      <w:r w:rsidRPr="00A12DE3">
        <w:rPr>
          <w:rFonts w:eastAsia="Aptos"/>
          <w:sz w:val="22"/>
          <w:szCs w:val="22"/>
        </w:rPr>
        <w:t xml:space="preserve">proposal </w:t>
      </w:r>
      <w:r w:rsidRPr="00A12DE3">
        <w:rPr>
          <w:rFonts w:eastAsia="Aptos"/>
          <w:sz w:val="22"/>
          <w:szCs w:val="22"/>
        </w:rPr>
        <w:t xml:space="preserve">coincides with an already precarious financial environment. </w:t>
      </w:r>
      <w:r w:rsidRPr="00A12DE3">
        <w:rPr>
          <w:rFonts w:eastAsia="Aptos"/>
          <w:sz w:val="22"/>
          <w:szCs w:val="22"/>
        </w:rPr>
        <w:t xml:space="preserve"> In addition to</w:t>
      </w:r>
      <w:r w:rsidRPr="00A12DE3">
        <w:rPr>
          <w:rFonts w:eastAsia="Aptos"/>
          <w:sz w:val="22"/>
          <w:szCs w:val="22"/>
        </w:rPr>
        <w:t xml:space="preserve"> higher operating </w:t>
      </w:r>
      <w:r w:rsidRPr="00A12DE3">
        <w:rPr>
          <w:rFonts w:eastAsia="Aptos"/>
          <w:sz w:val="22"/>
          <w:szCs w:val="22"/>
        </w:rPr>
        <w:t xml:space="preserve">and staff </w:t>
      </w:r>
      <w:r w:rsidRPr="00A12DE3">
        <w:rPr>
          <w:rFonts w:eastAsia="Aptos"/>
          <w:sz w:val="22"/>
          <w:szCs w:val="22"/>
        </w:rPr>
        <w:t>costs than the rest of the UK, including</w:t>
      </w:r>
      <w:r w:rsidRPr="00A12DE3">
        <w:rPr>
          <w:rFonts w:eastAsia="Aptos"/>
          <w:sz w:val="22"/>
          <w:szCs w:val="22"/>
        </w:rPr>
        <w:t xml:space="preserve"> higher</w:t>
      </w:r>
      <w:r w:rsidRPr="00A12DE3">
        <w:rPr>
          <w:rFonts w:eastAsia="Aptos"/>
          <w:sz w:val="22"/>
          <w:szCs w:val="22"/>
        </w:rPr>
        <w:t xml:space="preserve"> staffing</w:t>
      </w:r>
      <w:r w:rsidRPr="00A12DE3">
        <w:rPr>
          <w:rFonts w:eastAsia="Aptos"/>
          <w:sz w:val="22"/>
          <w:szCs w:val="22"/>
        </w:rPr>
        <w:t xml:space="preserve"> costs</w:t>
      </w:r>
      <w:r w:rsidRPr="00A12DE3">
        <w:rPr>
          <w:rFonts w:eastAsia="Aptos"/>
          <w:sz w:val="22"/>
          <w:szCs w:val="22"/>
        </w:rPr>
        <w:t xml:space="preserve">, </w:t>
      </w:r>
      <w:r w:rsidRPr="00A12DE3">
        <w:rPr>
          <w:rFonts w:eastAsia="Aptos"/>
          <w:sz w:val="22"/>
          <w:szCs w:val="22"/>
        </w:rPr>
        <w:t>estate management</w:t>
      </w:r>
      <w:r w:rsidRPr="00A12DE3">
        <w:rPr>
          <w:rFonts w:eastAsia="Aptos"/>
          <w:sz w:val="22"/>
          <w:szCs w:val="22"/>
        </w:rPr>
        <w:t xml:space="preserve"> with a large proportion of heritage buildings</w:t>
      </w:r>
      <w:r w:rsidRPr="00A12DE3">
        <w:rPr>
          <w:rFonts w:eastAsia="Aptos"/>
          <w:sz w:val="22"/>
          <w:szCs w:val="22"/>
        </w:rPr>
        <w:t xml:space="preserve"> and service delivery. Most research is delivered at a loss, with the full economic cost typically covered at </w:t>
      </w:r>
      <w:r>
        <w:fldChar w:fldCharType="begin"/>
      </w:r>
      <w:r>
        <w:instrText xml:space="preserve"> HYPERLINK "https://www.officeforstudents.org.uk/media/oazbzea5/annual-trac-2022-23.pdf" </w:instrText>
      </w:r>
      <w:r>
        <w:fldChar w:fldCharType="separate"/>
      </w:r>
      <w:r w:rsidRPr="00A12DE3">
        <w:rPr>
          <w:rStyle w:val="Hyperlink"/>
          <w:rFonts w:eastAsia="Aptos"/>
          <w:sz w:val="22"/>
          <w:szCs w:val="22"/>
        </w:rPr>
        <w:t>only 70</w:t>
      </w:r>
      <w:r w:rsidRPr="00A12DE3">
        <w:rPr>
          <w:rStyle w:val="Hyperlink"/>
          <w:rFonts w:eastAsia="Aptos"/>
          <w:sz w:val="22"/>
          <w:szCs w:val="22"/>
        </w:rPr>
        <w:t>%</w:t>
      </w:r>
      <w:r w:rsidRPr="00A12DE3">
        <w:rPr>
          <w:rStyle w:val="Hyperlink"/>
          <w:rFonts w:eastAsia="Aptos"/>
          <w:sz w:val="22"/>
          <w:szCs w:val="22"/>
        </w:rPr>
        <w:t xml:space="preserve"> to 80</w:t>
      </w:r>
      <w:r w:rsidRPr="00A12DE3">
        <w:rPr>
          <w:rStyle w:val="Hyperlink"/>
          <w:rFonts w:eastAsia="Aptos"/>
          <w:sz w:val="22"/>
          <w:szCs w:val="22"/>
        </w:rPr>
        <w:t>%</w:t>
      </w:r>
      <w:r>
        <w:fldChar w:fldCharType="end"/>
      </w:r>
      <w:r w:rsidRPr="00A12DE3">
        <w:rPr>
          <w:rFonts w:eastAsia="Aptos"/>
          <w:sz w:val="22"/>
          <w:szCs w:val="22"/>
        </w:rPr>
        <w:t xml:space="preserve"> (with some </w:t>
      </w:r>
      <w:r w:rsidRPr="00A12DE3">
        <w:rPr>
          <w:rFonts w:eastAsia="Aptos"/>
          <w:sz w:val="22"/>
          <w:szCs w:val="22"/>
        </w:rPr>
        <w:t>institutions reporting figures much lower)</w:t>
      </w:r>
      <w:r w:rsidRPr="00A12DE3">
        <w:rPr>
          <w:rFonts w:eastAsia="Aptos"/>
          <w:sz w:val="22"/>
          <w:szCs w:val="22"/>
        </w:rPr>
        <w:t>. As the Office for Students has recently</w:t>
      </w:r>
      <w:r w:rsidRPr="00A12DE3">
        <w:rPr>
          <w:rFonts w:eastAsia="Aptos"/>
          <w:sz w:val="22"/>
          <w:szCs w:val="22"/>
        </w:rPr>
        <w:t xml:space="preserve"> </w:t>
      </w:r>
      <w:r>
        <w:fldChar w:fldCharType="begin"/>
      </w:r>
      <w:r>
        <w:instrText xml:space="preserve"> HYPERLINK "https://www.officeforstudents.org.uk/publications/financial-sustainability-of-higher-education-providers-in-england-2025/" </w:instrText>
      </w:r>
      <w:r>
        <w:fldChar w:fldCharType="separate"/>
      </w:r>
      <w:r w:rsidRPr="00A12DE3">
        <w:rPr>
          <w:rStyle w:val="Hyperlink"/>
          <w:rFonts w:eastAsia="Aptos"/>
          <w:sz w:val="22"/>
          <w:szCs w:val="22"/>
        </w:rPr>
        <w:t>reported</w:t>
      </w:r>
      <w:r>
        <w:fldChar w:fldCharType="end"/>
      </w:r>
      <w:r w:rsidRPr="00A12DE3">
        <w:rPr>
          <w:rFonts w:eastAsia="Aptos"/>
          <w:sz w:val="22"/>
          <w:szCs w:val="22"/>
        </w:rPr>
        <w:t>, financial resilience in the sector is</w:t>
      </w:r>
      <w:r w:rsidRPr="00A12DE3">
        <w:rPr>
          <w:rFonts w:eastAsia="Aptos"/>
          <w:sz w:val="22"/>
          <w:szCs w:val="22"/>
        </w:rPr>
        <w:t xml:space="preserve"> already</w:t>
      </w:r>
      <w:r w:rsidRPr="00A12DE3">
        <w:rPr>
          <w:rFonts w:eastAsia="Aptos"/>
          <w:sz w:val="22"/>
          <w:szCs w:val="22"/>
        </w:rPr>
        <w:t xml:space="preserve"> weakening.  The </w:t>
      </w:r>
      <w:r w:rsidRPr="00A12DE3">
        <w:rPr>
          <w:rFonts w:eastAsia="Aptos"/>
          <w:sz w:val="22"/>
          <w:szCs w:val="22"/>
        </w:rPr>
        <w:t>6%</w:t>
      </w:r>
      <w:r w:rsidRPr="00A12DE3">
        <w:rPr>
          <w:rFonts w:eastAsia="Aptos"/>
          <w:sz w:val="22"/>
          <w:szCs w:val="22"/>
        </w:rPr>
        <w:t xml:space="preserve"> levy risks e</w:t>
      </w:r>
      <w:r w:rsidRPr="00A12DE3">
        <w:rPr>
          <w:rFonts w:eastAsia="Aptos"/>
          <w:sz w:val="22"/>
          <w:szCs w:val="22"/>
        </w:rPr>
        <w:t>xacerbating existing financial vulnerabilities at precisely the point when institutional margins are under the most pressure. For institutions with already stretched budgets, this is not only a financial risk but a strategic threat to the sustainability of provision in London and the UK’s continued global standing in higher education.</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p>
    <w:p w:rsidR="00A12DE3" w:rsidRPr="00A12DE3" w:rsidP="63B2D509">
      <w:pPr>
        <w:pStyle w:val="Default"/>
        <w:numPr>
          <w:ilvl w:val="0"/>
          <w:numId w:val="30"/>
        </w:numPr>
        <w:rPr>
          <w:rFonts w:eastAsia="Aptos"/>
          <w:sz w:val="22"/>
          <w:szCs w:val="22"/>
        </w:rPr>
      </w:pPr>
      <w:r w:rsidRPr="00A12DE3">
        <w:rPr>
          <w:rFonts w:eastAsia="Aptos"/>
          <w:sz w:val="22"/>
          <w:szCs w:val="22"/>
        </w:rPr>
        <w:t>What implications will these policies have on future tuition fee increases?</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The </w:t>
      </w:r>
      <w:r w:rsidRPr="00A12DE3">
        <w:rPr>
          <w:rFonts w:eastAsia="Aptos"/>
          <w:sz w:val="22"/>
          <w:szCs w:val="22"/>
        </w:rPr>
        <w:t>combination</w:t>
      </w:r>
      <w:r w:rsidRPr="00A12DE3">
        <w:rPr>
          <w:rFonts w:eastAsia="Aptos"/>
          <w:sz w:val="22"/>
          <w:szCs w:val="22"/>
        </w:rPr>
        <w:t xml:space="preserve"> of constrained domestic tuition fees and declining international income leaves institutions with increasingly few</w:t>
      </w:r>
      <w:r w:rsidRPr="00A12DE3">
        <w:rPr>
          <w:rFonts w:eastAsia="Aptos"/>
          <w:sz w:val="22"/>
          <w:szCs w:val="22"/>
        </w:rPr>
        <w:t>er</w:t>
      </w:r>
      <w:r w:rsidRPr="00A12DE3">
        <w:rPr>
          <w:rFonts w:eastAsia="Aptos"/>
          <w:sz w:val="22"/>
          <w:szCs w:val="22"/>
        </w:rPr>
        <w:t xml:space="preserve"> levers to maintain financial stability. Domestic fees have remained frozen at £9,250 for nearly a decade and, even with a proposed increase to £9,535 in 2025, remain significantly below the level required to match inflation or cover the full cost of delivery. Institutions have relied on international fees to balance this shortfall. </w:t>
      </w:r>
      <w:r w:rsidRPr="00A12DE3">
        <w:rPr>
          <w:rFonts w:eastAsia="Aptos"/>
          <w:sz w:val="22"/>
          <w:szCs w:val="22"/>
        </w:rPr>
        <w:t>International student fees do not generate massive surpluses.</w:t>
      </w:r>
      <w:r w:rsidRPr="00A12DE3">
        <w:rPr>
          <w:rFonts w:eastAsia="Aptos"/>
          <w:sz w:val="22"/>
          <w:szCs w:val="22"/>
        </w:rPr>
        <w:t xml:space="preserve"> In many institutions, this income only covers the cost of course delivery. As international enrolment becomes more volatile and subject to additional levies, restrictions and increased costs due to inflationary pressures, the scope to cross-subsidise domestic provision and core activities such as research diminishes. </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For these reason</w:t>
      </w:r>
      <w:r w:rsidRPr="00A12DE3">
        <w:rPr>
          <w:rFonts w:eastAsia="Aptos"/>
          <w:sz w:val="22"/>
          <w:szCs w:val="22"/>
        </w:rPr>
        <w:t>s</w:t>
      </w:r>
      <w:r w:rsidRPr="00A12DE3">
        <w:rPr>
          <w:rFonts w:eastAsia="Aptos"/>
          <w:sz w:val="22"/>
          <w:szCs w:val="22"/>
        </w:rPr>
        <w:t xml:space="preserve"> </w:t>
      </w:r>
      <w:r w:rsidRPr="00A12DE3">
        <w:rPr>
          <w:rFonts w:eastAsia="Aptos"/>
          <w:sz w:val="22"/>
          <w:szCs w:val="22"/>
        </w:rPr>
        <w:t xml:space="preserve">there is </w:t>
      </w:r>
      <w:r w:rsidRPr="00A12DE3">
        <w:rPr>
          <w:rFonts w:eastAsia="Aptos"/>
          <w:sz w:val="22"/>
          <w:szCs w:val="22"/>
        </w:rPr>
        <w:t xml:space="preserve">a strong financial argument </w:t>
      </w:r>
      <w:r w:rsidRPr="00A12DE3">
        <w:rPr>
          <w:rFonts w:eastAsia="Aptos"/>
          <w:sz w:val="22"/>
          <w:szCs w:val="22"/>
        </w:rPr>
        <w:t>to increase</w:t>
      </w:r>
      <w:r w:rsidRPr="00A12DE3">
        <w:rPr>
          <w:rFonts w:eastAsia="Aptos"/>
          <w:sz w:val="22"/>
          <w:szCs w:val="22"/>
        </w:rPr>
        <w:t xml:space="preserve"> domestic fees, although political constraints make large-scale reform unlikely in the short term. </w:t>
      </w:r>
      <w:r w:rsidRPr="00A12DE3">
        <w:rPr>
          <w:rFonts w:eastAsia="Aptos"/>
          <w:sz w:val="22"/>
          <w:szCs w:val="22"/>
        </w:rPr>
        <w:t>However, w</w:t>
      </w:r>
      <w:r w:rsidRPr="00A12DE3">
        <w:rPr>
          <w:rFonts w:eastAsia="Aptos"/>
          <w:sz w:val="22"/>
          <w:szCs w:val="22"/>
        </w:rPr>
        <w:t xml:space="preserve">ithout </w:t>
      </w:r>
      <w:r w:rsidRPr="00A12DE3">
        <w:rPr>
          <w:rFonts w:eastAsia="Aptos"/>
          <w:sz w:val="22"/>
          <w:szCs w:val="22"/>
        </w:rPr>
        <w:t>additional</w:t>
      </w:r>
      <w:r w:rsidRPr="00A12DE3">
        <w:rPr>
          <w:rFonts w:eastAsia="Aptos"/>
          <w:sz w:val="22"/>
          <w:szCs w:val="22"/>
        </w:rPr>
        <w:t xml:space="preserve"> funding</w:t>
      </w:r>
      <w:r w:rsidRPr="00A12DE3">
        <w:rPr>
          <w:rFonts w:eastAsia="Aptos"/>
          <w:sz w:val="22"/>
          <w:szCs w:val="22"/>
        </w:rPr>
        <w:t>, institutions may be forced to reduce the breadth of their provision or scale back investment in key areas such as student support, research and outreach activity. The financial consequences of the levy will not only constrain international activity but indirectly place further stress on domestic provision</w:t>
      </w:r>
      <w:r w:rsidRPr="00A12DE3">
        <w:rPr>
          <w:rFonts w:eastAsia="Aptos"/>
          <w:sz w:val="22"/>
          <w:szCs w:val="22"/>
        </w:rPr>
        <w:t xml:space="preserve">, </w:t>
      </w:r>
      <w:r w:rsidRPr="00A12DE3">
        <w:rPr>
          <w:rFonts w:eastAsia="Aptos"/>
          <w:sz w:val="22"/>
          <w:szCs w:val="22"/>
        </w:rPr>
        <w:t>particularly in high-cost regions such as London where the financial</w:t>
      </w:r>
      <w:r w:rsidRPr="00A12DE3">
        <w:rPr>
          <w:rFonts w:eastAsia="Aptos"/>
          <w:sz w:val="22"/>
          <w:szCs w:val="22"/>
        </w:rPr>
        <w:t xml:space="preserve"> margin on home undergraduate students is already negative for many providers.</w:t>
      </w:r>
    </w:p>
    <w:p w:rsidR="00A12DE3" w:rsidRPr="00A12DE3" w:rsidP="63B2D509">
      <w:pPr>
        <w:pStyle w:val="Default"/>
        <w:rPr>
          <w:rFonts w:eastAsia="Aptos"/>
          <w:sz w:val="22"/>
          <w:szCs w:val="22"/>
        </w:rPr>
      </w:pPr>
    </w:p>
    <w:p w:rsidR="00A12DE3" w:rsidRPr="00A12DE3" w:rsidP="63B2D509">
      <w:pPr>
        <w:pStyle w:val="Default"/>
        <w:numPr>
          <w:ilvl w:val="0"/>
          <w:numId w:val="30"/>
        </w:numPr>
        <w:rPr>
          <w:rFonts w:eastAsia="Aptos"/>
          <w:sz w:val="22"/>
          <w:szCs w:val="22"/>
        </w:rPr>
      </w:pPr>
      <w:r w:rsidRPr="00A12DE3">
        <w:rPr>
          <w:rFonts w:eastAsia="Aptos"/>
          <w:sz w:val="22"/>
          <w:szCs w:val="22"/>
        </w:rPr>
        <w:t>How will the interaction between international student enrolment and tuition fees shape the sector’s financial outlook?</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London’s higher education institutions have successfully capitalised on the city’s global status, academic excellence and cultural </w:t>
      </w:r>
      <w:r w:rsidRPr="00A12DE3">
        <w:rPr>
          <w:rFonts w:eastAsia="Aptos"/>
          <w:sz w:val="22"/>
          <w:szCs w:val="22"/>
        </w:rPr>
        <w:t xml:space="preserve">capital </w:t>
      </w:r>
      <w:r w:rsidRPr="00A12DE3">
        <w:rPr>
          <w:rFonts w:eastAsia="Aptos"/>
          <w:sz w:val="22"/>
          <w:szCs w:val="22"/>
        </w:rPr>
        <w:t>to attract and retain large numbers of international students. This has become a defining strength of the sector. For many institutions, international fee income has been the most significant means of offsetting the erosion of public funding in real terms. The ability to reinvest this income has allowed providers to sustain quality, expand research capacity, fund civic responsibilities and cross-subsidise high-cost courses in vital fields such as healthcare. While domestic revenue remains constraine</w:t>
      </w:r>
      <w:r w:rsidRPr="00A12DE3">
        <w:rPr>
          <w:rFonts w:eastAsia="Aptos"/>
          <w:sz w:val="22"/>
          <w:szCs w:val="22"/>
        </w:rPr>
        <w:t>d, international student income has supported strategic investment and financial resilience across the capital</w:t>
      </w:r>
      <w:r w:rsidRPr="00A12DE3">
        <w:rPr>
          <w:rFonts w:eastAsia="Aptos"/>
          <w:sz w:val="22"/>
          <w:szCs w:val="22"/>
        </w:rPr>
        <w:t>.</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This model </w:t>
      </w:r>
      <w:r w:rsidRPr="00A12DE3">
        <w:rPr>
          <w:rFonts w:eastAsia="Aptos"/>
          <w:sz w:val="22"/>
          <w:szCs w:val="22"/>
        </w:rPr>
        <w:t>has faced ongoing er</w:t>
      </w:r>
      <w:r w:rsidRPr="00A12DE3">
        <w:rPr>
          <w:rFonts w:eastAsia="Aptos"/>
          <w:sz w:val="22"/>
          <w:szCs w:val="22"/>
        </w:rPr>
        <w:t>osion</w:t>
      </w:r>
      <w:r w:rsidRPr="00A12DE3">
        <w:rPr>
          <w:rFonts w:eastAsia="Aptos"/>
          <w:sz w:val="22"/>
          <w:szCs w:val="22"/>
        </w:rPr>
        <w:t xml:space="preserve"> </w:t>
      </w:r>
      <w:r w:rsidRPr="00A12DE3">
        <w:rPr>
          <w:rFonts w:eastAsia="Aptos"/>
          <w:sz w:val="22"/>
          <w:szCs w:val="22"/>
        </w:rPr>
        <w:t>as a result of</w:t>
      </w:r>
      <w:r w:rsidRPr="00A12DE3">
        <w:rPr>
          <w:rFonts w:eastAsia="Aptos"/>
          <w:sz w:val="22"/>
          <w:szCs w:val="22"/>
        </w:rPr>
        <w:t xml:space="preserve"> policy</w:t>
      </w:r>
      <w:r w:rsidRPr="00A12DE3">
        <w:rPr>
          <w:rFonts w:eastAsia="Aptos"/>
          <w:sz w:val="22"/>
          <w:szCs w:val="22"/>
        </w:rPr>
        <w:t xml:space="preserve"> cha</w:t>
      </w:r>
      <w:r w:rsidRPr="00A12DE3">
        <w:rPr>
          <w:rFonts w:eastAsia="Aptos"/>
          <w:sz w:val="22"/>
          <w:szCs w:val="22"/>
        </w:rPr>
        <w:t>nges</w:t>
      </w:r>
      <w:r w:rsidRPr="00A12DE3">
        <w:rPr>
          <w:rFonts w:eastAsia="Aptos"/>
          <w:sz w:val="22"/>
          <w:szCs w:val="22"/>
        </w:rPr>
        <w:t>, policy uncertainty and government messaging</w:t>
      </w:r>
      <w:r w:rsidRPr="00A12DE3">
        <w:rPr>
          <w:rFonts w:eastAsia="Aptos"/>
          <w:sz w:val="22"/>
          <w:szCs w:val="22"/>
        </w:rPr>
        <w:t xml:space="preserve">. Restrictions on student dependants, increases in visa costs and health surcharges, </w:t>
      </w:r>
      <w:r w:rsidRPr="00A12DE3">
        <w:rPr>
          <w:rFonts w:eastAsia="Aptos"/>
          <w:sz w:val="22"/>
          <w:szCs w:val="22"/>
        </w:rPr>
        <w:t>reductions in</w:t>
      </w:r>
      <w:r w:rsidRPr="00A12DE3">
        <w:rPr>
          <w:rFonts w:eastAsia="Aptos"/>
          <w:sz w:val="22"/>
          <w:szCs w:val="22"/>
        </w:rPr>
        <w:t xml:space="preserve"> post-study work, and the proposed 6</w:t>
      </w:r>
      <w:r w:rsidRPr="00A12DE3">
        <w:rPr>
          <w:rFonts w:eastAsia="Aptos"/>
          <w:sz w:val="22"/>
          <w:szCs w:val="22"/>
        </w:rPr>
        <w:t xml:space="preserve">% </w:t>
      </w:r>
      <w:r w:rsidRPr="00A12DE3">
        <w:rPr>
          <w:rFonts w:eastAsia="Aptos"/>
          <w:sz w:val="22"/>
          <w:szCs w:val="22"/>
        </w:rPr>
        <w:t xml:space="preserve">levy all make the </w:t>
      </w:r>
      <w:r w:rsidRPr="00A12DE3">
        <w:rPr>
          <w:rFonts w:eastAsia="Aptos"/>
          <w:sz w:val="22"/>
          <w:szCs w:val="22"/>
        </w:rPr>
        <w:t xml:space="preserve">UK and </w:t>
      </w:r>
      <w:r w:rsidRPr="00A12DE3">
        <w:rPr>
          <w:rFonts w:eastAsia="Aptos"/>
          <w:sz w:val="22"/>
          <w:szCs w:val="22"/>
        </w:rPr>
        <w:t>London</w:t>
      </w:r>
      <w:r w:rsidRPr="00A12DE3">
        <w:rPr>
          <w:rFonts w:eastAsia="Aptos"/>
          <w:sz w:val="22"/>
          <w:szCs w:val="22"/>
        </w:rPr>
        <w:t xml:space="preserve"> </w:t>
      </w:r>
      <w:r w:rsidRPr="00A12DE3">
        <w:rPr>
          <w:rFonts w:eastAsia="Aptos"/>
          <w:sz w:val="22"/>
          <w:szCs w:val="22"/>
        </w:rPr>
        <w:t xml:space="preserve">a less attractive destination. Institutions are already reporting declines in applications from key markets. At the same time, the data and compliance infrastructure institutions rely on to manage international recruitment and sponsor duties remains underdeveloped. Sponsors face barriers to accessing timely visa outcome data, and the lack of </w:t>
      </w:r>
      <w:r w:rsidRPr="00A12DE3">
        <w:rPr>
          <w:rFonts w:eastAsia="Aptos"/>
          <w:sz w:val="22"/>
          <w:szCs w:val="22"/>
        </w:rPr>
        <w:t>transparency in the UKVI SMS system undermines their ability to manage compliance risk effectively.</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In the absence of reform, the interaction between international student numbers and tuition fee policy will create a growing funding gap across the system. Institutions will be unable to rely on international income to maintain the financial equilibrium they have previously used to support home studen</w:t>
      </w:r>
      <w:r w:rsidRPr="00A12DE3">
        <w:rPr>
          <w:rFonts w:eastAsia="Aptos"/>
          <w:sz w:val="22"/>
          <w:szCs w:val="22"/>
        </w:rPr>
        <w:t xml:space="preserve">ts and </w:t>
      </w:r>
      <w:r w:rsidRPr="00A12DE3">
        <w:rPr>
          <w:rFonts w:eastAsia="Aptos"/>
          <w:sz w:val="22"/>
          <w:szCs w:val="22"/>
        </w:rPr>
        <w:t>fund research. Without a more sustainable and transparent policy framework</w:t>
      </w:r>
      <w:r w:rsidRPr="00A12DE3">
        <w:rPr>
          <w:rFonts w:eastAsia="Aptos"/>
          <w:sz w:val="22"/>
          <w:szCs w:val="22"/>
        </w:rPr>
        <w:t>,</w:t>
      </w:r>
      <w:r w:rsidRPr="00A12DE3">
        <w:rPr>
          <w:rFonts w:eastAsia="Aptos"/>
          <w:sz w:val="22"/>
          <w:szCs w:val="22"/>
        </w:rPr>
        <w:t xml:space="preserve"> </w:t>
      </w:r>
      <w:r w:rsidRPr="00A12DE3">
        <w:rPr>
          <w:rFonts w:eastAsia="Aptos"/>
          <w:sz w:val="22"/>
          <w:szCs w:val="22"/>
        </w:rPr>
        <w:t xml:space="preserve">one that recognises the true </w:t>
      </w:r>
      <w:r w:rsidRPr="00A12DE3">
        <w:rPr>
          <w:rFonts w:eastAsia="Aptos"/>
          <w:sz w:val="22"/>
          <w:szCs w:val="22"/>
        </w:rPr>
        <w:t>value</w:t>
      </w:r>
      <w:r w:rsidRPr="00A12DE3">
        <w:rPr>
          <w:rFonts w:eastAsia="Aptos"/>
          <w:sz w:val="22"/>
          <w:szCs w:val="22"/>
        </w:rPr>
        <w:t xml:space="preserve"> of international education and the structural constraints on domestic income</w:t>
      </w:r>
      <w:r w:rsidRPr="00A12DE3">
        <w:rPr>
          <w:rFonts w:eastAsia="Aptos"/>
          <w:sz w:val="22"/>
          <w:szCs w:val="22"/>
        </w:rPr>
        <w:t xml:space="preserve">, </w:t>
      </w:r>
      <w:r w:rsidRPr="00A12DE3">
        <w:rPr>
          <w:rFonts w:eastAsia="Aptos"/>
          <w:sz w:val="22"/>
          <w:szCs w:val="22"/>
        </w:rPr>
        <w:t xml:space="preserve">the sector’s financial outlook will </w:t>
      </w:r>
      <w:r w:rsidRPr="00A12DE3">
        <w:rPr>
          <w:rFonts w:eastAsia="Aptos"/>
          <w:sz w:val="22"/>
          <w:szCs w:val="22"/>
        </w:rPr>
        <w:t>deteriorate further.</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p>
    <w:p w:rsidR="00A12DE3" w:rsidRPr="00A12DE3" w:rsidP="63B2D509">
      <w:pPr>
        <w:pStyle w:val="Default"/>
        <w:numPr>
          <w:ilvl w:val="0"/>
          <w:numId w:val="34"/>
        </w:numPr>
        <w:rPr>
          <w:rFonts w:eastAsia="Aptos"/>
          <w:sz w:val="22"/>
          <w:szCs w:val="22"/>
          <w:u w:val="single"/>
        </w:rPr>
      </w:pPr>
      <w:r w:rsidRPr="00A12DE3">
        <w:rPr>
          <w:rFonts w:eastAsia="Aptos"/>
          <w:sz w:val="22"/>
          <w:szCs w:val="22"/>
          <w:u w:val="single"/>
        </w:rPr>
        <w:t>Ramifications of Institutional Insolvency &amp; Regional Impact</w:t>
      </w:r>
    </w:p>
    <w:p w:rsidR="00A12DE3" w:rsidRPr="00A12DE3" w:rsidP="63B2D509">
      <w:pPr>
        <w:pStyle w:val="Default"/>
        <w:rPr>
          <w:rFonts w:eastAsia="Aptos"/>
          <w:sz w:val="22"/>
          <w:szCs w:val="22"/>
        </w:rPr>
      </w:pPr>
    </w:p>
    <w:p w:rsidR="00A12DE3" w:rsidRPr="00A12DE3" w:rsidP="63B2D509">
      <w:pPr>
        <w:pStyle w:val="Default"/>
        <w:numPr>
          <w:ilvl w:val="0"/>
          <w:numId w:val="32"/>
        </w:numPr>
        <w:rPr>
          <w:rFonts w:eastAsia="Aptos"/>
          <w:sz w:val="22"/>
          <w:szCs w:val="22"/>
        </w:rPr>
      </w:pPr>
      <w:r w:rsidRPr="00A12DE3">
        <w:rPr>
          <w:rFonts w:eastAsia="Aptos"/>
          <w:sz w:val="22"/>
          <w:szCs w:val="22"/>
        </w:rPr>
        <w:t>What would be the consequences of a higher education provider becoming insolvent?</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The failure of even a single provider</w:t>
      </w:r>
      <w:r w:rsidRPr="00A12DE3">
        <w:rPr>
          <w:rFonts w:eastAsia="Aptos"/>
          <w:sz w:val="22"/>
          <w:szCs w:val="22"/>
        </w:rPr>
        <w:t xml:space="preserve"> in London</w:t>
      </w:r>
      <w:r w:rsidRPr="00A12DE3">
        <w:rPr>
          <w:rFonts w:eastAsia="Aptos"/>
          <w:sz w:val="22"/>
          <w:szCs w:val="22"/>
        </w:rPr>
        <w:t xml:space="preserve"> would place additional</w:t>
      </w:r>
      <w:r w:rsidRPr="00A12DE3">
        <w:rPr>
          <w:rFonts w:eastAsia="Aptos"/>
          <w:sz w:val="22"/>
          <w:szCs w:val="22"/>
        </w:rPr>
        <w:t xml:space="preserve"> pressure on neighbouring institutions, risking oversubscription and reduced student support. It would disrupt the education of enrolled students, many of whom may be unable to relocate or find suitable alternatives due to financial, personal, or accessibility constraints. Local economies would be adversely affected, particularly in areas where universities are major employers and play an essential civic role. Moreover, such an event would undermine international confidence in the </w:t>
      </w:r>
      <w:r w:rsidRPr="00A12DE3">
        <w:rPr>
          <w:rFonts w:eastAsia="Aptos"/>
          <w:sz w:val="22"/>
          <w:szCs w:val="22"/>
        </w:rPr>
        <w:t xml:space="preserve">London’s </w:t>
      </w:r>
      <w:r w:rsidRPr="00A12DE3">
        <w:rPr>
          <w:rFonts w:eastAsia="Aptos"/>
          <w:sz w:val="22"/>
          <w:szCs w:val="22"/>
        </w:rPr>
        <w:t xml:space="preserve">higher education </w:t>
      </w:r>
      <w:r w:rsidRPr="00A12DE3">
        <w:rPr>
          <w:rFonts w:eastAsia="Aptos"/>
          <w:sz w:val="22"/>
          <w:szCs w:val="22"/>
        </w:rPr>
        <w:t>system, damaging its global reputation and weakening its ability to attract international students and research partnerships. Insolvency also presents substantial systemic risks due to the absence of a</w:t>
      </w:r>
      <w:r w:rsidRPr="00A12DE3">
        <w:rPr>
          <w:rFonts w:eastAsia="Aptos"/>
          <w:sz w:val="22"/>
          <w:szCs w:val="22"/>
        </w:rPr>
        <w:t xml:space="preserve">n insolvency </w:t>
      </w:r>
      <w:r w:rsidRPr="00A12DE3">
        <w:rPr>
          <w:rFonts w:eastAsia="Aptos"/>
          <w:sz w:val="22"/>
          <w:szCs w:val="22"/>
        </w:rPr>
        <w:t>regime for the sector, raising the possibility of contagion and prolonged disruption.</w:t>
      </w:r>
    </w:p>
    <w:p w:rsidR="00A12DE3" w:rsidRPr="00A12DE3" w:rsidP="63B2D509">
      <w:pPr>
        <w:pStyle w:val="Default"/>
        <w:rPr>
          <w:rFonts w:eastAsia="Aptos"/>
          <w:sz w:val="22"/>
          <w:szCs w:val="22"/>
        </w:rPr>
      </w:pPr>
    </w:p>
    <w:p w:rsidR="00A12DE3" w:rsidRPr="00A12DE3" w:rsidP="63B2D509">
      <w:pPr>
        <w:pStyle w:val="Default"/>
        <w:numPr>
          <w:ilvl w:val="0"/>
          <w:numId w:val="32"/>
        </w:numPr>
        <w:rPr>
          <w:rFonts w:eastAsia="Aptos"/>
          <w:sz w:val="22"/>
          <w:szCs w:val="22"/>
        </w:rPr>
      </w:pPr>
      <w:r w:rsidRPr="00A12DE3">
        <w:rPr>
          <w:rFonts w:eastAsia="Aptos"/>
          <w:sz w:val="22"/>
          <w:szCs w:val="22"/>
        </w:rPr>
        <w:t>How do higher education institutions contribute to growth in their local economies, the provision of public services, and their wider communities?</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London’s higher education institutions play a critical role in supporting local economic development and the delivery of public services. Their impact extends well beyond the classroom or laboratory, they are deeply embedded in the communities </w:t>
      </w:r>
      <w:r w:rsidRPr="00A12DE3">
        <w:rPr>
          <w:rFonts w:eastAsia="Aptos"/>
          <w:sz w:val="22"/>
          <w:szCs w:val="22"/>
        </w:rPr>
        <w:t>where they are located.</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The</w:t>
      </w:r>
      <w:r w:rsidRPr="00A12DE3">
        <w:rPr>
          <w:rFonts w:eastAsia="Aptos"/>
          <w:sz w:val="22"/>
          <w:szCs w:val="22"/>
        </w:rPr>
        <w:t xml:space="preserve"> </w:t>
      </w:r>
      <w:r>
        <w:fldChar w:fldCharType="begin"/>
      </w:r>
      <w:r>
        <w:instrText xml:space="preserve"> HYPERLINK "https://londonhigher.ac.uk/our-work/civic-map/" </w:instrText>
      </w:r>
      <w:r>
        <w:fldChar w:fldCharType="separate"/>
      </w:r>
      <w:r w:rsidRPr="00A12DE3">
        <w:rPr>
          <w:rStyle w:val="Hyperlink"/>
          <w:rFonts w:eastAsia="Aptos"/>
          <w:sz w:val="22"/>
          <w:szCs w:val="22"/>
        </w:rPr>
        <w:t>London Higher Civic Map</w:t>
      </w:r>
      <w:r>
        <w:fldChar w:fldCharType="end"/>
      </w:r>
      <w:r w:rsidRPr="00A12DE3">
        <w:rPr>
          <w:rFonts w:eastAsia="Aptos"/>
          <w:sz w:val="22"/>
          <w:szCs w:val="22"/>
        </w:rPr>
        <w:t xml:space="preserve"> </w:t>
      </w:r>
      <w:r w:rsidRPr="00A12DE3">
        <w:rPr>
          <w:rFonts w:eastAsia="Aptos"/>
          <w:sz w:val="22"/>
          <w:szCs w:val="22"/>
        </w:rPr>
        <w:t xml:space="preserve"> documents over 300 examples of civic engagement by London</w:t>
      </w:r>
      <w:r w:rsidRPr="00A12DE3">
        <w:rPr>
          <w:rFonts w:eastAsia="Aptos"/>
          <w:sz w:val="22"/>
          <w:szCs w:val="22"/>
        </w:rPr>
        <w:t>’</w:t>
      </w:r>
      <w:r w:rsidRPr="00A12DE3">
        <w:rPr>
          <w:rFonts w:eastAsia="Aptos"/>
          <w:sz w:val="22"/>
          <w:szCs w:val="22"/>
        </w:rPr>
        <w:t>s universities, demonstrating their commitment to public good</w:t>
      </w:r>
      <w:r w:rsidRPr="00A12DE3">
        <w:rPr>
          <w:rFonts w:eastAsia="Aptos"/>
          <w:sz w:val="22"/>
          <w:szCs w:val="22"/>
        </w:rPr>
        <w:t xml:space="preserve">, </w:t>
      </w:r>
      <w:r w:rsidRPr="00A12DE3">
        <w:rPr>
          <w:rFonts w:eastAsia="Aptos"/>
          <w:sz w:val="22"/>
          <w:szCs w:val="22"/>
        </w:rPr>
        <w:t xml:space="preserve">from health outreach and environmental projects to cultural </w:t>
      </w:r>
      <w:r w:rsidRPr="00A12DE3">
        <w:rPr>
          <w:rFonts w:eastAsia="Aptos"/>
          <w:sz w:val="22"/>
          <w:szCs w:val="22"/>
        </w:rPr>
        <w:t>events</w:t>
      </w:r>
      <w:r w:rsidRPr="00A12DE3">
        <w:rPr>
          <w:rFonts w:eastAsia="Aptos"/>
          <w:sz w:val="22"/>
          <w:szCs w:val="22"/>
        </w:rPr>
        <w:t xml:space="preserve"> and youth services.</w:t>
      </w:r>
    </w:p>
    <w:p w:rsidR="00A12DE3" w:rsidRPr="00A12DE3" w:rsidP="63B2D509">
      <w:pPr>
        <w:pStyle w:val="Default"/>
        <w:rPr>
          <w:rFonts w:eastAsia="Aptos"/>
          <w:sz w:val="22"/>
          <w:szCs w:val="22"/>
        </w:rPr>
      </w:pPr>
      <w:r w:rsidRPr="00A12DE3">
        <w:rPr>
          <w:rFonts w:eastAsia="Aptos"/>
          <w:sz w:val="22"/>
          <w:szCs w:val="22"/>
        </w:rPr>
        <w:t xml:space="preserve">Many offer direct support to small and medium-sized enterprises, including free legal clinics, advice centres and consultancy services. </w:t>
      </w:r>
      <w:r>
        <w:fldChar w:fldCharType="begin"/>
      </w:r>
      <w:r>
        <w:instrText xml:space="preserve"> HYPERLINK "https://www.universitiesuk.ac.uk/sites/default/files/uploads/Reports/uuk-getting-results.pdf" </w:instrText>
      </w:r>
      <w:r>
        <w:fldChar w:fldCharType="separate"/>
      </w:r>
      <w:r w:rsidRPr="00A12DE3">
        <w:rPr>
          <w:rStyle w:val="Hyperlink"/>
          <w:rFonts w:eastAsia="Aptos"/>
          <w:sz w:val="22"/>
          <w:szCs w:val="22"/>
        </w:rPr>
        <w:t xml:space="preserve">79% </w:t>
      </w:r>
      <w:r w:rsidRPr="00A12DE3">
        <w:rPr>
          <w:rStyle w:val="Hyperlink"/>
          <w:rFonts w:eastAsia="Aptos"/>
          <w:sz w:val="22"/>
          <w:szCs w:val="22"/>
        </w:rPr>
        <w:t>of institutions</w:t>
      </w:r>
      <w:r>
        <w:fldChar w:fldCharType="end"/>
      </w:r>
      <w:r w:rsidRPr="00A12DE3">
        <w:rPr>
          <w:rFonts w:eastAsia="Aptos"/>
          <w:sz w:val="22"/>
          <w:szCs w:val="22"/>
        </w:rPr>
        <w:t xml:space="preserve"> in the capital provide a dedicated enquiry point for </w:t>
      </w:r>
      <w:r w:rsidRPr="00A12DE3">
        <w:rPr>
          <w:rFonts w:eastAsia="Aptos"/>
          <w:sz w:val="22"/>
          <w:szCs w:val="22"/>
        </w:rPr>
        <w:t>small businesses</w:t>
      </w:r>
      <w:r w:rsidRPr="00A12DE3">
        <w:rPr>
          <w:rFonts w:eastAsia="Aptos"/>
          <w:sz w:val="22"/>
          <w:szCs w:val="22"/>
        </w:rPr>
        <w:t>, helping to strengthen</w:t>
      </w:r>
      <w:r w:rsidRPr="00A12DE3">
        <w:rPr>
          <w:rFonts w:eastAsia="Aptos"/>
          <w:sz w:val="22"/>
          <w:szCs w:val="22"/>
        </w:rPr>
        <w:t xml:space="preserve"> local</w:t>
      </w:r>
      <w:r w:rsidRPr="00A12DE3">
        <w:rPr>
          <w:rFonts w:eastAsia="Aptos"/>
          <w:sz w:val="22"/>
          <w:szCs w:val="22"/>
        </w:rPr>
        <w:t xml:space="preserve"> supply chains and promote economic resilience. In addition, three-quarters offer courses for the </w:t>
      </w:r>
      <w:r w:rsidRPr="00A12DE3">
        <w:rPr>
          <w:rFonts w:eastAsia="Aptos"/>
          <w:sz w:val="22"/>
          <w:szCs w:val="22"/>
        </w:rPr>
        <w:t>general public</w:t>
      </w:r>
      <w:r w:rsidRPr="00A12DE3">
        <w:rPr>
          <w:rFonts w:eastAsia="Aptos"/>
          <w:sz w:val="22"/>
          <w:szCs w:val="22"/>
        </w:rPr>
        <w:t>, supporting lifelong learning and inclusive access to skills.</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 xml:space="preserve">In short, London’s higher education institutions are essential civic </w:t>
      </w:r>
      <w:r w:rsidRPr="00A12DE3">
        <w:rPr>
          <w:rFonts w:eastAsia="Aptos"/>
          <w:sz w:val="22"/>
          <w:szCs w:val="22"/>
        </w:rPr>
        <w:t>institutions</w:t>
      </w:r>
      <w:r w:rsidRPr="00A12DE3">
        <w:rPr>
          <w:rFonts w:eastAsia="Aptos"/>
          <w:sz w:val="22"/>
          <w:szCs w:val="22"/>
        </w:rPr>
        <w:t xml:space="preserve">. Their research, teaching and engagement functions support the delivery of public services, promote social mobility, and contribute to thriving communities across </w:t>
      </w:r>
      <w:r w:rsidRPr="00A12DE3">
        <w:rPr>
          <w:rFonts w:eastAsia="Aptos"/>
          <w:sz w:val="22"/>
          <w:szCs w:val="22"/>
        </w:rPr>
        <w:t>a polycentric</w:t>
      </w:r>
      <w:r w:rsidRPr="00A12DE3">
        <w:rPr>
          <w:rFonts w:eastAsia="Aptos"/>
          <w:sz w:val="22"/>
          <w:szCs w:val="22"/>
        </w:rPr>
        <w:t xml:space="preserve"> city.</w:t>
      </w:r>
    </w:p>
    <w:p w:rsidR="00A12DE3" w:rsidRPr="00A12DE3" w:rsidP="63B2D509">
      <w:pPr>
        <w:pStyle w:val="Default"/>
        <w:rPr>
          <w:rFonts w:eastAsia="Aptos"/>
          <w:sz w:val="22"/>
          <w:szCs w:val="22"/>
        </w:rPr>
      </w:pPr>
    </w:p>
    <w:p w:rsidR="00A12DE3" w:rsidRPr="00A12DE3" w:rsidP="63B2D509">
      <w:pPr>
        <w:pStyle w:val="Default"/>
        <w:numPr>
          <w:ilvl w:val="0"/>
          <w:numId w:val="32"/>
        </w:numPr>
        <w:rPr>
          <w:rFonts w:eastAsia="Aptos"/>
          <w:sz w:val="22"/>
          <w:szCs w:val="22"/>
        </w:rPr>
      </w:pPr>
      <w:r w:rsidRPr="00A12DE3">
        <w:rPr>
          <w:rFonts w:eastAsia="Aptos"/>
          <w:sz w:val="22"/>
          <w:szCs w:val="22"/>
        </w:rPr>
        <w:t>What strategies should be implemented to prevent insolvency and ensure sustainable regional provision of courses?</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The most immediate and significant step required</w:t>
      </w:r>
      <w:r w:rsidRPr="00A12DE3">
        <w:rPr>
          <w:rFonts w:eastAsia="Aptos"/>
          <w:sz w:val="22"/>
          <w:szCs w:val="22"/>
        </w:rPr>
        <w:t xml:space="preserve"> to ensure institutional sustainability is </w:t>
      </w:r>
      <w:r w:rsidRPr="00A12DE3">
        <w:rPr>
          <w:rFonts w:eastAsia="Aptos"/>
          <w:sz w:val="22"/>
          <w:szCs w:val="22"/>
        </w:rPr>
        <w:t xml:space="preserve">to discontinue any further consideration of </w:t>
      </w:r>
      <w:r w:rsidRPr="00A12DE3">
        <w:rPr>
          <w:rFonts w:eastAsia="Aptos"/>
          <w:sz w:val="22"/>
          <w:szCs w:val="22"/>
        </w:rPr>
        <w:t>the proposed 6</w:t>
      </w:r>
      <w:r w:rsidRPr="00A12DE3">
        <w:rPr>
          <w:rFonts w:eastAsia="Aptos"/>
          <w:sz w:val="22"/>
          <w:szCs w:val="22"/>
        </w:rPr>
        <w:t xml:space="preserve">% </w:t>
      </w:r>
      <w:r w:rsidRPr="00A12DE3">
        <w:rPr>
          <w:rFonts w:eastAsia="Aptos"/>
          <w:sz w:val="22"/>
          <w:szCs w:val="22"/>
        </w:rPr>
        <w:t>levy on international student fee income. This charge would directly undermine the financial resilience of London’s higher education providers</w:t>
      </w:r>
      <w:r w:rsidRPr="00A12DE3">
        <w:rPr>
          <w:rFonts w:eastAsia="Aptos"/>
          <w:sz w:val="22"/>
          <w:szCs w:val="22"/>
        </w:rPr>
        <w:t xml:space="preserve">. </w:t>
      </w:r>
      <w:r w:rsidRPr="00A12DE3">
        <w:rPr>
          <w:rFonts w:eastAsia="Aptos"/>
          <w:sz w:val="22"/>
          <w:szCs w:val="22"/>
        </w:rPr>
        <w:t>T</w:t>
      </w:r>
      <w:r w:rsidRPr="00A12DE3">
        <w:rPr>
          <w:rFonts w:eastAsia="Aptos"/>
          <w:sz w:val="22"/>
          <w:szCs w:val="22"/>
        </w:rPr>
        <w:t>he levy risks introducing a structural shock to an already fragile financial system with especially acute implications in high-cost regions such as London</w:t>
      </w:r>
      <w:r w:rsidRPr="00A12DE3">
        <w:rPr>
          <w:rFonts w:eastAsia="Aptos"/>
          <w:sz w:val="22"/>
          <w:szCs w:val="22"/>
        </w:rPr>
        <w:t>.</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In addition, policy instability and a lack of preparation time have frequently exacerbated financial pressures. The</w:t>
      </w:r>
      <w:r w:rsidRPr="00A12DE3">
        <w:rPr>
          <w:rFonts w:eastAsia="Aptos"/>
          <w:sz w:val="22"/>
          <w:szCs w:val="22"/>
        </w:rPr>
        <w:t xml:space="preserve"> removal of London Weighting from the OfS T-Grant in 2021/22</w:t>
      </w:r>
      <w:r w:rsidRPr="00A12DE3">
        <w:rPr>
          <w:rFonts w:eastAsia="Aptos"/>
          <w:sz w:val="22"/>
          <w:szCs w:val="22"/>
        </w:rPr>
        <w:t xml:space="preserve"> </w:t>
      </w:r>
      <w:r w:rsidRPr="00A12DE3">
        <w:rPr>
          <w:rFonts w:eastAsia="Aptos"/>
          <w:sz w:val="22"/>
          <w:szCs w:val="22"/>
        </w:rPr>
        <w:t>and the implementation of restrictions on student dependants were both enacted at extremely short notice, leaving little time for providers to adjust. For any significant policy change, and particularly those that impact a major income stream for the sector, significantly longer timeframes are needed to allow institutions to adjust their business models accordingly. Equally important is the need for consistent public messaging. Government statemen</w:t>
      </w:r>
      <w:r w:rsidRPr="00A12DE3">
        <w:rPr>
          <w:rFonts w:eastAsia="Aptos"/>
          <w:sz w:val="22"/>
          <w:szCs w:val="22"/>
        </w:rPr>
        <w:t>ts and announcements play a critical role in shaping international perceptions of the UK as a study destination, and contradictory or unclear messaging can have an immediate chilling effect on student demand. Greater clarity, stability and lead-in time are essential if government is to avoid triggering unintended consequences through reactive or fragmented reform.</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A sustainable higher education sector in London depends on a regulatory and funding framework that recognises the diversity of institutional missions and delivery models. Many of London’s institutions are small or specialist providers with distinct areas of focus that cannot easily be replicated elsewhere. These include world-renowned institutions such as The Institute of Cancer Research, the London School of Hygiene and Tropical Medicine, and creative leaders like the Royal Academy of Dramatic Art</w:t>
      </w:r>
      <w:r w:rsidRPr="00A12DE3">
        <w:rPr>
          <w:rFonts w:eastAsia="Aptos"/>
          <w:sz w:val="22"/>
          <w:szCs w:val="22"/>
        </w:rPr>
        <w:t xml:space="preserve"> and the Central School of Ballet</w:t>
      </w:r>
      <w:r w:rsidRPr="00A12DE3">
        <w:rPr>
          <w:rFonts w:eastAsia="Aptos"/>
          <w:sz w:val="22"/>
          <w:szCs w:val="22"/>
        </w:rPr>
        <w:t xml:space="preserve">. Their contributions extend beyond teaching to include research, innovation and cultural enrichment at a </w:t>
      </w:r>
      <w:r w:rsidRPr="00A12DE3">
        <w:rPr>
          <w:rFonts w:eastAsia="Aptos"/>
          <w:sz w:val="22"/>
          <w:szCs w:val="22"/>
        </w:rPr>
        <w:t>scale that delivers national and global impact.</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These providers frequently serve student populations with specific access needs or career aspirations, requiring tailored pedagogical approaches and high-cost delivery that do not align well with uniform regulatory models. Targeted funding mechanisms, such as the World-Leading Specialist Provider funding and OfS support for performing arts, are critical in sustaining these institutions, and the continuation of these schemes beyond 2026/27 will be essential if the government is to protect student choice, pre</w:t>
      </w:r>
      <w:r w:rsidRPr="00A12DE3">
        <w:rPr>
          <w:rFonts w:eastAsia="Aptos"/>
          <w:sz w:val="22"/>
          <w:szCs w:val="22"/>
        </w:rPr>
        <w:t>serve institutional diversity and avoid unintended market failure.</w:t>
      </w:r>
      <w:r w:rsidRPr="00A12DE3">
        <w:rPr>
          <w:rFonts w:eastAsia="Aptos"/>
          <w:sz w:val="22"/>
          <w:szCs w:val="22"/>
        </w:rPr>
        <w:t xml:space="preserve"> In parallel, regulation should be risk-based and proportionate, focusing oversight where vulnerabilities are greatest and enabling flexibility for institutions with strong governance and financial controls.</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To safeguard provision in areas most vulnerable to closure, there should be a coordinated approach to monitoring course availability and financial risk at a regional level. This should include particular attention to SHAPE</w:t>
      </w:r>
      <w:r w:rsidRPr="00A12DE3">
        <w:rPr>
          <w:rFonts w:eastAsia="Aptos"/>
          <w:sz w:val="22"/>
          <w:szCs w:val="22"/>
        </w:rPr>
        <w:t xml:space="preserve"> (Social Sciences, Humanities and the Arts for People and the Economy)</w:t>
      </w:r>
      <w:r w:rsidRPr="00A12DE3">
        <w:rPr>
          <w:rFonts w:eastAsia="Aptos"/>
          <w:sz w:val="22"/>
          <w:szCs w:val="22"/>
        </w:rPr>
        <w:t xml:space="preserve"> subjects and other strategically important disciplines at risk of contraction. </w:t>
      </w:r>
    </w:p>
    <w:p w:rsidR="00A12DE3" w:rsidRPr="00A12DE3" w:rsidP="63B2D509">
      <w:pPr>
        <w:pStyle w:val="Default"/>
        <w:rPr>
          <w:rFonts w:eastAsia="Aptos"/>
          <w:sz w:val="22"/>
          <w:szCs w:val="22"/>
        </w:rPr>
      </w:pPr>
    </w:p>
    <w:p w:rsidR="00A12DE3" w:rsidRPr="00A12DE3" w:rsidP="63B2D509">
      <w:pPr>
        <w:pStyle w:val="Default"/>
        <w:rPr>
          <w:rFonts w:eastAsia="Aptos"/>
          <w:sz w:val="22"/>
          <w:szCs w:val="22"/>
        </w:rPr>
      </w:pPr>
      <w:r w:rsidRPr="00A12DE3">
        <w:rPr>
          <w:rFonts w:eastAsia="Aptos"/>
          <w:sz w:val="22"/>
          <w:szCs w:val="22"/>
        </w:rPr>
        <w:t>Together, these measures would</w:t>
      </w:r>
      <w:r w:rsidRPr="00A12DE3">
        <w:rPr>
          <w:rFonts w:eastAsia="Aptos"/>
          <w:sz w:val="22"/>
          <w:szCs w:val="22"/>
        </w:rPr>
        <w:t xml:space="preserve"> help</w:t>
      </w:r>
      <w:r w:rsidRPr="00A12DE3">
        <w:rPr>
          <w:rFonts w:eastAsia="Aptos"/>
          <w:sz w:val="22"/>
          <w:szCs w:val="22"/>
        </w:rPr>
        <w:t xml:space="preserve"> ensure the long-term resilience of the sector while protecting student access, supporting institutional distinctiveness and preserving London’s role as a provider of world-class education in a globally competitive landscape.</w:t>
      </w:r>
    </w:p>
    <w:p w:rsidR="00A12DE3" w:rsidRPr="00A12DE3" w:rsidP="63B2D509">
      <w:pPr>
        <w:pStyle w:val="Default"/>
        <w:rPr>
          <w:rFonts w:eastAsia="Aptos"/>
          <w:sz w:val="22"/>
          <w:szCs w:val="22"/>
        </w:rPr>
      </w:pPr>
    </w:p>
    <w:p w:rsidR="00A12DE3" w:rsidRPr="00A12DE3" w:rsidP="63B2D509">
      <w:pPr>
        <w:pStyle w:val="Default"/>
        <w:rPr>
          <w:rFonts w:eastAsia="Aptos"/>
          <w:i/>
          <w:iCs/>
          <w:sz w:val="22"/>
          <w:szCs w:val="22"/>
        </w:rPr>
      </w:pPr>
    </w:p>
    <w:p w:rsidR="00A12DE3" w:rsidRPr="00A12DE3" w:rsidP="63B2D509">
      <w:pPr>
        <w:pStyle w:val="Default"/>
        <w:rPr>
          <w:rFonts w:eastAsia="Aptos"/>
          <w:i/>
          <w:iCs/>
          <w:sz w:val="22"/>
          <w:szCs w:val="22"/>
        </w:rPr>
      </w:pPr>
      <w:r w:rsidRPr="00A12DE3">
        <w:rPr>
          <w:rFonts w:eastAsia="Aptos"/>
          <w:i/>
          <w:iCs/>
          <w:sz w:val="22"/>
          <w:szCs w:val="22"/>
        </w:rPr>
        <w:t>September 2025</w:t>
      </w:r>
    </w:p>
    <w:sectPr>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4209995"/>
      <w:docPartObj>
        <w:docPartGallery w:val="Page Numbers (Bottom of Page)"/>
        <w:docPartUnique/>
      </w:docPartObj>
    </w:sdtPr>
    <w:sdtContent>
      <w:sdt>
        <w:sdtPr>
          <w:id w:val="1728636285"/>
          <w:docPartObj>
            <w:docPartGallery w:val="Page Numbers (Top of Page)"/>
            <w:docPartUnique/>
          </w:docPartObj>
        </w:sdtPr>
        <w:sdtContent>
          <w:p w:rsidR="00A12DE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12DE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592297D"/>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67A1A82"/>
    <w:multiLevelType w:val="multilevel"/>
    <w:tmpl w:val="43FC921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B39387D"/>
    <w:multiLevelType w:val="multilevel"/>
    <w:tmpl w:val="C090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9754EA"/>
    <w:multiLevelType w:val="hybridMultilevel"/>
    <w:tmpl w:val="620822C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04A1138"/>
    <w:multiLevelType w:val="multilevel"/>
    <w:tmpl w:val="9F5AC8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244707E"/>
    <w:multiLevelType w:val="multilevel"/>
    <w:tmpl w:val="C15450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2D65097"/>
    <w:multiLevelType w:val="multilevel"/>
    <w:tmpl w:val="F64C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096CF4"/>
    <w:multiLevelType w:val="hybridMultilevel"/>
    <w:tmpl w:val="767CEB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2C47B7"/>
    <w:multiLevelType w:val="hybridMultilevel"/>
    <w:tmpl w:val="AE5222F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BA004CC"/>
    <w:multiLevelType w:val="multilevel"/>
    <w:tmpl w:val="6C3E13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064539F"/>
    <w:multiLevelType w:val="multilevel"/>
    <w:tmpl w:val="8276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5E6B16"/>
    <w:multiLevelType w:val="multilevel"/>
    <w:tmpl w:val="DCE287F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nsid w:val="2EF0831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307074A6"/>
    <w:multiLevelType w:val="multilevel"/>
    <w:tmpl w:val="91D6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C36050"/>
    <w:multiLevelType w:val="multilevel"/>
    <w:tmpl w:val="4D8450F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nsid w:val="3D313F42"/>
    <w:multiLevelType w:val="multilevel"/>
    <w:tmpl w:val="2DC2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033F1E"/>
    <w:multiLevelType w:val="hybridMultilevel"/>
    <w:tmpl w:val="61883016"/>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70B3896"/>
    <w:multiLevelType w:val="multilevel"/>
    <w:tmpl w:val="1E4E09F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479EEE30"/>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4B7F063D"/>
    <w:multiLevelType w:val="multilevel"/>
    <w:tmpl w:val="050A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F30EE7"/>
    <w:multiLevelType w:val="hybridMultilevel"/>
    <w:tmpl w:val="BC5ED0CC"/>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9D083A"/>
    <w:multiLevelType w:val="hybridMultilevel"/>
    <w:tmpl w:val="99B2C81E"/>
    <w:lvl w:ilvl="0">
      <w:start w:val="1"/>
      <w:numFmt w:val="bullet"/>
      <w:lvlText w:val="•"/>
      <w:lvlJc w:val="left"/>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2">
    <w:nsid w:val="5B2243C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63F3BE8B"/>
    <w:multiLevelType w:val="hybridMultilevel"/>
    <w:tmpl w:val="D7160BC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644D2334"/>
    <w:multiLevelType w:val="hybridMultilevel"/>
    <w:tmpl w:val="77F8FE70"/>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8ED2A3A"/>
    <w:multiLevelType w:val="multilevel"/>
    <w:tmpl w:val="5726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FD2837"/>
    <w:multiLevelType w:val="multilevel"/>
    <w:tmpl w:val="F190E59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nsid w:val="6C861C5E"/>
    <w:multiLevelType w:val="hybridMultilevel"/>
    <w:tmpl w:val="82486D6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D897A1C"/>
    <w:multiLevelType w:val="hybridMultilevel"/>
    <w:tmpl w:val="A386FDE6"/>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12316C2"/>
    <w:multiLevelType w:val="multilevel"/>
    <w:tmpl w:val="A9AE254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nsid w:val="7501029A"/>
    <w:multiLevelType w:val="hybridMultilevel"/>
    <w:tmpl w:val="F0EC2C5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7A07936"/>
    <w:multiLevelType w:val="multilevel"/>
    <w:tmpl w:val="AB7E80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B8D3333"/>
    <w:multiLevelType w:val="hybridMultilevel"/>
    <w:tmpl w:val="875C3956"/>
    <w:lvl w:ilvl="0">
      <w:start w:val="1"/>
      <w:numFmt w:val="bullet"/>
      <w:lvlText w:val="•"/>
      <w:lvlJc w:val="left"/>
    </w:lvl>
    <w:lvl w:ilvl="1" w:tentative="1">
      <w:start w:val="1"/>
      <w:numFmt w:val="bullet"/>
      <w:lvlText w:val="o"/>
      <w:lvlJc w:val="left"/>
      <w:pPr>
        <w:ind w:left="0" w:hanging="360"/>
      </w:pPr>
      <w:rPr>
        <w:rFonts w:ascii="Courier New" w:hAnsi="Courier New" w:cs="Courier New" w:hint="default"/>
      </w:rPr>
    </w:lvl>
    <w:lvl w:ilvl="2" w:tentative="1">
      <w:start w:val="1"/>
      <w:numFmt w:val="bullet"/>
      <w:lvlText w:val=""/>
      <w:lvlJc w:val="left"/>
      <w:pPr>
        <w:ind w:left="72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2160" w:hanging="360"/>
      </w:pPr>
      <w:rPr>
        <w:rFonts w:ascii="Courier New" w:hAnsi="Courier New" w:cs="Courier New" w:hint="default"/>
      </w:rPr>
    </w:lvl>
    <w:lvl w:ilvl="5" w:tentative="1">
      <w:start w:val="1"/>
      <w:numFmt w:val="bullet"/>
      <w:lvlText w:val=""/>
      <w:lvlJc w:val="left"/>
      <w:pPr>
        <w:ind w:left="2880" w:hanging="360"/>
      </w:pPr>
      <w:rPr>
        <w:rFonts w:ascii="Wingdings" w:hAnsi="Wingdings" w:hint="default"/>
      </w:rPr>
    </w:lvl>
    <w:lvl w:ilvl="6" w:tentative="1">
      <w:start w:val="1"/>
      <w:numFmt w:val="bullet"/>
      <w:lvlText w:val=""/>
      <w:lvlJc w:val="left"/>
      <w:pPr>
        <w:ind w:left="3600" w:hanging="360"/>
      </w:pPr>
      <w:rPr>
        <w:rFonts w:ascii="Symbol" w:hAnsi="Symbol" w:hint="default"/>
      </w:rPr>
    </w:lvl>
    <w:lvl w:ilvl="7" w:tentative="1">
      <w:start w:val="1"/>
      <w:numFmt w:val="bullet"/>
      <w:lvlText w:val="o"/>
      <w:lvlJc w:val="left"/>
      <w:pPr>
        <w:ind w:left="4320" w:hanging="360"/>
      </w:pPr>
      <w:rPr>
        <w:rFonts w:ascii="Courier New" w:hAnsi="Courier New" w:cs="Courier New" w:hint="default"/>
      </w:rPr>
    </w:lvl>
    <w:lvl w:ilvl="8" w:tentative="1">
      <w:start w:val="1"/>
      <w:numFmt w:val="bullet"/>
      <w:lvlText w:val=""/>
      <w:lvlJc w:val="left"/>
      <w:pPr>
        <w:ind w:left="5040" w:hanging="360"/>
      </w:pPr>
      <w:rPr>
        <w:rFonts w:ascii="Wingdings" w:hAnsi="Wingdings" w:hint="default"/>
      </w:rPr>
    </w:lvl>
  </w:abstractNum>
  <w:abstractNum w:abstractNumId="33">
    <w:nsid w:val="7D5F006E"/>
    <w:multiLevelType w:val="hybridMultilevel"/>
    <w:tmpl w:val="3DAC4B00"/>
    <w:lvl w:ilvl="0">
      <w:start w:val="1"/>
      <w:numFmt w:val="bullet"/>
      <w:lvlText w:val="•"/>
      <w:lvlJc w:val="left"/>
    </w:lvl>
    <w:lvl w:ilvl="1" w:tentative="1">
      <w:start w:val="1"/>
      <w:numFmt w:val="bullet"/>
      <w:lvlText w:val="o"/>
      <w:lvlJc w:val="left"/>
      <w:pPr>
        <w:ind w:left="947" w:hanging="360"/>
      </w:pPr>
      <w:rPr>
        <w:rFonts w:ascii="Courier New" w:hAnsi="Courier New" w:cs="Courier New" w:hint="default"/>
      </w:rPr>
    </w:lvl>
    <w:lvl w:ilvl="2" w:tentative="1">
      <w:start w:val="1"/>
      <w:numFmt w:val="bullet"/>
      <w:lvlText w:val=""/>
      <w:lvlJc w:val="left"/>
      <w:pPr>
        <w:ind w:left="1667" w:hanging="360"/>
      </w:pPr>
      <w:rPr>
        <w:rFonts w:ascii="Wingdings" w:hAnsi="Wingdings" w:hint="default"/>
      </w:rPr>
    </w:lvl>
    <w:lvl w:ilvl="3" w:tentative="1">
      <w:start w:val="1"/>
      <w:numFmt w:val="bullet"/>
      <w:lvlText w:val=""/>
      <w:lvlJc w:val="left"/>
      <w:pPr>
        <w:ind w:left="2387" w:hanging="360"/>
      </w:pPr>
      <w:rPr>
        <w:rFonts w:ascii="Symbol" w:hAnsi="Symbol" w:hint="default"/>
      </w:rPr>
    </w:lvl>
    <w:lvl w:ilvl="4" w:tentative="1">
      <w:start w:val="1"/>
      <w:numFmt w:val="bullet"/>
      <w:lvlText w:val="o"/>
      <w:lvlJc w:val="left"/>
      <w:pPr>
        <w:ind w:left="3107" w:hanging="360"/>
      </w:pPr>
      <w:rPr>
        <w:rFonts w:ascii="Courier New" w:hAnsi="Courier New" w:cs="Courier New" w:hint="default"/>
      </w:rPr>
    </w:lvl>
    <w:lvl w:ilvl="5" w:tentative="1">
      <w:start w:val="1"/>
      <w:numFmt w:val="bullet"/>
      <w:lvlText w:val=""/>
      <w:lvlJc w:val="left"/>
      <w:pPr>
        <w:ind w:left="3827" w:hanging="360"/>
      </w:pPr>
      <w:rPr>
        <w:rFonts w:ascii="Wingdings" w:hAnsi="Wingdings" w:hint="default"/>
      </w:rPr>
    </w:lvl>
    <w:lvl w:ilvl="6" w:tentative="1">
      <w:start w:val="1"/>
      <w:numFmt w:val="bullet"/>
      <w:lvlText w:val=""/>
      <w:lvlJc w:val="left"/>
      <w:pPr>
        <w:ind w:left="4547" w:hanging="360"/>
      </w:pPr>
      <w:rPr>
        <w:rFonts w:ascii="Symbol" w:hAnsi="Symbol" w:hint="default"/>
      </w:rPr>
    </w:lvl>
    <w:lvl w:ilvl="7" w:tentative="1">
      <w:start w:val="1"/>
      <w:numFmt w:val="bullet"/>
      <w:lvlText w:val="o"/>
      <w:lvlJc w:val="left"/>
      <w:pPr>
        <w:ind w:left="5267" w:hanging="360"/>
      </w:pPr>
      <w:rPr>
        <w:rFonts w:ascii="Courier New" w:hAnsi="Courier New" w:cs="Courier New" w:hint="default"/>
      </w:rPr>
    </w:lvl>
    <w:lvl w:ilvl="8" w:tentative="1">
      <w:start w:val="1"/>
      <w:numFmt w:val="bullet"/>
      <w:lvlText w:val=""/>
      <w:lvlJc w:val="left"/>
      <w:pPr>
        <w:ind w:left="5987" w:hanging="360"/>
      </w:pPr>
      <w:rPr>
        <w:rFonts w:ascii="Wingdings" w:hAnsi="Wingdings" w:hint="default"/>
      </w:rPr>
    </w:lvl>
  </w:abstractNum>
  <w:num w:numId="1">
    <w:abstractNumId w:val="6"/>
  </w:num>
  <w:num w:numId="2">
    <w:abstractNumId w:val="10"/>
  </w:num>
  <w:num w:numId="3">
    <w:abstractNumId w:val="2"/>
  </w:num>
  <w:num w:numId="4">
    <w:abstractNumId w:val="25"/>
  </w:num>
  <w:num w:numId="5">
    <w:abstractNumId w:val="19"/>
  </w:num>
  <w:num w:numId="6">
    <w:abstractNumId w:val="13"/>
  </w:num>
  <w:num w:numId="7">
    <w:abstractNumId w:val="7"/>
  </w:num>
  <w:num w:numId="8">
    <w:abstractNumId w:val="15"/>
  </w:num>
  <w:num w:numId="9">
    <w:abstractNumId w:val="5"/>
  </w:num>
  <w:num w:numId="10">
    <w:abstractNumId w:val="4"/>
  </w:num>
  <w:num w:numId="11">
    <w:abstractNumId w:val="31"/>
  </w:num>
  <w:num w:numId="12">
    <w:abstractNumId w:val="17"/>
  </w:num>
  <w:num w:numId="13">
    <w:abstractNumId w:val="11"/>
  </w:num>
  <w:num w:numId="14">
    <w:abstractNumId w:val="29"/>
  </w:num>
  <w:num w:numId="15">
    <w:abstractNumId w:val="26"/>
  </w:num>
  <w:num w:numId="16">
    <w:abstractNumId w:val="14"/>
  </w:num>
  <w:num w:numId="17">
    <w:abstractNumId w:val="9"/>
  </w:num>
  <w:num w:numId="18">
    <w:abstractNumId w:val="1"/>
  </w:num>
  <w:num w:numId="19">
    <w:abstractNumId w:val="30"/>
  </w:num>
  <w:num w:numId="20">
    <w:abstractNumId w:val="8"/>
  </w:num>
  <w:num w:numId="21">
    <w:abstractNumId w:val="27"/>
  </w:num>
  <w:num w:numId="22">
    <w:abstractNumId w:val="18"/>
  </w:num>
  <w:num w:numId="23">
    <w:abstractNumId w:val="12"/>
  </w:num>
  <w:num w:numId="24">
    <w:abstractNumId w:val="0"/>
  </w:num>
  <w:num w:numId="25">
    <w:abstractNumId w:val="23"/>
  </w:num>
  <w:num w:numId="26">
    <w:abstractNumId w:val="32"/>
  </w:num>
  <w:num w:numId="27">
    <w:abstractNumId w:val="22"/>
  </w:num>
  <w:num w:numId="28">
    <w:abstractNumId w:val="21"/>
  </w:num>
  <w:num w:numId="29">
    <w:abstractNumId w:val="33"/>
  </w:num>
  <w:num w:numId="30">
    <w:abstractNumId w:val="20"/>
  </w:num>
  <w:num w:numId="31">
    <w:abstractNumId w:val="24"/>
  </w:num>
  <w:num w:numId="32">
    <w:abstractNumId w:val="28"/>
  </w:num>
  <w:num w:numId="33">
    <w:abstractNumId w:val="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438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38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438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38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38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38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8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8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8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8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38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438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38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38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38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8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8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83F"/>
    <w:rPr>
      <w:rFonts w:eastAsiaTheme="majorEastAsia" w:cstheme="majorBidi"/>
      <w:color w:val="272727" w:themeColor="text1" w:themeTint="D8"/>
    </w:rPr>
  </w:style>
  <w:style w:type="paragraph" w:styleId="Title">
    <w:name w:val="Title"/>
    <w:basedOn w:val="Normal"/>
    <w:next w:val="Normal"/>
    <w:link w:val="TitleChar"/>
    <w:uiPriority w:val="10"/>
    <w:qFormat/>
    <w:rsid w:val="005438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8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8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8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83F"/>
    <w:pPr>
      <w:spacing w:before="160"/>
      <w:jc w:val="center"/>
    </w:pPr>
    <w:rPr>
      <w:i/>
      <w:iCs/>
      <w:color w:val="404040" w:themeColor="text1" w:themeTint="BF"/>
    </w:rPr>
  </w:style>
  <w:style w:type="character" w:customStyle="1" w:styleId="QuoteChar">
    <w:name w:val="Quote Char"/>
    <w:basedOn w:val="DefaultParagraphFont"/>
    <w:link w:val="Quote"/>
    <w:uiPriority w:val="29"/>
    <w:rsid w:val="0054383F"/>
    <w:rPr>
      <w:i/>
      <w:iCs/>
      <w:color w:val="404040" w:themeColor="text1" w:themeTint="BF"/>
    </w:rPr>
  </w:style>
  <w:style w:type="paragraph" w:styleId="ListParagraph">
    <w:name w:val="List Paragraph"/>
    <w:basedOn w:val="Normal"/>
    <w:uiPriority w:val="34"/>
    <w:qFormat/>
    <w:rsid w:val="0054383F"/>
    <w:pPr>
      <w:ind w:left="720"/>
      <w:contextualSpacing/>
    </w:pPr>
  </w:style>
  <w:style w:type="character" w:styleId="IntenseEmphasis">
    <w:name w:val="Intense Emphasis"/>
    <w:basedOn w:val="DefaultParagraphFont"/>
    <w:uiPriority w:val="21"/>
    <w:qFormat/>
    <w:rsid w:val="0054383F"/>
    <w:rPr>
      <w:i/>
      <w:iCs/>
      <w:color w:val="2F5496" w:themeColor="accent1" w:themeShade="BF"/>
    </w:rPr>
  </w:style>
  <w:style w:type="paragraph" w:styleId="IntenseQuote">
    <w:name w:val="Intense Quote"/>
    <w:basedOn w:val="Normal"/>
    <w:next w:val="Normal"/>
    <w:link w:val="IntenseQuoteChar"/>
    <w:uiPriority w:val="30"/>
    <w:qFormat/>
    <w:rsid w:val="005438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383F"/>
    <w:rPr>
      <w:i/>
      <w:iCs/>
      <w:color w:val="2F5496" w:themeColor="accent1" w:themeShade="BF"/>
    </w:rPr>
  </w:style>
  <w:style w:type="character" w:styleId="IntenseReference">
    <w:name w:val="Intense Reference"/>
    <w:basedOn w:val="DefaultParagraphFont"/>
    <w:uiPriority w:val="32"/>
    <w:qFormat/>
    <w:rsid w:val="0054383F"/>
    <w:rPr>
      <w:b/>
      <w:bCs/>
      <w:smallCaps/>
      <w:color w:val="2F5496" w:themeColor="accent1" w:themeShade="BF"/>
      <w:spacing w:val="5"/>
    </w:rPr>
  </w:style>
  <w:style w:type="paragraph" w:styleId="Header">
    <w:name w:val="header"/>
    <w:basedOn w:val="Normal"/>
    <w:link w:val="HeaderChar"/>
    <w:uiPriority w:val="99"/>
    <w:unhideWhenUsed/>
    <w:rsid w:val="004A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58A"/>
  </w:style>
  <w:style w:type="paragraph" w:styleId="Footer">
    <w:name w:val="footer"/>
    <w:basedOn w:val="Normal"/>
    <w:link w:val="FooterChar"/>
    <w:uiPriority w:val="99"/>
    <w:unhideWhenUsed/>
    <w:rsid w:val="004A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58A"/>
  </w:style>
  <w:style w:type="character" w:styleId="Hyperlink">
    <w:name w:val="Hyperlink"/>
    <w:basedOn w:val="DefaultParagraphFont"/>
    <w:uiPriority w:val="99"/>
    <w:unhideWhenUsed/>
    <w:rsid w:val="00B217A6"/>
    <w:rPr>
      <w:color w:val="0563C1" w:themeColor="hyperlink"/>
      <w:u w:val="single"/>
    </w:rPr>
  </w:style>
  <w:style w:type="character" w:customStyle="1" w:styleId="UnresolvedMention1">
    <w:name w:val="Unresolved Mention1"/>
    <w:basedOn w:val="DefaultParagraphFont"/>
    <w:uiPriority w:val="99"/>
    <w:semiHidden/>
    <w:unhideWhenUsed/>
    <w:rsid w:val="00B217A6"/>
    <w:rPr>
      <w:color w:val="605E5C"/>
      <w:shd w:val="clear" w:color="auto" w:fill="E1DFDD"/>
    </w:rPr>
  </w:style>
  <w:style w:type="paragraph" w:customStyle="1" w:styleId="paragraph">
    <w:name w:val="paragraph"/>
    <w:basedOn w:val="Normal"/>
    <w:rsid w:val="00AA0F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A0F23"/>
  </w:style>
  <w:style w:type="character" w:customStyle="1" w:styleId="eop">
    <w:name w:val="eop"/>
    <w:basedOn w:val="DefaultParagraphFont"/>
    <w:rsid w:val="00AA0F23"/>
  </w:style>
  <w:style w:type="paragraph" w:customStyle="1" w:styleId="Default">
    <w:name w:val="Default"/>
    <w:rsid w:val="00671D5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D01931"/>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3A5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A03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88425B1A83AE4D9213B356BA473645" ma:contentTypeVersion="21" ma:contentTypeDescription="Create a new document." ma:contentTypeScope="" ma:versionID="04d883218086e210433990e10506525a">
  <xsd:schema xmlns:xsd="http://www.w3.org/2001/XMLSchema" xmlns:xs="http://www.w3.org/2001/XMLSchema" xmlns:p="http://schemas.microsoft.com/office/2006/metadata/properties" xmlns:ns2="4c80385f-9a06-4c34-b0a3-67f63f27e44f" xmlns:ns3="4c978646-3825-4b8d-b326-992dbefb5ace" xmlns:ns4="2b349ab0-f6f5-4a42-82dd-0a64faa3268e" targetNamespace="http://schemas.microsoft.com/office/2006/metadata/properties" ma:root="true" ma:fieldsID="4178daed38aba740964f176ccf8ce2db" ns2:_="" ns3:_="" ns4:_="">
    <xsd:import namespace="4c80385f-9a06-4c34-b0a3-67f63f27e44f"/>
    <xsd:import namespace="4c978646-3825-4b8d-b326-992dbefb5ace"/>
    <xsd:import namespace="2b349ab0-f6f5-4a42-82dd-0a64faa3268e"/>
    <xsd:element name="properties">
      <xsd:complexType>
        <xsd:sequence>
          <xsd:element name="documentManagement">
            <xsd:complexType>
              <xsd:all>
                <xsd:element ref="ns2:SharedWithUsers" minOccurs="0"/>
                <xsd:element ref="ns2:SharingHintHash" minOccurs="0"/>
                <xsd:element ref="ns3:SharedWithDetails" minOccurs="0"/>
                <xsd:element ref="ns2:LastSharedByUser" minOccurs="0"/>
                <xsd:element ref="ns2: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0385f-9a06-4c34-b0a3-67f63f27e4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c978646-3825-4b8d-b326-992dbefb5ace"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16240ed6-1a79-4d50-9f88-bc21bfb7e788}" ma:internalName="TaxCatchAll" ma:showField="CatchAllData" ma:web="4c978646-3825-4b8d-b326-992dbefb5a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349ab0-f6f5-4a42-82dd-0a64faa3268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0411a55-f79e-4f12-827d-b18a3d3ddc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978646-3825-4b8d-b326-992dbefb5ace" xsi:nil="true"/>
    <lcf76f155ced4ddcb4097134ff3c332f xmlns="2b349ab0-f6f5-4a42-82dd-0a64faa3268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51BF9-F149-431A-8B6F-FC97AAB18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0385f-9a06-4c34-b0a3-67f63f27e44f"/>
    <ds:schemaRef ds:uri="4c978646-3825-4b8d-b326-992dbefb5ace"/>
    <ds:schemaRef ds:uri="2b349ab0-f6f5-4a42-82dd-0a64faa32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7FDC7C-0BCC-4DB3-9419-5983A5303117}">
  <ds:schemaRefs>
    <ds:schemaRef ds:uri="http://schemas.microsoft.com/office/2006/metadata/properties"/>
    <ds:schemaRef ds:uri="http://schemas.microsoft.com/office/infopath/2007/PartnerControls"/>
    <ds:schemaRef ds:uri="4c978646-3825-4b8d-b326-992dbefb5ace"/>
    <ds:schemaRef ds:uri="2b349ab0-f6f5-4a42-82dd-0a64faa3268e"/>
  </ds:schemaRefs>
</ds:datastoreItem>
</file>

<file path=customXml/itemProps3.xml><?xml version="1.0" encoding="utf-8"?>
<ds:datastoreItem xmlns:ds="http://schemas.openxmlformats.org/officeDocument/2006/customXml" ds:itemID="{8C0709D2-EA09-4FE5-B635-3C938F740CB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