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72992" w:rsidRPr="00072992" w:rsidP="00072992">
      <w:pPr>
        <w:rPr>
          <w:b/>
          <w:bCs/>
          <w:sz w:val="24"/>
          <w:szCs w:val="24"/>
        </w:rPr>
      </w:pPr>
    </w:p>
    <w:p w:rsidR="00072992" w:rsidRPr="00072992" w:rsidP="00072992">
      <w:pPr>
        <w:jc w:val="center"/>
        <w:rPr>
          <w:b/>
          <w:bCs/>
          <w:sz w:val="24"/>
          <w:szCs w:val="24"/>
        </w:rPr>
      </w:pPr>
      <w:r>
        <w:rPr>
          <w:b/>
          <w:bCs/>
          <w:sz w:val="24"/>
          <w:szCs w:val="24"/>
        </w:rPr>
        <w:t xml:space="preserve">Written evidence by </w:t>
      </w:r>
      <w:r w:rsidRPr="00072992">
        <w:rPr>
          <w:b/>
          <w:bCs/>
          <w:sz w:val="24"/>
          <w:szCs w:val="24"/>
        </w:rPr>
        <w:t>University of Hull</w:t>
      </w:r>
      <w:r>
        <w:rPr>
          <w:b/>
          <w:bCs/>
          <w:sz w:val="24"/>
          <w:szCs w:val="24"/>
        </w:rPr>
        <w:t xml:space="preserve"> (HEF0047)</w:t>
      </w:r>
    </w:p>
    <w:p w:rsidR="00072992" w:rsidRPr="00835244" w:rsidP="00835244">
      <w:pPr>
        <w:rPr>
          <w:b/>
          <w:bCs/>
          <w:sz w:val="24"/>
          <w:szCs w:val="24"/>
        </w:rPr>
      </w:pPr>
    </w:p>
    <w:p w:rsidR="00072992" w:rsidP="00835244">
      <w:pPr>
        <w:rPr>
          <w:b/>
          <w:bCs/>
          <w:sz w:val="24"/>
          <w:szCs w:val="24"/>
        </w:rPr>
      </w:pPr>
      <w:r w:rsidRPr="00835244">
        <w:rPr>
          <w:b/>
          <w:bCs/>
          <w:sz w:val="24"/>
          <w:szCs w:val="24"/>
        </w:rPr>
        <w:t xml:space="preserve">Education Committee </w:t>
      </w:r>
    </w:p>
    <w:p w:rsidR="00072992" w:rsidP="00835244">
      <w:pPr>
        <w:rPr>
          <w:b/>
          <w:bCs/>
          <w:sz w:val="24"/>
          <w:szCs w:val="24"/>
        </w:rPr>
      </w:pPr>
      <w:r w:rsidRPr="00835244">
        <w:rPr>
          <w:b/>
          <w:bCs/>
          <w:sz w:val="24"/>
          <w:szCs w:val="24"/>
        </w:rPr>
        <w:t>Higher Education and Funding: Threat of Insolvency and International Students</w:t>
      </w:r>
    </w:p>
    <w:p w:rsidR="00072992" w:rsidP="00835244"/>
    <w:p w:rsidR="00072992" w:rsidRPr="00A92209" w:rsidP="00B1294B">
      <w:pPr>
        <w:spacing w:after="80"/>
        <w:rPr>
          <w:b/>
          <w:bCs/>
        </w:rPr>
      </w:pPr>
      <w:r w:rsidRPr="00A92209">
        <w:rPr>
          <w:b/>
          <w:bCs/>
        </w:rPr>
        <w:t>Introduction</w:t>
      </w:r>
    </w:p>
    <w:p w:rsidR="00072992" w:rsidRPr="00B1294B" w:rsidP="00B1294B">
      <w:pPr>
        <w:pStyle w:val="Numberedpara"/>
        <w:rPr>
          <w:i/>
          <w:iCs/>
        </w:rPr>
      </w:pPr>
      <w:r w:rsidRPr="00B1294B">
        <w:rPr>
          <w:rStyle w:val="NumberedparaChar"/>
        </w:rPr>
        <w:t>This evidence is submitted by the University of Hull</w:t>
      </w:r>
      <w:r w:rsidRPr="00B1294B">
        <w:rPr>
          <w:rStyle w:val="NumberedparaChar"/>
        </w:rPr>
        <w:t xml:space="preserve">, a </w:t>
      </w:r>
      <w:r w:rsidRPr="00B1294B">
        <w:rPr>
          <w:rStyle w:val="NumberedparaChar"/>
        </w:rPr>
        <w:t>research-intensive</w:t>
      </w:r>
      <w:r w:rsidRPr="00B1294B">
        <w:rPr>
          <w:rStyle w:val="NumberedparaChar"/>
        </w:rPr>
        <w:t>, TEF Gold</w:t>
      </w:r>
      <w:r w:rsidRPr="00B1294B">
        <w:rPr>
          <w:rStyle w:val="NumberedparaChar"/>
        </w:rPr>
        <w:t xml:space="preserve"> university that will celebrate 100 years of service to its city and beyond in 2027.</w:t>
      </w:r>
      <w:r w:rsidRPr="00B1294B">
        <w:rPr>
          <w:rStyle w:val="NumberedparaChar"/>
        </w:rPr>
        <w:t xml:space="preserve"> </w:t>
      </w:r>
      <w:r w:rsidRPr="00B1294B">
        <w:rPr>
          <w:rStyle w:val="NumberedparaChar"/>
        </w:rPr>
        <w:t>Throughout our history, w</w:t>
      </w:r>
      <w:r w:rsidRPr="00B1294B">
        <w:rPr>
          <w:rStyle w:val="NumberedparaChar"/>
        </w:rPr>
        <w:t>e have welcomed</w:t>
      </w:r>
      <w:r>
        <w:t xml:space="preserve"> international students</w:t>
      </w:r>
      <w:r>
        <w:t>.</w:t>
      </w:r>
      <w:r>
        <w:t xml:space="preserve"> </w:t>
      </w:r>
      <w:r>
        <w:t>We attract students from more than 1</w:t>
      </w:r>
      <w:r>
        <w:t>00</w:t>
      </w:r>
      <w:r>
        <w:t xml:space="preserve"> countries </w:t>
      </w:r>
      <w:r>
        <w:t>and value highly the benefits</w:t>
      </w:r>
      <w:r>
        <w:t xml:space="preserve"> </w:t>
      </w:r>
      <w:r>
        <w:t>they bring</w:t>
      </w:r>
      <w:r>
        <w:t xml:space="preserve"> </w:t>
      </w:r>
      <w:r>
        <w:t>to our campus</w:t>
      </w:r>
      <w:r>
        <w:t xml:space="preserve"> community</w:t>
      </w:r>
      <w:r>
        <w:t>.</w:t>
      </w:r>
      <w:r>
        <w:t xml:space="preserve"> </w:t>
      </w:r>
      <w:r>
        <w:t>The opportunity to engage with t</w:t>
      </w:r>
      <w:r>
        <w:t>he diverse perspectives and cultures of our international students enrich</w:t>
      </w:r>
      <w:r>
        <w:t>es</w:t>
      </w:r>
      <w:r>
        <w:t xml:space="preserve"> the learning experience for all our students,</w:t>
      </w:r>
      <w:r>
        <w:t xml:space="preserve"> equipping them with the knowledge and skills to be successful in a competitive global economy. I</w:t>
      </w:r>
      <w:r>
        <w:t xml:space="preserve">nternational students </w:t>
      </w:r>
      <w:r>
        <w:t xml:space="preserve">also </w:t>
      </w:r>
      <w:r>
        <w:t xml:space="preserve">have a </w:t>
      </w:r>
      <w:r>
        <w:t xml:space="preserve">hugely </w:t>
      </w:r>
      <w:r>
        <w:t>positi</w:t>
      </w:r>
      <w:r>
        <w:t xml:space="preserve">ve </w:t>
      </w:r>
      <w:r>
        <w:t xml:space="preserve">cultural and economic </w:t>
      </w:r>
      <w:r>
        <w:t>impact on our</w:t>
      </w:r>
      <w:r>
        <w:t xml:space="preserve"> city and</w:t>
      </w:r>
      <w:r>
        <w:t xml:space="preserve"> region</w:t>
      </w:r>
      <w:r>
        <w:t xml:space="preserve">. </w:t>
      </w:r>
      <w:r>
        <w:t>For example, i</w:t>
      </w:r>
      <w:r w:rsidRPr="00142343">
        <w:t>n Hull, every four international students support an extra full-time job in the city</w:t>
      </w:r>
      <w:r w:rsidRPr="00142343">
        <w:t>.</w:t>
      </w:r>
      <w:r>
        <w:rPr>
          <w:rStyle w:val="FootnoteReference"/>
        </w:rPr>
        <w:footnoteReference w:id="2"/>
      </w:r>
    </w:p>
    <w:p w:rsidR="00072992" w:rsidRPr="00B1294B" w:rsidP="00B1294B"/>
    <w:p w:rsidR="00072992" w:rsidRPr="00B1294B" w:rsidP="00B1294B">
      <w:pPr>
        <w:pStyle w:val="Numberedpara"/>
        <w:rPr>
          <w:i/>
          <w:iCs/>
        </w:rPr>
      </w:pPr>
      <w:r>
        <w:t>A</w:t>
      </w:r>
      <w:r>
        <w:t>s the sole university within the Humber</w:t>
      </w:r>
      <w:r>
        <w:t>, we are proud to generate a</w:t>
      </w:r>
      <w:r>
        <w:t xml:space="preserve"> regional</w:t>
      </w:r>
      <w:r>
        <w:t xml:space="preserve"> economic impact of £0.6 billion GVA and support 6,900</w:t>
      </w:r>
      <w:r>
        <w:t xml:space="preserve"> local</w:t>
      </w:r>
      <w:r>
        <w:t xml:space="preserve"> jobs, as part of our annual £1 billion GVA contribution to the UK economy.</w:t>
      </w:r>
      <w:r>
        <w:rPr>
          <w:rStyle w:val="FootnoteReference"/>
        </w:rPr>
        <w:footnoteReference w:id="3"/>
      </w:r>
      <w:r>
        <w:t xml:space="preserve"> </w:t>
      </w:r>
      <w:r>
        <w:t>We are employer to around 2,000 highly skilled staff</w:t>
      </w:r>
      <w:r>
        <w:t xml:space="preserve"> who live in the local area</w:t>
      </w:r>
      <w:r>
        <w:t xml:space="preserve">. </w:t>
      </w:r>
      <w:r>
        <w:t>Through o</w:t>
      </w:r>
      <w:r>
        <w:t xml:space="preserve">ur </w:t>
      </w:r>
      <w:r>
        <w:t xml:space="preserve">education and </w:t>
      </w:r>
      <w:r>
        <w:t>research</w:t>
      </w:r>
      <w:r>
        <w:t>, we are</w:t>
      </w:r>
      <w:r>
        <w:t xml:space="preserve"> support</w:t>
      </w:r>
      <w:r>
        <w:t>ing</w:t>
      </w:r>
      <w:r>
        <w:t xml:space="preserve"> regional growth industries</w:t>
      </w:r>
      <w:r>
        <w:t>, including</w:t>
      </w:r>
      <w:r>
        <w:t xml:space="preserve"> clean energy, </w:t>
      </w:r>
      <w:r>
        <w:t xml:space="preserve">advanced manufacturing, AI and logistics, </w:t>
      </w:r>
      <w:r>
        <w:t xml:space="preserve">we are addressing skills shortages in our local public services, </w:t>
      </w:r>
      <w:r>
        <w:t xml:space="preserve">and </w:t>
      </w:r>
      <w:r>
        <w:t xml:space="preserve">we are </w:t>
      </w:r>
      <w:r>
        <w:t>tackl</w:t>
      </w:r>
      <w:r>
        <w:t>ing</w:t>
      </w:r>
      <w:r>
        <w:t xml:space="preserve"> regionally, nationally and internationally important</w:t>
      </w:r>
      <w:r>
        <w:t xml:space="preserve"> </w:t>
      </w:r>
      <w:r>
        <w:t xml:space="preserve">challenges in </w:t>
      </w:r>
      <w:r>
        <w:t xml:space="preserve">topics such as </w:t>
      </w:r>
      <w:r>
        <w:t xml:space="preserve">flood resilience, </w:t>
      </w:r>
      <w:r>
        <w:t>addiction</w:t>
      </w:r>
      <w:r>
        <w:t xml:space="preserve"> and wound care. In an area of significant economic and social dis</w:t>
      </w:r>
      <w:r>
        <w:t>advantage</w:t>
      </w:r>
      <w:r>
        <w:t>, we have a s</w:t>
      </w:r>
      <w:r>
        <w:t>trong record on widening access to higher education</w:t>
      </w:r>
      <w:r>
        <w:t xml:space="preserve"> and in supporting our students to succeed. Our graduates are</w:t>
      </w:r>
      <w:r>
        <w:t xml:space="preserve"> the </w:t>
      </w:r>
      <w:r>
        <w:t xml:space="preserve">skilled </w:t>
      </w:r>
      <w:r>
        <w:t>doctors</w:t>
      </w:r>
      <w:r>
        <w:t xml:space="preserve"> and health professionals,</w:t>
      </w:r>
      <w:r>
        <w:t xml:space="preserve"> teachers</w:t>
      </w:r>
      <w:r>
        <w:t xml:space="preserve"> and</w:t>
      </w:r>
      <w:r>
        <w:t xml:space="preserve"> researchers</w:t>
      </w:r>
      <w:r>
        <w:t>, innovators</w:t>
      </w:r>
      <w:r>
        <w:t xml:space="preserve"> and entrepreneurs that will support the future wellbeing and prosperity of our region.</w:t>
      </w:r>
    </w:p>
    <w:p w:rsidR="00072992" w:rsidRPr="00B1294B" w:rsidP="00B1294B"/>
    <w:p w:rsidR="00072992" w:rsidRPr="00B1294B" w:rsidP="00B1294B">
      <w:pPr>
        <w:spacing w:after="80"/>
        <w:ind w:left="357" w:hanging="357"/>
        <w:rPr>
          <w:i/>
          <w:iCs/>
        </w:rPr>
      </w:pPr>
      <w:r w:rsidRPr="00B1294B">
        <w:rPr>
          <w:b/>
          <w:bCs/>
        </w:rPr>
        <w:t>Financial sustainability of UK higher education</w:t>
      </w:r>
    </w:p>
    <w:p w:rsidR="00072992" w:rsidRPr="00B1294B" w:rsidP="00F32E5C">
      <w:pPr>
        <w:pStyle w:val="Numberedpara"/>
        <w:spacing w:after="40"/>
        <w:rPr>
          <w:i/>
          <w:iCs/>
        </w:rPr>
      </w:pPr>
      <w:r>
        <w:t>Our contribution to Hull and our region mirrors the essential contribution that all UK universities make to their place</w:t>
      </w:r>
      <w:r>
        <w:t>.</w:t>
      </w:r>
      <w:r>
        <w:t xml:space="preserve"> </w:t>
      </w:r>
      <w:r>
        <w:t>W</w:t>
      </w:r>
      <w:r>
        <w:t>e also</w:t>
      </w:r>
      <w:r>
        <w:t>, however,</w:t>
      </w:r>
      <w:r>
        <w:t xml:space="preserve"> face the same</w:t>
      </w:r>
      <w:r>
        <w:t xml:space="preserve"> c</w:t>
      </w:r>
      <w:r>
        <w:t xml:space="preserve">hallenges that are undermining the financial sustainability of institutions across the sector. Many of these challenges arise </w:t>
      </w:r>
      <w:r>
        <w:t xml:space="preserve">primarily from three </w:t>
      </w:r>
      <w:r>
        <w:t xml:space="preserve">features of </w:t>
      </w:r>
      <w:r>
        <w:t xml:space="preserve">the </w:t>
      </w:r>
      <w:r>
        <w:t xml:space="preserve">current higher education </w:t>
      </w:r>
      <w:r>
        <w:t>system</w:t>
      </w:r>
      <w:r>
        <w:t>.</w:t>
      </w:r>
    </w:p>
    <w:p w:rsidR="00072992" w:rsidP="00B1294B">
      <w:pPr>
        <w:pStyle w:val="ListParagraph"/>
        <w:ind w:left="709" w:hanging="283"/>
      </w:pPr>
      <w:r>
        <w:t>Cost recovery on publicly</w:t>
      </w:r>
      <w:r>
        <w:t xml:space="preserve"> </w:t>
      </w:r>
      <w:r>
        <w:t>funded research re</w:t>
      </w:r>
      <w:r>
        <w:t>mains low. According to TRAC data, in academic year 2022/23, higher education institutions in England and Northern Ireland recovered 67% of the full economic costs of Research Council-funded projects and 75% of the costs of research fund</w:t>
      </w:r>
      <w:r>
        <w:t>ed</w:t>
      </w:r>
      <w:r>
        <w:t xml:space="preserve"> by other government departments.</w:t>
      </w:r>
      <w:r>
        <w:rPr>
          <w:rStyle w:val="FootnoteReference"/>
        </w:rPr>
        <w:footnoteReference w:id="4"/>
      </w:r>
      <w:r>
        <w:t xml:space="preserve"> Cost recovery across all research funders was 68%. </w:t>
      </w:r>
    </w:p>
    <w:p w:rsidR="00072992" w:rsidRPr="006F2CF3" w:rsidP="00B1294B">
      <w:pPr>
        <w:pStyle w:val="ListParagraph"/>
        <w:ind w:left="709" w:hanging="283"/>
      </w:pPr>
      <w:r w:rsidRPr="006F2CF3">
        <w:t>The value of the home undergraduate tuition fee – the largest source of income for many institutions – has been eroded significantly as the cap</w:t>
      </w:r>
      <w:r>
        <w:t>, unlike costs,</w:t>
      </w:r>
      <w:r w:rsidRPr="006F2CF3">
        <w:t xml:space="preserve"> has failed to keep pace with inflation. While the increase to £9,535 from 2025/26 is welcome, even if the cap were now to rise in line with inflation in future years, the real-terms value would remain around two-thirds of</w:t>
      </w:r>
      <w:r>
        <w:t xml:space="preserve"> its value in 2012</w:t>
      </w:r>
      <w:r w:rsidRPr="006F2CF3">
        <w:t>.</w:t>
      </w:r>
      <w:r w:rsidRPr="00282A1C">
        <w:t xml:space="preserve"> </w:t>
      </w:r>
    </w:p>
    <w:p w:rsidR="00072992" w:rsidRPr="006F2CF3" w:rsidP="006C13C1">
      <w:pPr>
        <w:pStyle w:val="ListParagraph"/>
        <w:spacing w:after="0"/>
        <w:ind w:left="709" w:hanging="284"/>
      </w:pPr>
      <w:r>
        <w:t xml:space="preserve">The competitive, market-based system </w:t>
      </w:r>
      <w:r>
        <w:t>limits</w:t>
      </w:r>
      <w:r>
        <w:t xml:space="preserve"> the ability of institutions to cooperate in ways that would support greater sector efficiency and innovation. </w:t>
      </w:r>
      <w:r>
        <w:t xml:space="preserve">Together with the limited financial headroom arising from the eroded value of home undergraduate fees, the market-based system </w:t>
      </w:r>
      <w:r>
        <w:t xml:space="preserve">can </w:t>
      </w:r>
      <w:r>
        <w:t xml:space="preserve">also </w:t>
      </w:r>
      <w:r>
        <w:t xml:space="preserve">limit </w:t>
      </w:r>
      <w:r>
        <w:t>the sector’s capacity</w:t>
      </w:r>
      <w:r>
        <w:t xml:space="preserve"> to prioritise</w:t>
      </w:r>
      <w:r>
        <w:t xml:space="preserve"> strategically important subjects during periods of lower student demand</w:t>
      </w:r>
      <w:r>
        <w:t>.</w:t>
      </w:r>
      <w:r w:rsidRPr="00282A1C">
        <w:t xml:space="preserve"> </w:t>
      </w:r>
      <w:r>
        <w:t xml:space="preserve">For example, this was </w:t>
      </w:r>
      <w:r>
        <w:t>a</w:t>
      </w:r>
      <w:r>
        <w:t xml:space="preserve"> primary factor in the extremely difficult decision that Hull made recently to close its Chemistry </w:t>
      </w:r>
      <w:r>
        <w:t>provision</w:t>
      </w:r>
      <w:r>
        <w:t>. While the chemicals industry is one of the most significant in the Humber, and one that the University would w</w:t>
      </w:r>
      <w:r>
        <w:t>ish</w:t>
      </w:r>
      <w:r>
        <w:t xml:space="preserve"> to support, declining </w:t>
      </w:r>
      <w:r>
        <w:t>applications meant the subject area was no longer viable</w:t>
      </w:r>
      <w:r>
        <w:t>, with</w:t>
      </w:r>
      <w:r>
        <w:t xml:space="preserve"> student demand and</w:t>
      </w:r>
      <w:r>
        <w:t xml:space="preserve"> fee income insufficient for the University to be able to invest in</w:t>
      </w:r>
      <w:r>
        <w:t xml:space="preserve"> the</w:t>
      </w:r>
      <w:r>
        <w:t xml:space="preserve"> </w:t>
      </w:r>
      <w:r>
        <w:t>renewal of</w:t>
      </w:r>
      <w:r>
        <w:t xml:space="preserve"> its Chemistry</w:t>
      </w:r>
      <w:r>
        <w:t xml:space="preserve"> pro</w:t>
      </w:r>
      <w:r>
        <w:t>grammes</w:t>
      </w:r>
      <w:r>
        <w:t>.</w:t>
      </w:r>
    </w:p>
    <w:p w:rsidR="00072992" w:rsidP="000739F5"/>
    <w:p w:rsidR="00072992" w:rsidP="00B1294B">
      <w:pPr>
        <w:pStyle w:val="Numberedpara"/>
      </w:pPr>
      <w:r>
        <w:t xml:space="preserve">Taken together, these features </w:t>
      </w:r>
      <w:r>
        <w:t>encourag</w:t>
      </w:r>
      <w:r>
        <w:t>e</w:t>
      </w:r>
      <w:r>
        <w:t xml:space="preserve"> institutions to adopt a business model that </w:t>
      </w:r>
      <w:r>
        <w:t>relies on</w:t>
      </w:r>
      <w:r>
        <w:t xml:space="preserve"> </w:t>
      </w:r>
      <w:r>
        <w:t xml:space="preserve">other </w:t>
      </w:r>
      <w:r>
        <w:t>uncapped sources of income to cross-subsidise the underfunded core business of educating UK students and conducting research. International tuition fees are the most significant, but also an increasingly volatile and unpredictable, source of such income.</w:t>
      </w:r>
      <w:r>
        <w:t xml:space="preserve"> The sector’s reliance on the recruitment of international students leaves it vulnerable to </w:t>
      </w:r>
      <w:r>
        <w:t xml:space="preserve">shifts in policy, </w:t>
      </w:r>
      <w:r>
        <w:t>f</w:t>
      </w:r>
      <w:r>
        <w:t>inancial challenges (such as the devaluation of the Nigerian currency</w:t>
      </w:r>
      <w:r>
        <w:t xml:space="preserve"> in summ</w:t>
      </w:r>
      <w:r>
        <w:t xml:space="preserve">er 2023, which saw the cost of UK programmes </w:t>
      </w:r>
      <w:r>
        <w:t>rise dramatically</w:t>
      </w:r>
      <w:r>
        <w:t xml:space="preserve"> and had an immediate and major impact on the student intake at Hull</w:t>
      </w:r>
      <w:r>
        <w:t>) and other international trends.</w:t>
      </w:r>
    </w:p>
    <w:p w:rsidR="00072992" w:rsidP="003311F4">
      <w:pPr>
        <w:rPr>
          <w:b/>
          <w:bCs/>
        </w:rPr>
      </w:pPr>
    </w:p>
    <w:p w:rsidR="00072992" w:rsidRPr="003311F4" w:rsidP="00B1294B">
      <w:pPr>
        <w:spacing w:after="80"/>
        <w:rPr>
          <w:b/>
          <w:bCs/>
        </w:rPr>
      </w:pPr>
      <w:r w:rsidRPr="003311F4">
        <w:rPr>
          <w:b/>
          <w:bCs/>
        </w:rPr>
        <w:t>International students</w:t>
      </w:r>
    </w:p>
    <w:p w:rsidR="00072992" w:rsidP="00B1294B">
      <w:pPr>
        <w:pStyle w:val="Numberedpara"/>
      </w:pPr>
      <w:r w:rsidRPr="00997035">
        <w:t>Universities are committed to responsible international recruitment</w:t>
      </w:r>
      <w:r>
        <w:t xml:space="preserve"> practices</w:t>
      </w:r>
      <w:r>
        <w:t>, such as those articulated in the UK Agent Quality Framework</w:t>
      </w:r>
      <w:r>
        <w:t xml:space="preserve">, </w:t>
      </w:r>
      <w:r>
        <w:t xml:space="preserve">and </w:t>
      </w:r>
      <w:r w:rsidRPr="00997035">
        <w:t xml:space="preserve">robust compliance with </w:t>
      </w:r>
      <w:r>
        <w:t>our</w:t>
      </w:r>
      <w:r w:rsidRPr="00997035">
        <w:t xml:space="preserve"> duties as sponsors of study visas</w:t>
      </w:r>
      <w:r>
        <w:t xml:space="preserve">. </w:t>
      </w:r>
      <w:r>
        <w:t>With the sector h</w:t>
      </w:r>
      <w:r>
        <w:t xml:space="preserve">aving already met the </w:t>
      </w:r>
      <w:r>
        <w:t xml:space="preserve">recruitment targets set out in the previous </w:t>
      </w:r>
      <w:r>
        <w:t>i</w:t>
      </w:r>
      <w:r>
        <w:t xml:space="preserve">nternational education strategy, international students </w:t>
      </w:r>
      <w:r>
        <w:t>form an increasingly</w:t>
      </w:r>
      <w:r>
        <w:t xml:space="preserve"> large proportion of </w:t>
      </w:r>
      <w:r>
        <w:t xml:space="preserve">the UK’s </w:t>
      </w:r>
      <w:r>
        <w:t>net migration figures</w:t>
      </w:r>
      <w:r>
        <w:t xml:space="preserve">, which successive governments have sought to reduce. </w:t>
      </w:r>
      <w:r>
        <w:t>Measures, such as</w:t>
      </w:r>
      <w:r>
        <w:t xml:space="preserve"> </w:t>
      </w:r>
      <w:r>
        <w:t>the restrictions on dependent visas</w:t>
      </w:r>
      <w:r>
        <w:t xml:space="preserve"> implemented at the start of 2024</w:t>
      </w:r>
      <w:r>
        <w:t xml:space="preserve">, have already had </w:t>
      </w:r>
      <w:r>
        <w:t xml:space="preserve">an </w:t>
      </w:r>
      <w:r>
        <w:t xml:space="preserve">impact on reducing numbers </w:t>
      </w:r>
      <w:r>
        <w:t>and</w:t>
      </w:r>
      <w:r>
        <w:t xml:space="preserve"> </w:t>
      </w:r>
      <w:r>
        <w:t xml:space="preserve">are </w:t>
      </w:r>
      <w:r>
        <w:t xml:space="preserve">a </w:t>
      </w:r>
      <w:r>
        <w:t>prominent</w:t>
      </w:r>
      <w:r>
        <w:t xml:space="preserve"> cause of the financial challenges being felt across the sector.</w:t>
      </w:r>
      <w:r>
        <w:rPr>
          <w:rStyle w:val="FootnoteReference"/>
        </w:rPr>
        <w:footnoteReference w:id="5"/>
      </w:r>
      <w:r>
        <w:t xml:space="preserve"> </w:t>
      </w:r>
      <w:r>
        <w:t xml:space="preserve">The </w:t>
      </w:r>
      <w:r>
        <w:t>policie</w:t>
      </w:r>
      <w:r>
        <w:t xml:space="preserve">s </w:t>
      </w:r>
      <w:r>
        <w:t xml:space="preserve">announced in the recent immigration </w:t>
      </w:r>
      <w:r>
        <w:t xml:space="preserve">white paper are expected to </w:t>
      </w:r>
      <w:r>
        <w:t>suppress</w:t>
      </w:r>
      <w:r>
        <w:t xml:space="preserve"> demand further.</w:t>
      </w:r>
    </w:p>
    <w:p w:rsidR="00072992" w:rsidP="0042476D"/>
    <w:p w:rsidR="00072992" w:rsidP="00B1294B">
      <w:pPr>
        <w:pStyle w:val="Numberedpara"/>
      </w:pPr>
      <w:r>
        <w:t xml:space="preserve">The sector recognises that, despite the recent fall, numbers of international students </w:t>
      </w:r>
      <w:r>
        <w:t xml:space="preserve">coming to the UK </w:t>
      </w:r>
      <w:r>
        <w:t>remain higher than pre-COVID</w:t>
      </w:r>
      <w:r>
        <w:t xml:space="preserve"> (</w:t>
      </w:r>
      <w:r>
        <w:t>though dependent visa</w:t>
      </w:r>
      <w:r>
        <w:t>s</w:t>
      </w:r>
      <w:r>
        <w:t xml:space="preserve"> have returned to historic norms</w:t>
      </w:r>
      <w:r>
        <w:t>)</w:t>
      </w:r>
      <w:r>
        <w:t xml:space="preserve">. Nevertheless, further reductions will </w:t>
      </w:r>
      <w:r>
        <w:t xml:space="preserve">both exacerbate the sector’s financial challenges and </w:t>
      </w:r>
      <w:r>
        <w:t xml:space="preserve">limit the positive economic impact and soft power benefit </w:t>
      </w:r>
      <w:r>
        <w:t xml:space="preserve">that the UK receives </w:t>
      </w:r>
      <w:r>
        <w:t xml:space="preserve">from international students at a time when </w:t>
      </w:r>
      <w:r>
        <w:t>the government</w:t>
      </w:r>
      <w:r>
        <w:t xml:space="preserve"> is seeking growth and </w:t>
      </w:r>
      <w:r>
        <w:t xml:space="preserve">when </w:t>
      </w:r>
      <w:r>
        <w:t>threats</w:t>
      </w:r>
      <w:r>
        <w:t xml:space="preserve"> to </w:t>
      </w:r>
      <w:r>
        <w:t xml:space="preserve">our national </w:t>
      </w:r>
      <w:r>
        <w:t>security</w:t>
      </w:r>
      <w:r>
        <w:t xml:space="preserve"> and global stability are rising</w:t>
      </w:r>
      <w:r>
        <w:t>.</w:t>
      </w:r>
    </w:p>
    <w:p w:rsidR="00072992" w:rsidP="00A44DCA"/>
    <w:p w:rsidR="00072992" w:rsidP="00B1294B">
      <w:pPr>
        <w:pStyle w:val="Numberedpara"/>
      </w:pPr>
      <w:r>
        <w:t>UK policy is not the sole factor likely to influence future international recruitment</w:t>
      </w:r>
      <w:r>
        <w:t xml:space="preserve">. The UK, USA, Australia and Canada are currently the four largest </w:t>
      </w:r>
      <w:r>
        <w:t>providers of international education</w:t>
      </w:r>
      <w:r>
        <w:t>. While</w:t>
      </w:r>
      <w:r>
        <w:t xml:space="preserve"> present </w:t>
      </w:r>
      <w:r>
        <w:t>polic</w:t>
      </w:r>
      <w:r>
        <w:t>y direction</w:t>
      </w:r>
      <w:r>
        <w:t xml:space="preserve"> in the other three countries</w:t>
      </w:r>
      <w:r>
        <w:t xml:space="preserve"> may increase </w:t>
      </w:r>
      <w:r>
        <w:t xml:space="preserve">the </w:t>
      </w:r>
      <w:r>
        <w:t xml:space="preserve">attractiveness of the UK, at the same time competition is broadening as other countries increase their market share or develop their own higher education systems (meaning </w:t>
      </w:r>
      <w:r>
        <w:t xml:space="preserve">that </w:t>
      </w:r>
      <w:r>
        <w:t xml:space="preserve">more students </w:t>
      </w:r>
      <w:r>
        <w:t xml:space="preserve">may choose to </w:t>
      </w:r>
      <w:r>
        <w:t xml:space="preserve">study at home). </w:t>
      </w:r>
      <w:r>
        <w:t>There is</w:t>
      </w:r>
      <w:r>
        <w:t>, therefore,</w:t>
      </w:r>
      <w:r>
        <w:t xml:space="preserve"> a r</w:t>
      </w:r>
      <w:r>
        <w:t xml:space="preserve">isk that </w:t>
      </w:r>
      <w:r>
        <w:t>domestic</w:t>
      </w:r>
      <w:r>
        <w:t xml:space="preserve"> policy create</w:t>
      </w:r>
      <w:r>
        <w:t>s</w:t>
      </w:r>
      <w:r>
        <w:t xml:space="preserve"> </w:t>
      </w:r>
      <w:r>
        <w:t xml:space="preserve">an </w:t>
      </w:r>
      <w:r>
        <w:t xml:space="preserve">overcorrection </w:t>
      </w:r>
      <w:r>
        <w:t xml:space="preserve">and </w:t>
      </w:r>
      <w:r>
        <w:t>reduces</w:t>
      </w:r>
      <w:r>
        <w:t xml:space="preserve"> </w:t>
      </w:r>
      <w:r>
        <w:t xml:space="preserve">international student </w:t>
      </w:r>
      <w:r>
        <w:t>n</w:t>
      </w:r>
      <w:r>
        <w:t xml:space="preserve">umbers </w:t>
      </w:r>
      <w:r>
        <w:t>beyond the</w:t>
      </w:r>
      <w:r>
        <w:t xml:space="preserve"> level </w:t>
      </w:r>
      <w:r>
        <w:t>intended</w:t>
      </w:r>
      <w:r>
        <w:t xml:space="preserve"> by government</w:t>
      </w:r>
      <w:r>
        <w:t xml:space="preserve"> – and beyond the limits of institutions’ financial tolerances</w:t>
      </w:r>
      <w:r>
        <w:t xml:space="preserve">. </w:t>
      </w:r>
    </w:p>
    <w:p w:rsidR="00072992" w:rsidP="00A44DCA"/>
    <w:p w:rsidR="00072992" w:rsidP="00B1294B">
      <w:pPr>
        <w:pStyle w:val="Numberedpara"/>
      </w:pPr>
      <w:r>
        <w:t xml:space="preserve">Recent reductions and ongoing uncertainty </w:t>
      </w:r>
      <w:r>
        <w:t xml:space="preserve">in </w:t>
      </w:r>
      <w:r>
        <w:t>international recruitment also creates a destabilising effect on the home recruitment market</w:t>
      </w:r>
      <w:r>
        <w:t xml:space="preserve">. The option </w:t>
      </w:r>
      <w:r>
        <w:t xml:space="preserve">to protect revenue through accepting higher numbers of UK students </w:t>
      </w:r>
      <w:r>
        <w:t>is not available evenly across the sector.</w:t>
      </w:r>
      <w:r>
        <w:t xml:space="preserve"> T</w:t>
      </w:r>
      <w:r>
        <w:t>he OfS estimate</w:t>
      </w:r>
      <w:r>
        <w:t>s</w:t>
      </w:r>
      <w:r>
        <w:t xml:space="preserve"> that around 150 providers failed to achieve their forecasts for international recruitment in 2024. While </w:t>
      </w:r>
      <w:r w:rsidRPr="00762B17">
        <w:rPr>
          <w:lang w:val="en-US"/>
        </w:rPr>
        <w:t xml:space="preserve">larger research-intensive providers </w:t>
      </w:r>
      <w:r>
        <w:rPr>
          <w:lang w:val="en-US"/>
        </w:rPr>
        <w:t xml:space="preserve">in aggregate </w:t>
      </w:r>
      <w:r>
        <w:rPr>
          <w:lang w:val="en-US"/>
        </w:rPr>
        <w:t>increased their home UCAS acceptances by</w:t>
      </w:r>
      <w:r w:rsidRPr="00762B17">
        <w:rPr>
          <w:lang w:val="en-US"/>
        </w:rPr>
        <w:t xml:space="preserve"> 10%</w:t>
      </w:r>
      <w:r>
        <w:rPr>
          <w:lang w:val="en-US"/>
        </w:rPr>
        <w:t>,</w:t>
      </w:r>
      <w:r>
        <w:rPr>
          <w:lang w:val="en-US"/>
        </w:rPr>
        <w:t xml:space="preserve"> and</w:t>
      </w:r>
      <w:r w:rsidRPr="00762B17">
        <w:rPr>
          <w:lang w:val="en-US"/>
        </w:rPr>
        <w:t xml:space="preserve"> larger teaching-intensives </w:t>
      </w:r>
      <w:r>
        <w:rPr>
          <w:lang w:val="en-US"/>
        </w:rPr>
        <w:t>achieved</w:t>
      </w:r>
      <w:r w:rsidRPr="00762B17">
        <w:rPr>
          <w:lang w:val="en-US"/>
        </w:rPr>
        <w:t xml:space="preserve"> a 1% increase</w:t>
      </w:r>
      <w:r>
        <w:rPr>
          <w:lang w:val="en-US"/>
        </w:rPr>
        <w:t xml:space="preserve">, </w:t>
      </w:r>
      <w:r w:rsidRPr="00762B17">
        <w:rPr>
          <w:lang w:val="en-US"/>
        </w:rPr>
        <w:t>all other provider group</w:t>
      </w:r>
      <w:r w:rsidRPr="00762B17">
        <w:rPr>
          <w:lang w:val="en-US"/>
        </w:rPr>
        <w:t>s experienc</w:t>
      </w:r>
      <w:r>
        <w:rPr>
          <w:lang w:val="en-US"/>
        </w:rPr>
        <w:t>ed</w:t>
      </w:r>
      <w:r w:rsidRPr="00762B17">
        <w:rPr>
          <w:lang w:val="en-US"/>
        </w:rPr>
        <w:t xml:space="preserve"> a fall</w:t>
      </w:r>
      <w:r>
        <w:rPr>
          <w:lang w:val="en-US"/>
        </w:rPr>
        <w:t xml:space="preserve"> in</w:t>
      </w:r>
      <w:r>
        <w:rPr>
          <w:lang w:val="en-US"/>
        </w:rPr>
        <w:t xml:space="preserve"> home UCAS</w:t>
      </w:r>
      <w:r>
        <w:rPr>
          <w:lang w:val="en-US"/>
        </w:rPr>
        <w:t xml:space="preserve"> </w:t>
      </w:r>
      <w:r>
        <w:rPr>
          <w:lang w:val="en-US"/>
        </w:rPr>
        <w:t xml:space="preserve">acceptances </w:t>
      </w:r>
      <w:r w:rsidRPr="00762B17">
        <w:rPr>
          <w:lang w:val="en-US"/>
        </w:rPr>
        <w:t>compared to 2023</w:t>
      </w:r>
      <w:r>
        <w:rPr>
          <w:lang w:val="en-US"/>
        </w:rPr>
        <w:t>.</w:t>
      </w:r>
      <w:r>
        <w:rPr>
          <w:rStyle w:val="FootnoteReference"/>
          <w:lang w:val="en-US"/>
        </w:rPr>
        <w:footnoteReference w:id="6"/>
      </w:r>
    </w:p>
    <w:p w:rsidR="00072992" w:rsidP="00FD2174"/>
    <w:p w:rsidR="00072992" w:rsidRPr="009E4159" w:rsidP="00B1294B">
      <w:pPr>
        <w:spacing w:after="80"/>
        <w:rPr>
          <w:b/>
          <w:bCs/>
        </w:rPr>
      </w:pPr>
      <w:r w:rsidRPr="009E4159">
        <w:rPr>
          <w:b/>
          <w:bCs/>
        </w:rPr>
        <w:t>Threat of insolvency</w:t>
      </w:r>
    </w:p>
    <w:p w:rsidR="00072992" w:rsidP="00B1294B">
      <w:pPr>
        <w:pStyle w:val="Numberedpara"/>
      </w:pPr>
      <w:r>
        <w:t xml:space="preserve">While </w:t>
      </w:r>
      <w:r>
        <w:t xml:space="preserve">many institutions are experiencing financial challenges of varying degrees of severity, most are taking action to assure their sustainability. Hull started to take steps to reduce its costs in </w:t>
      </w:r>
      <w:r>
        <w:t>2023/24</w:t>
      </w:r>
      <w:r>
        <w:t>, through strict non-pay controls, voluntary severance</w:t>
      </w:r>
      <w:r>
        <w:t xml:space="preserve"> and reduction in hours</w:t>
      </w:r>
      <w:r>
        <w:t xml:space="preserve"> schemes</w:t>
      </w:r>
      <w:r>
        <w:t xml:space="preserve"> and</w:t>
      </w:r>
      <w:r>
        <w:t xml:space="preserve"> organisational restructurings (which </w:t>
      </w:r>
      <w:r>
        <w:t>included some</w:t>
      </w:r>
      <w:r>
        <w:t xml:space="preserve"> redundancies). </w:t>
      </w:r>
      <w:r>
        <w:t xml:space="preserve">In parallel, we have invested in new digital systems to support an enhanced and more efficient level of service to our students, staff and stakeholders. </w:t>
      </w:r>
      <w:r>
        <w:t>Thi</w:t>
      </w:r>
      <w:r>
        <w:t xml:space="preserve">s action has put the University in </w:t>
      </w:r>
      <w:r>
        <w:t xml:space="preserve">a secure financial position as we come to the end of the current academic year, and we have set a prudent budget for 2025/26 that reflects </w:t>
      </w:r>
      <w:r>
        <w:t>the</w:t>
      </w:r>
      <w:r>
        <w:t xml:space="preserve"> significant degree of</w:t>
      </w:r>
      <w:r w:rsidRPr="00B86029">
        <w:t xml:space="preserve"> </w:t>
      </w:r>
      <w:r>
        <w:t>uncertainty</w:t>
      </w:r>
      <w:r>
        <w:t xml:space="preserve"> that remains</w:t>
      </w:r>
      <w:r>
        <w:t xml:space="preserve"> around both home and international recruitment for the coming year. </w:t>
      </w:r>
    </w:p>
    <w:p w:rsidR="00072992" w:rsidP="00FD2174"/>
    <w:p w:rsidR="00072992" w:rsidP="00B1294B">
      <w:pPr>
        <w:pStyle w:val="Numberedpara"/>
      </w:pPr>
      <w:r>
        <w:t>T</w:t>
      </w:r>
      <w:r>
        <w:t xml:space="preserve">he sustainability of </w:t>
      </w:r>
      <w:r>
        <w:t xml:space="preserve">our </w:t>
      </w:r>
      <w:r>
        <w:t>medium-term</w:t>
      </w:r>
      <w:r>
        <w:t xml:space="preserve"> </w:t>
      </w:r>
      <w:r>
        <w:t xml:space="preserve">financial forecasts is dependent on achieving </w:t>
      </w:r>
      <w:r>
        <w:t xml:space="preserve">modest </w:t>
      </w:r>
      <w:r>
        <w:t>growth in our student population (both domestic and international).</w:t>
      </w:r>
      <w:r w:rsidRPr="00B86029">
        <w:t xml:space="preserve"> </w:t>
      </w:r>
      <w:r>
        <w:t>Should</w:t>
      </w:r>
      <w:r>
        <w:t xml:space="preserve"> the sector’s underlying systemic challenges </w:t>
      </w:r>
      <w:r>
        <w:t xml:space="preserve">remain </w:t>
      </w:r>
      <w:r>
        <w:t>unresolved,</w:t>
      </w:r>
      <w:r>
        <w:t xml:space="preserve"> however,</w:t>
      </w:r>
      <w:r>
        <w:t xml:space="preserve"> t</w:t>
      </w:r>
      <w:r>
        <w:t>he alternative</w:t>
      </w:r>
      <w:r>
        <w:t xml:space="preserve"> to such growth</w:t>
      </w:r>
      <w:r>
        <w:t xml:space="preserve"> </w:t>
      </w:r>
      <w:r>
        <w:t>c</w:t>
      </w:r>
      <w:r>
        <w:t xml:space="preserve">ould </w:t>
      </w:r>
      <w:r>
        <w:t>see us facing</w:t>
      </w:r>
      <w:r>
        <w:t xml:space="preserve"> </w:t>
      </w:r>
      <w:r>
        <w:t xml:space="preserve">difficult choices in the future with regard to </w:t>
      </w:r>
      <w:r>
        <w:t>consolidation of</w:t>
      </w:r>
      <w:r>
        <w:t xml:space="preserve"> our</w:t>
      </w:r>
      <w:r>
        <w:t xml:space="preserve"> p</w:t>
      </w:r>
      <w:r>
        <w:t>ortfolio, t</w:t>
      </w:r>
      <w:r>
        <w:t>he support available to students (in relation, for example, to mental health) and institution-funded research.</w:t>
      </w:r>
    </w:p>
    <w:p w:rsidR="00072992" w:rsidP="00FD2174"/>
    <w:p w:rsidR="00072992" w:rsidP="00B1294B">
      <w:pPr>
        <w:pStyle w:val="Numberedpara"/>
      </w:pPr>
      <w:r>
        <w:t>Other institutions will be taking a similar approach and</w:t>
      </w:r>
      <w:r>
        <w:t>,</w:t>
      </w:r>
      <w:r>
        <w:t xml:space="preserve"> while some may have further yet to go in </w:t>
      </w:r>
      <w:r>
        <w:t>tackling current</w:t>
      </w:r>
      <w:r>
        <w:t xml:space="preserve"> financial</w:t>
      </w:r>
      <w:r>
        <w:t xml:space="preserve"> challenges, institutional i</w:t>
      </w:r>
      <w:r>
        <w:t>nsolvency should be rare</w:t>
      </w:r>
      <w:r>
        <w:t>.</w:t>
      </w:r>
      <w:r>
        <w:t xml:space="preserve"> Insolvency should only normally arise as a consequence of a sudden external shock or poor management of the transitions all institutions must make periodically (as at present) in response to shifts in </w:t>
      </w:r>
      <w:r>
        <w:t>their</w:t>
      </w:r>
      <w:r>
        <w:t xml:space="preserve"> operating environment. </w:t>
      </w:r>
    </w:p>
    <w:p w:rsidR="00072992" w:rsidP="00FD2174"/>
    <w:p w:rsidR="00072992" w:rsidP="00B1294B">
      <w:pPr>
        <w:pStyle w:val="Numberedpara"/>
      </w:pPr>
      <w:r>
        <w:t>English higher education institutions registered with the Office for Students are required to have student protection plans</w:t>
      </w:r>
      <w:r>
        <w:t xml:space="preserve">, setting out </w:t>
      </w:r>
      <w:r>
        <w:t>how</w:t>
      </w:r>
      <w:r>
        <w:t xml:space="preserve"> </w:t>
      </w:r>
      <w:r>
        <w:t>current students</w:t>
      </w:r>
      <w:r>
        <w:t xml:space="preserve"> would be protect</w:t>
      </w:r>
      <w:r>
        <w:t>ed</w:t>
      </w:r>
      <w:r>
        <w:t xml:space="preserve"> in the event of</w:t>
      </w:r>
      <w:r>
        <w:t xml:space="preserve"> institutional closure</w:t>
      </w:r>
      <w:r>
        <w:t xml:space="preserve">. </w:t>
      </w:r>
      <w:r>
        <w:t xml:space="preserve">No such </w:t>
      </w:r>
      <w:r>
        <w:t>protection</w:t>
      </w:r>
      <w:r>
        <w:t xml:space="preserve"> exists</w:t>
      </w:r>
      <w:r>
        <w:t>, however,</w:t>
      </w:r>
      <w:r>
        <w:t xml:space="preserve"> </w:t>
      </w:r>
      <w:r>
        <w:t xml:space="preserve">against the impact insolvency would have on an institution’s </w:t>
      </w:r>
      <w:r>
        <w:t>place. Universities are often among the largest employers and a major civic partner in their area. They generate significant regional economic impact and deliver research</w:t>
      </w:r>
      <w:r>
        <w:t>, knowledge exchange</w:t>
      </w:r>
      <w:r>
        <w:t xml:space="preserve"> and skills development attuned to local needs.</w:t>
      </w:r>
      <w:r>
        <w:t xml:space="preserve"> </w:t>
      </w:r>
    </w:p>
    <w:p w:rsidR="00072992" w:rsidP="00FD2174"/>
    <w:p w:rsidR="00072992" w:rsidP="00B1294B">
      <w:pPr>
        <w:pStyle w:val="Numberedpara"/>
      </w:pPr>
      <w:r>
        <w:t xml:space="preserve">The loss </w:t>
      </w:r>
      <w:r>
        <w:t>–</w:t>
      </w:r>
      <w:r>
        <w:t xml:space="preserve"> </w:t>
      </w:r>
      <w:r>
        <w:t>o</w:t>
      </w:r>
      <w:r>
        <w:t>f jobs, expertise</w:t>
      </w:r>
      <w:r>
        <w:t>, facilities and more – arising from institutional closure would be even more pro</w:t>
      </w:r>
      <w:r>
        <w:t>nounce</w:t>
      </w:r>
      <w:r>
        <w:t xml:space="preserve">d in areas with a solitary or small number of </w:t>
      </w:r>
      <w:r>
        <w:t>universities</w:t>
      </w:r>
      <w:r>
        <w:t>.</w:t>
      </w:r>
      <w:r>
        <w:t xml:space="preserve"> </w:t>
      </w:r>
      <w:r>
        <w:t>T</w:t>
      </w:r>
      <w:r>
        <w:t>he</w:t>
      </w:r>
      <w:r>
        <w:t xml:space="preserve"> new</w:t>
      </w:r>
      <w:r>
        <w:t xml:space="preserve"> Hull and East Yorkshire Combined Authority</w:t>
      </w:r>
      <w:r>
        <w:t xml:space="preserve"> </w:t>
      </w:r>
      <w:r>
        <w:t>area</w:t>
      </w:r>
      <w:r>
        <w:t xml:space="preserve"> </w:t>
      </w:r>
      <w:r>
        <w:t>would be</w:t>
      </w:r>
      <w:r>
        <w:t xml:space="preserve"> just one</w:t>
      </w:r>
      <w:r>
        <w:t xml:space="preserve"> such</w:t>
      </w:r>
      <w:r>
        <w:t xml:space="preserve"> example</w:t>
      </w:r>
      <w:r>
        <w:t xml:space="preserve">. Our region is </w:t>
      </w:r>
      <w:r>
        <w:t>home to more than 600,000 people and 20,500 businesses and</w:t>
      </w:r>
      <w:r>
        <w:t xml:space="preserve"> has an annual GVA output of over £13 billion</w:t>
      </w:r>
      <w:r>
        <w:t>.</w:t>
      </w:r>
      <w:r>
        <w:rPr>
          <w:rStyle w:val="FootnoteReference"/>
        </w:rPr>
        <w:footnoteReference w:id="7"/>
      </w:r>
      <w:r>
        <w:t xml:space="preserve"> The insolvency of a</w:t>
      </w:r>
      <w:r>
        <w:t xml:space="preserve"> university</w:t>
      </w:r>
      <w:r>
        <w:t xml:space="preserve"> solely responsible for serving a regional economy of this scale would severely compromise the ability of that region to grow and prosper.</w:t>
      </w:r>
      <w:r>
        <w:t xml:space="preserve"> </w:t>
      </w:r>
    </w:p>
    <w:p w:rsidR="00072992" w:rsidP="00FD2174"/>
    <w:p w:rsidR="00072992" w:rsidP="00B1294B">
      <w:pPr>
        <w:pStyle w:val="Numberedpara"/>
      </w:pPr>
      <w:r>
        <w:t>Moreover, the loss of opportunity in such</w:t>
      </w:r>
      <w:r>
        <w:t xml:space="preserve"> an</w:t>
      </w:r>
      <w:r>
        <w:t xml:space="preserve"> area would be profound. </w:t>
      </w:r>
      <w:r>
        <w:t>It should not be assumed that students who would have chosen to study at a particular institution will simply go elsewhere. Universities like Hull play a significant role in supporting students (particularly those from areas of traditionally low higher education participation) who wish to study locally or are unable to travel due to work or caring responsibilities, for example.</w:t>
      </w:r>
      <w:r>
        <w:t xml:space="preserve"> Almost 60% of our home undergraduate students are</w:t>
      </w:r>
      <w:r>
        <w:t xml:space="preserve"> local to the Humber region, where </w:t>
      </w:r>
      <w:r>
        <w:t>more than half</w:t>
      </w:r>
      <w:r>
        <w:t xml:space="preserve"> of n</w:t>
      </w:r>
      <w:r>
        <w:t>eighbourhoods are classified as areas of low higher education participation</w:t>
      </w:r>
      <w:r>
        <w:t>.</w:t>
      </w:r>
      <w:r>
        <w:rPr>
          <w:rStyle w:val="FootnoteReference"/>
        </w:rPr>
        <w:footnoteReference w:id="8"/>
      </w:r>
    </w:p>
    <w:p w:rsidR="00072992" w:rsidP="00FD2174"/>
    <w:p w:rsidR="00072992" w:rsidP="00B1294B">
      <w:pPr>
        <w:pStyle w:val="Numberedpara"/>
      </w:pPr>
      <w:r>
        <w:t xml:space="preserve">While the risk of </w:t>
      </w:r>
      <w:r>
        <w:t xml:space="preserve">widespread </w:t>
      </w:r>
      <w:r>
        <w:t>insolvenc</w:t>
      </w:r>
      <w:r>
        <w:t xml:space="preserve">ies </w:t>
      </w:r>
      <w:r>
        <w:t xml:space="preserve">may be small, </w:t>
      </w:r>
      <w:r>
        <w:t>the</w:t>
      </w:r>
      <w:r>
        <w:t xml:space="preserve"> greater</w:t>
      </w:r>
      <w:r>
        <w:t xml:space="preserve"> risk</w:t>
      </w:r>
      <w:r>
        <w:t xml:space="preserve"> perhaps</w:t>
      </w:r>
      <w:r>
        <w:t xml:space="preserve"> is</w:t>
      </w:r>
      <w:r>
        <w:t xml:space="preserve"> that the status quo generates the same impact over time</w:t>
      </w:r>
      <w:r>
        <w:t>,</w:t>
      </w:r>
      <w:r>
        <w:t xml:space="preserve"> as systemic challenges lead to a gradual erosion of the sector</w:t>
      </w:r>
      <w:r>
        <w:t xml:space="preserve">, its </w:t>
      </w:r>
      <w:r>
        <w:t>contribution to growth and opportunity and its global reputation</w:t>
      </w:r>
      <w:r>
        <w:t>. Hull’s latest economic impact report illustrates</w:t>
      </w:r>
      <w:r>
        <w:t xml:space="preserve"> </w:t>
      </w:r>
      <w:r>
        <w:t>just one</w:t>
      </w:r>
      <w:r>
        <w:t xml:space="preserve"> element of</w:t>
      </w:r>
      <w:r>
        <w:t xml:space="preserve"> this risk, where </w:t>
      </w:r>
      <w:r>
        <w:t>our contribution to the UK economy fell by £</w:t>
      </w:r>
      <w:r>
        <w:t>200</w:t>
      </w:r>
      <w:r>
        <w:t> </w:t>
      </w:r>
      <w:r>
        <w:t>m</w:t>
      </w:r>
      <w:r>
        <w:t xml:space="preserve">illion between 2021/22 and 2023/24. This decrease was driven almost entirely by </w:t>
      </w:r>
      <w:r>
        <w:t>a</w:t>
      </w:r>
      <w:r>
        <w:t xml:space="preserve"> reduction in our student population. In addition to reduced spending by students in our local region, for example, the fall in economic impact also reflects the reduced </w:t>
      </w:r>
      <w:r>
        <w:t xml:space="preserve">long-term exchequer </w:t>
      </w:r>
      <w:r>
        <w:t xml:space="preserve">benefit </w:t>
      </w:r>
      <w:r>
        <w:t>from a smaller number of graduates.</w:t>
      </w:r>
    </w:p>
    <w:p w:rsidR="00072992" w:rsidP="003A4D06"/>
    <w:p w:rsidR="00072992" w:rsidRPr="005D46BE" w:rsidP="00B1294B">
      <w:pPr>
        <w:spacing w:after="80"/>
        <w:rPr>
          <w:b/>
          <w:bCs/>
        </w:rPr>
      </w:pPr>
      <w:r>
        <w:rPr>
          <w:b/>
          <w:bCs/>
        </w:rPr>
        <w:t>Recommendations</w:t>
      </w:r>
    </w:p>
    <w:p w:rsidR="00072992" w:rsidP="00F32E5C">
      <w:pPr>
        <w:pStyle w:val="Numberedpara"/>
        <w:spacing w:after="40"/>
      </w:pPr>
      <w:r>
        <w:t>Supported by a UUK taskforce, the sector is already taking steps to pursue greater efficiency and explore opportunities for more significant transformation.</w:t>
      </w:r>
      <w:r>
        <w:t xml:space="preserve"> We support the taskforce’s recommendation</w:t>
      </w:r>
      <w:r>
        <w:t>s</w:t>
      </w:r>
      <w:r>
        <w:t xml:space="preserve"> that</w:t>
      </w:r>
      <w:r>
        <w:t>, inter alia,</w:t>
      </w:r>
      <w:r>
        <w:t xml:space="preserve"> the government should</w:t>
      </w:r>
      <w:r>
        <w:t>:</w:t>
      </w:r>
    </w:p>
    <w:p w:rsidR="00072992" w:rsidP="00B1294B">
      <w:pPr>
        <w:pStyle w:val="ListParagraph"/>
        <w:ind w:left="709" w:hanging="283"/>
      </w:pPr>
      <w:r>
        <w:t>provide funding to incentivise and derisk the actions required to achieve such transformation</w:t>
      </w:r>
      <w:r>
        <w:t>; and</w:t>
      </w:r>
    </w:p>
    <w:p w:rsidR="00072992" w:rsidP="00B1294B">
      <w:pPr>
        <w:pStyle w:val="ListParagraph"/>
        <w:ind w:left="709" w:hanging="283"/>
      </w:pPr>
      <w:r>
        <w:t>work with the sector to create a funding and regulatory framework that is more supportive of collaboration.</w:t>
      </w:r>
    </w:p>
    <w:p w:rsidR="00072992" w:rsidP="003A4D06"/>
    <w:p w:rsidR="00072992" w:rsidP="00B1294B">
      <w:pPr>
        <w:pStyle w:val="Numberedpara"/>
      </w:pPr>
      <w:r>
        <w:t>We would welcome government action to improve cost recovery on publicly funded research and a commitment to implement annual increases in the home undergraduate fee cap at or above the rate of inflation.</w:t>
      </w:r>
    </w:p>
    <w:p w:rsidR="00072992" w:rsidP="00B7119A"/>
    <w:p w:rsidR="00072992" w:rsidP="00B1294B">
      <w:pPr>
        <w:pStyle w:val="Numberedpara"/>
      </w:pPr>
      <w:r>
        <w:t>Policy stability and cross-government coordination to align policy</w:t>
      </w:r>
      <w:r>
        <w:t>, regulatory</w:t>
      </w:r>
      <w:r>
        <w:t xml:space="preserve"> and funding levers are essential to create an environment in which universities can plan reliably. </w:t>
      </w:r>
      <w:r>
        <w:t>For example, w</w:t>
      </w:r>
      <w:r>
        <w:t xml:space="preserve">e would welcome clarity in the forthcoming new international education strategy on the government’s vision for the future nature and scale of the UK’s international higher education provision. </w:t>
      </w:r>
    </w:p>
    <w:p w:rsidR="00072992" w:rsidP="00B7119A">
      <w:pPr>
        <w:ind w:left="357" w:hanging="357"/>
      </w:pPr>
    </w:p>
    <w:p w:rsidR="00072992" w:rsidP="00B1294B">
      <w:pPr>
        <w:pStyle w:val="Numberedpara"/>
      </w:pPr>
      <w:r>
        <w:t>We would further recommend that the benefits of international students to the UK, as highlighted in this submission, are reflected in the government’s strategy</w:t>
      </w:r>
      <w:r>
        <w:t>,</w:t>
      </w:r>
      <w:r>
        <w:t xml:space="preserve"> and </w:t>
      </w:r>
      <w:r>
        <w:t xml:space="preserve">we </w:t>
      </w:r>
      <w:r>
        <w:t xml:space="preserve">would welcome a coordinated policy landscape </w:t>
      </w:r>
      <w:r>
        <w:t>that</w:t>
      </w:r>
      <w:r>
        <w:t xml:space="preserve"> </w:t>
      </w:r>
      <w:r>
        <w:t>enhance</w:t>
      </w:r>
      <w:r>
        <w:t>s</w:t>
      </w:r>
      <w:r>
        <w:t xml:space="preserve"> </w:t>
      </w:r>
      <w:r>
        <w:t xml:space="preserve">rather than reduces </w:t>
      </w:r>
      <w:r>
        <w:t>the attractiveness of UK higher education in the competitive global education marketplace.</w:t>
      </w:r>
    </w:p>
    <w:p w:rsidR="00072992" w:rsidP="005D46BE"/>
    <w:p w:rsidR="00072992" w:rsidP="005D46BE"/>
    <w:p w:rsidR="00072992" w:rsidRPr="00072992" w:rsidP="004A06A6">
      <w:pPr>
        <w:rPr>
          <w:i/>
          <w:iCs/>
        </w:rPr>
      </w:pPr>
      <w:r w:rsidRPr="00072992">
        <w:rPr>
          <w:i/>
          <w:iCs/>
        </w:rPr>
        <w:t xml:space="preserve">September </w:t>
      </w:r>
      <w:r w:rsidRPr="00072992">
        <w:rPr>
          <w:i/>
          <w:iCs/>
        </w:rPr>
        <w:t>2025</w:t>
      </w:r>
    </w:p>
    <w:sectPr>
      <w:headerReference w:type="default" r:id="rId6"/>
      <w:foot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992" w:rsidP="00EC3A63">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72992" w:rsidP="00142343">
      <w:r>
        <w:separator/>
      </w:r>
    </w:p>
  </w:footnote>
  <w:footnote w:type="continuationSeparator" w:id="1">
    <w:p w:rsidR="00072992" w:rsidP="00142343">
      <w:r>
        <w:continuationSeparator/>
      </w:r>
    </w:p>
  </w:footnote>
  <w:footnote w:id="2">
    <w:p w:rsidR="00072992" w:rsidRPr="006A4266" w:rsidP="006A4266">
      <w:pPr>
        <w:tabs>
          <w:tab w:val="left" w:pos="142"/>
        </w:tabs>
        <w:ind w:left="142" w:hanging="142"/>
      </w:pPr>
      <w:r w:rsidRPr="000739F5">
        <w:rPr>
          <w:rStyle w:val="FootnoteReference"/>
          <w:sz w:val="18"/>
          <w:szCs w:val="18"/>
        </w:rPr>
        <w:footnoteRef/>
      </w:r>
      <w:r w:rsidRPr="000739F5">
        <w:rPr>
          <w:sz w:val="18"/>
          <w:szCs w:val="18"/>
        </w:rPr>
        <w:t xml:space="preserve"> </w:t>
      </w:r>
      <w:r>
        <w:rPr>
          <w:sz w:val="18"/>
          <w:szCs w:val="18"/>
        </w:rPr>
        <w:tab/>
        <w:t xml:space="preserve">Public First, May 2025, </w:t>
      </w:r>
      <w:r>
        <w:fldChar w:fldCharType="begin"/>
      </w:r>
      <w:r>
        <w:instrText xml:space="preserve"> HYPERLINK "https://www.publicfirst.co.uk/global-talent-local-growth-the-export-and-jobs-benefit-of-international-students-in-the-uk.html" </w:instrText>
      </w:r>
      <w:r>
        <w:fldChar w:fldCharType="separate"/>
      </w:r>
      <w:r>
        <w:rPr>
          <w:rStyle w:val="Hyperlink"/>
          <w:sz w:val="18"/>
          <w:szCs w:val="18"/>
        </w:rPr>
        <w:t>Global talent, local growth: the export and jobs benefit of international students in the UK</w:t>
      </w:r>
      <w:r>
        <w:fldChar w:fldCharType="end"/>
      </w:r>
      <w:r>
        <w:t xml:space="preserve"> </w:t>
      </w:r>
      <w:r>
        <w:rPr>
          <w:sz w:val="18"/>
          <w:szCs w:val="18"/>
        </w:rPr>
        <w:t>(see underlying data and constituency breakdown)</w:t>
      </w:r>
    </w:p>
  </w:footnote>
  <w:footnote w:id="3">
    <w:p w:rsidR="00072992" w:rsidP="00096C87">
      <w:pPr>
        <w:pStyle w:val="FootnoteText"/>
        <w:tabs>
          <w:tab w:val="left" w:pos="142"/>
        </w:tabs>
        <w:ind w:left="142" w:hanging="142"/>
      </w:pPr>
      <w:r w:rsidRPr="00096C87">
        <w:rPr>
          <w:rStyle w:val="FootnoteReference"/>
          <w:sz w:val="18"/>
          <w:szCs w:val="18"/>
        </w:rPr>
        <w:footnoteRef/>
      </w:r>
      <w:r w:rsidRPr="00096C87">
        <w:rPr>
          <w:sz w:val="18"/>
          <w:szCs w:val="18"/>
        </w:rPr>
        <w:t xml:space="preserve"> </w:t>
      </w:r>
      <w:r>
        <w:rPr>
          <w:sz w:val="18"/>
          <w:szCs w:val="18"/>
        </w:rPr>
        <w:tab/>
      </w:r>
      <w:r w:rsidRPr="00096C87">
        <w:rPr>
          <w:sz w:val="18"/>
          <w:szCs w:val="18"/>
        </w:rPr>
        <w:t>BiGGAR Economics, University of Hull</w:t>
      </w:r>
      <w:r>
        <w:rPr>
          <w:sz w:val="18"/>
          <w:szCs w:val="18"/>
        </w:rPr>
        <w:t>:</w:t>
      </w:r>
      <w:r w:rsidRPr="00096C87">
        <w:rPr>
          <w:sz w:val="18"/>
          <w:szCs w:val="18"/>
        </w:rPr>
        <w:t xml:space="preserve"> Summary of Economic Impact 2023/24</w:t>
      </w:r>
    </w:p>
  </w:footnote>
  <w:footnote w:id="4">
    <w:p w:rsidR="00072992" w:rsidP="006A4266">
      <w:pPr>
        <w:pStyle w:val="FootnoteText"/>
        <w:tabs>
          <w:tab w:val="left" w:pos="142"/>
        </w:tabs>
        <w:ind w:left="142" w:hanging="142"/>
      </w:pPr>
      <w:r w:rsidRPr="000739F5">
        <w:rPr>
          <w:rStyle w:val="FootnoteReference"/>
          <w:sz w:val="18"/>
          <w:szCs w:val="18"/>
        </w:rPr>
        <w:footnoteRef/>
      </w:r>
      <w:r w:rsidRPr="000739F5">
        <w:rPr>
          <w:sz w:val="18"/>
          <w:szCs w:val="18"/>
        </w:rPr>
        <w:t xml:space="preserve"> </w:t>
      </w:r>
      <w:r>
        <w:rPr>
          <w:sz w:val="18"/>
          <w:szCs w:val="18"/>
        </w:rPr>
        <w:tab/>
        <w:t xml:space="preserve">Office for Students, June 2024, </w:t>
      </w:r>
      <w:r>
        <w:fldChar w:fldCharType="begin"/>
      </w:r>
      <w:r>
        <w:instrText xml:space="preserve"> HYPERLINK "https://www.officeforstudents.org.uk/publications/annual-trac-2022-23/" </w:instrText>
      </w:r>
      <w:r>
        <w:fldChar w:fldCharType="separate"/>
      </w:r>
      <w:r>
        <w:rPr>
          <w:rStyle w:val="Hyperlink"/>
          <w:sz w:val="18"/>
          <w:szCs w:val="18"/>
        </w:rPr>
        <w:t>Annual TRAC 2022-23: Sector summary and analysis by TRAC peer group</w:t>
      </w:r>
      <w:r>
        <w:fldChar w:fldCharType="end"/>
      </w:r>
    </w:p>
  </w:footnote>
  <w:footnote w:id="5">
    <w:p w:rsidR="00072992" w:rsidP="00567150">
      <w:pPr>
        <w:pStyle w:val="FootnoteText"/>
        <w:tabs>
          <w:tab w:val="left" w:pos="142"/>
        </w:tabs>
        <w:ind w:left="142" w:hanging="142"/>
      </w:pPr>
      <w:r w:rsidRPr="00FD2174">
        <w:rPr>
          <w:rStyle w:val="FootnoteReference"/>
          <w:sz w:val="18"/>
          <w:szCs w:val="18"/>
        </w:rPr>
        <w:footnoteRef/>
      </w:r>
      <w:r w:rsidRPr="00FD2174">
        <w:rPr>
          <w:sz w:val="18"/>
          <w:szCs w:val="18"/>
        </w:rPr>
        <w:t xml:space="preserve"> </w:t>
      </w:r>
      <w:r>
        <w:rPr>
          <w:sz w:val="18"/>
          <w:szCs w:val="18"/>
        </w:rPr>
        <w:tab/>
      </w:r>
      <w:r>
        <w:rPr>
          <w:sz w:val="18"/>
          <w:szCs w:val="18"/>
        </w:rPr>
        <w:t xml:space="preserve">Home Office, June 2025, Accredited Official Statistics: </w:t>
      </w:r>
      <w:r>
        <w:fldChar w:fldCharType="begin"/>
      </w:r>
      <w:r>
        <w:instrText xml:space="preserve"> HYPERLINK "https://www.gov.uk/government/statistics/immigration-system-statistics-year-ending-march-2025/why-do-people-come-to-the-uk-study" \l "sponsored-study-visas" </w:instrText>
      </w:r>
      <w:r>
        <w:fldChar w:fldCharType="separate"/>
      </w:r>
      <w:r>
        <w:rPr>
          <w:rStyle w:val="Hyperlink"/>
          <w:sz w:val="18"/>
          <w:szCs w:val="18"/>
        </w:rPr>
        <w:t>Why do people come to the UK - Study?</w:t>
      </w:r>
      <w:r>
        <w:fldChar w:fldCharType="end"/>
      </w:r>
    </w:p>
  </w:footnote>
  <w:footnote w:id="6">
    <w:p w:rsidR="00072992" w:rsidP="00567150">
      <w:pPr>
        <w:pStyle w:val="FootnoteText"/>
        <w:tabs>
          <w:tab w:val="left" w:pos="142"/>
        </w:tabs>
        <w:ind w:left="142" w:hanging="142"/>
      </w:pPr>
      <w:r w:rsidRPr="00567150">
        <w:rPr>
          <w:rStyle w:val="FootnoteReference"/>
          <w:sz w:val="18"/>
          <w:szCs w:val="18"/>
        </w:rPr>
        <w:footnoteRef/>
      </w:r>
      <w:r w:rsidRPr="00567150">
        <w:rPr>
          <w:sz w:val="18"/>
          <w:szCs w:val="18"/>
        </w:rPr>
        <w:t xml:space="preserve"> </w:t>
      </w:r>
      <w:r>
        <w:rPr>
          <w:sz w:val="18"/>
          <w:szCs w:val="18"/>
        </w:rPr>
        <w:tab/>
      </w:r>
      <w:r w:rsidRPr="00567150">
        <w:rPr>
          <w:sz w:val="18"/>
          <w:szCs w:val="18"/>
        </w:rPr>
        <w:t xml:space="preserve">Office for Students, November 2024, </w:t>
      </w:r>
      <w:r>
        <w:fldChar w:fldCharType="begin"/>
      </w:r>
      <w:r>
        <w:instrText xml:space="preserve"> HYPERLINK "https://www.officeforstudents.org.uk/publications/financial-sustainability-of-higher-education-providers-in-england-november-2024-update/" </w:instrText>
      </w:r>
      <w:r>
        <w:fldChar w:fldCharType="separate"/>
      </w:r>
      <w:r w:rsidRPr="00567150">
        <w:rPr>
          <w:rStyle w:val="Hyperlink"/>
          <w:sz w:val="18"/>
          <w:szCs w:val="18"/>
        </w:rPr>
        <w:t>Financial sustainability of higher education providers in England: November 2024 update</w:t>
      </w:r>
      <w:r>
        <w:fldChar w:fldCharType="end"/>
      </w:r>
    </w:p>
  </w:footnote>
  <w:footnote w:id="7">
    <w:p w:rsidR="00072992" w:rsidP="00456455">
      <w:pPr>
        <w:pStyle w:val="FootnoteText"/>
        <w:tabs>
          <w:tab w:val="left" w:pos="142"/>
        </w:tabs>
        <w:ind w:left="142" w:hanging="142"/>
      </w:pPr>
      <w:r w:rsidRPr="00456455">
        <w:rPr>
          <w:rStyle w:val="FootnoteReference"/>
          <w:sz w:val="18"/>
          <w:szCs w:val="18"/>
        </w:rPr>
        <w:footnoteRef/>
      </w:r>
      <w:r w:rsidRPr="00456455">
        <w:rPr>
          <w:sz w:val="18"/>
          <w:szCs w:val="18"/>
        </w:rPr>
        <w:t xml:space="preserve"> </w:t>
      </w:r>
      <w:r w:rsidRPr="00456455">
        <w:rPr>
          <w:sz w:val="18"/>
          <w:szCs w:val="18"/>
        </w:rPr>
        <w:tab/>
        <w:t xml:space="preserve">Hull and East Yorkshire Combined Authority, 2024, </w:t>
      </w:r>
      <w:r>
        <w:fldChar w:fldCharType="begin"/>
      </w:r>
      <w:r>
        <w:instrText xml:space="preserve"> HYPERLINK "https://www.hullandeastyorkshire.gov.uk/combined-authority/hull-east-yorkshire-combined-authority-proposal/3" </w:instrText>
      </w:r>
      <w:r>
        <w:fldChar w:fldCharType="separate"/>
      </w:r>
      <w:r w:rsidRPr="00456455">
        <w:rPr>
          <w:rStyle w:val="Hyperlink"/>
          <w:sz w:val="18"/>
          <w:szCs w:val="18"/>
        </w:rPr>
        <w:t>Devolution proposal: Our local economy</w:t>
      </w:r>
      <w:r>
        <w:fldChar w:fldCharType="end"/>
      </w:r>
    </w:p>
  </w:footnote>
  <w:footnote w:id="8">
    <w:p w:rsidR="00072992" w:rsidP="002D7C86">
      <w:pPr>
        <w:pStyle w:val="FootnoteText"/>
        <w:tabs>
          <w:tab w:val="left" w:pos="142"/>
        </w:tabs>
        <w:ind w:left="142" w:hanging="142"/>
      </w:pPr>
      <w:r w:rsidRPr="002D7C86">
        <w:rPr>
          <w:rStyle w:val="FootnoteReference"/>
          <w:sz w:val="18"/>
          <w:szCs w:val="18"/>
        </w:rPr>
        <w:footnoteRef/>
      </w:r>
      <w:r w:rsidRPr="002D7C86">
        <w:rPr>
          <w:sz w:val="18"/>
          <w:szCs w:val="18"/>
        </w:rPr>
        <w:t xml:space="preserve"> </w:t>
      </w:r>
      <w:r>
        <w:rPr>
          <w:sz w:val="18"/>
          <w:szCs w:val="18"/>
        </w:rPr>
        <w:tab/>
        <w:t xml:space="preserve">The </w:t>
      </w:r>
      <w:r w:rsidRPr="002D7C86">
        <w:rPr>
          <w:sz w:val="18"/>
          <w:szCs w:val="18"/>
        </w:rPr>
        <w:t>Humber</w:t>
      </w:r>
      <w:r>
        <w:rPr>
          <w:sz w:val="18"/>
          <w:szCs w:val="18"/>
        </w:rPr>
        <w:t xml:space="preserve"> region</w:t>
      </w:r>
      <w:r w:rsidRPr="002D7C86">
        <w:rPr>
          <w:sz w:val="18"/>
          <w:szCs w:val="18"/>
        </w:rPr>
        <w:t xml:space="preserve"> is defined as the area covered by the Hull, East Yorkshire, North Lincolnshire and North East</w:t>
      </w:r>
      <w:r w:rsidRPr="002D7C86">
        <w:rPr>
          <w:sz w:val="18"/>
          <w:szCs w:val="18"/>
        </w:rPr>
        <w:t xml:space="preserve"> Lincolnshire local authorities. Source for participation data: Of</w:t>
      </w:r>
      <w:r>
        <w:rPr>
          <w:sz w:val="18"/>
          <w:szCs w:val="18"/>
        </w:rPr>
        <w:t xml:space="preserve">fice for Students, </w:t>
      </w:r>
      <w:r w:rsidRPr="002D7C86">
        <w:rPr>
          <w:sz w:val="18"/>
          <w:szCs w:val="18"/>
        </w:rPr>
        <w:t>TUNDRA quintiles by MSOA</w:t>
      </w:r>
      <w:r>
        <w:rPr>
          <w:sz w:val="18"/>
          <w:szCs w:val="18"/>
        </w:rPr>
        <w:t xml:space="preserve"> (2021)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2992" w:rsidRPr="004A06A6">
    <w:pPr>
      <w:pStyle w:val="Header"/>
      <w:rPr>
        <w:b/>
        <w:bCs/>
      </w:rPr>
    </w:pPr>
    <w:r w:rsidRPr="004A06A6">
      <w:rPr>
        <w:b/>
        <w:bC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715E72"/>
    <w:multiLevelType w:val="hybridMultilevel"/>
    <w:tmpl w:val="F4A4DAD0"/>
    <w:lvl w:ilvl="0">
      <w:start w:val="1"/>
      <w:numFmt w:val="bullet"/>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BBC5D2A"/>
    <w:multiLevelType w:val="hybridMultilevel"/>
    <w:tmpl w:val="A508CC5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E174395"/>
    <w:multiLevelType w:val="hybridMultilevel"/>
    <w:tmpl w:val="FF0C2C70"/>
    <w:lvl w:ilvl="0">
      <w:start w:val="1"/>
      <w:numFmt w:val="bullet"/>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14E0177F"/>
    <w:multiLevelType w:val="hybridMultilevel"/>
    <w:tmpl w:val="74348CCC"/>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224D1F6B"/>
    <w:multiLevelType w:val="multilevel"/>
    <w:tmpl w:val="F54A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10007C0"/>
    <w:multiLevelType w:val="hybridMultilevel"/>
    <w:tmpl w:val="800A8548"/>
    <w:lvl w:ilvl="0">
      <w:start w:val="1"/>
      <w:numFmt w:val="decimal"/>
      <w:pStyle w:val="Numberedpara"/>
      <w:lvlText w:val="%1."/>
      <w:lvlJc w:val="left"/>
      <w:pPr>
        <w:ind w:left="720" w:hanging="360"/>
      </w:pPr>
      <w:rPr>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255274C"/>
    <w:multiLevelType w:val="hybridMultilevel"/>
    <w:tmpl w:val="BF8048A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2E37C91"/>
    <w:multiLevelType w:val="hybridMultilevel"/>
    <w:tmpl w:val="F9E43C5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4B2F1F2E"/>
    <w:multiLevelType w:val="hybridMultilevel"/>
    <w:tmpl w:val="34586D30"/>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CC2780F"/>
    <w:multiLevelType w:val="hybridMultilevel"/>
    <w:tmpl w:val="0C08D78C"/>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5EF034C"/>
    <w:multiLevelType w:val="hybridMultilevel"/>
    <w:tmpl w:val="3AB460D2"/>
    <w:lvl w:ilvl="0">
      <w:start w:val="1"/>
      <w:numFmt w:val="bullet"/>
      <w:pStyle w:val="ListParagraph"/>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62DE18F0"/>
    <w:multiLevelType w:val="hybridMultilevel"/>
    <w:tmpl w:val="E9FAADF4"/>
    <w:lvl w:ilvl="0">
      <w:start w:val="1"/>
      <w:numFmt w:val="bullet"/>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6C914BF8"/>
    <w:multiLevelType w:val="hybridMultilevel"/>
    <w:tmpl w:val="BF8048A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FAB4D10"/>
    <w:multiLevelType w:val="hybridMultilevel"/>
    <w:tmpl w:val="2F14836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7C853EF1"/>
    <w:multiLevelType w:val="multilevel"/>
    <w:tmpl w:val="EC341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3"/>
  </w:num>
  <w:num w:numId="3">
    <w:abstractNumId w:val="2"/>
  </w:num>
  <w:num w:numId="4">
    <w:abstractNumId w:val="8"/>
  </w:num>
  <w:num w:numId="5">
    <w:abstractNumId w:val="0"/>
  </w:num>
  <w:num w:numId="6">
    <w:abstractNumId w:val="9"/>
  </w:num>
  <w:num w:numId="7">
    <w:abstractNumId w:val="14"/>
  </w:num>
  <w:num w:numId="8">
    <w:abstractNumId w:val="4"/>
  </w:num>
  <w:num w:numId="9">
    <w:abstractNumId w:val="1"/>
  </w:num>
  <w:num w:numId="10">
    <w:abstractNumId w:val="10"/>
  </w:num>
  <w:num w:numId="11">
    <w:abstractNumId w:val="13"/>
  </w:num>
  <w:num w:numId="12">
    <w:abstractNumId w:val="5"/>
  </w:num>
  <w:num w:numId="13">
    <w:abstractNumId w:val="6"/>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30FD"/>
    <w:pPr>
      <w:spacing w:after="0" w:line="240" w:lineRule="auto"/>
    </w:pPr>
  </w:style>
  <w:style w:type="paragraph" w:styleId="Heading1">
    <w:name w:val="heading 1"/>
    <w:basedOn w:val="Normal"/>
    <w:next w:val="Normal"/>
    <w:link w:val="Heading1Char"/>
    <w:uiPriority w:val="9"/>
    <w:qFormat/>
    <w:rsid w:val="00B806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06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06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06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06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06E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06E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06E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06E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06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06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06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06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06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06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06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06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06E8"/>
    <w:rPr>
      <w:rFonts w:eastAsiaTheme="majorEastAsia" w:cstheme="majorBidi"/>
      <w:color w:val="272727" w:themeColor="text1" w:themeTint="D8"/>
    </w:rPr>
  </w:style>
  <w:style w:type="paragraph" w:styleId="Title">
    <w:name w:val="Title"/>
    <w:basedOn w:val="Normal"/>
    <w:next w:val="Normal"/>
    <w:link w:val="TitleChar"/>
    <w:uiPriority w:val="10"/>
    <w:qFormat/>
    <w:rsid w:val="00B806E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06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06E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06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06E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06E8"/>
    <w:rPr>
      <w:i/>
      <w:iCs/>
      <w:color w:val="404040" w:themeColor="text1" w:themeTint="BF"/>
    </w:rPr>
  </w:style>
  <w:style w:type="paragraph" w:styleId="ListParagraph">
    <w:name w:val="List Paragraph"/>
    <w:basedOn w:val="Normal"/>
    <w:link w:val="ListParagraphChar"/>
    <w:uiPriority w:val="1"/>
    <w:qFormat/>
    <w:rsid w:val="006F2CF3"/>
    <w:pPr>
      <w:numPr>
        <w:numId w:val="10"/>
      </w:numPr>
      <w:spacing w:before="40" w:after="40"/>
      <w:ind w:left="357" w:hanging="357"/>
    </w:pPr>
  </w:style>
  <w:style w:type="character" w:styleId="IntenseEmphasis">
    <w:name w:val="Intense Emphasis"/>
    <w:basedOn w:val="DefaultParagraphFont"/>
    <w:uiPriority w:val="21"/>
    <w:qFormat/>
    <w:rsid w:val="00B806E8"/>
    <w:rPr>
      <w:i/>
      <w:iCs/>
      <w:color w:val="0F4761" w:themeColor="accent1" w:themeShade="BF"/>
    </w:rPr>
  </w:style>
  <w:style w:type="paragraph" w:styleId="IntenseQuote">
    <w:name w:val="Intense Quote"/>
    <w:basedOn w:val="Normal"/>
    <w:next w:val="Normal"/>
    <w:link w:val="IntenseQuoteChar"/>
    <w:uiPriority w:val="30"/>
    <w:qFormat/>
    <w:rsid w:val="00B806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06E8"/>
    <w:rPr>
      <w:i/>
      <w:iCs/>
      <w:color w:val="0F4761" w:themeColor="accent1" w:themeShade="BF"/>
    </w:rPr>
  </w:style>
  <w:style w:type="character" w:styleId="IntenseReference">
    <w:name w:val="Intense Reference"/>
    <w:basedOn w:val="DefaultParagraphFont"/>
    <w:uiPriority w:val="32"/>
    <w:qFormat/>
    <w:rsid w:val="00B806E8"/>
    <w:rPr>
      <w:b/>
      <w:bCs/>
      <w:smallCaps/>
      <w:color w:val="0F4761" w:themeColor="accent1" w:themeShade="BF"/>
      <w:spacing w:val="5"/>
    </w:rPr>
  </w:style>
  <w:style w:type="character" w:styleId="Hyperlink">
    <w:name w:val="Hyperlink"/>
    <w:basedOn w:val="DefaultParagraphFont"/>
    <w:uiPriority w:val="99"/>
    <w:unhideWhenUsed/>
    <w:rsid w:val="00B806E8"/>
    <w:rPr>
      <w:color w:val="467886" w:themeColor="hyperlink"/>
      <w:u w:val="single"/>
    </w:rPr>
  </w:style>
  <w:style w:type="character" w:customStyle="1" w:styleId="UnresolvedMention1">
    <w:name w:val="Unresolved Mention1"/>
    <w:basedOn w:val="DefaultParagraphFont"/>
    <w:uiPriority w:val="99"/>
    <w:semiHidden/>
    <w:unhideWhenUsed/>
    <w:rsid w:val="00B806E8"/>
    <w:rPr>
      <w:color w:val="605E5C"/>
      <w:shd w:val="clear" w:color="auto" w:fill="E1DFDD"/>
    </w:rPr>
  </w:style>
  <w:style w:type="character" w:styleId="FollowedHyperlink">
    <w:name w:val="FollowedHyperlink"/>
    <w:basedOn w:val="DefaultParagraphFont"/>
    <w:uiPriority w:val="99"/>
    <w:semiHidden/>
    <w:unhideWhenUsed/>
    <w:rsid w:val="00201B02"/>
    <w:rPr>
      <w:color w:val="96607D" w:themeColor="followedHyperlink"/>
      <w:u w:val="single"/>
    </w:rPr>
  </w:style>
  <w:style w:type="paragraph" w:styleId="FootnoteText">
    <w:name w:val="footnote text"/>
    <w:basedOn w:val="Normal"/>
    <w:link w:val="FootnoteTextChar"/>
    <w:uiPriority w:val="99"/>
    <w:semiHidden/>
    <w:unhideWhenUsed/>
    <w:rsid w:val="00142343"/>
    <w:rPr>
      <w:sz w:val="20"/>
      <w:szCs w:val="20"/>
    </w:rPr>
  </w:style>
  <w:style w:type="character" w:customStyle="1" w:styleId="FootnoteTextChar">
    <w:name w:val="Footnote Text Char"/>
    <w:basedOn w:val="DefaultParagraphFont"/>
    <w:link w:val="FootnoteText"/>
    <w:uiPriority w:val="99"/>
    <w:semiHidden/>
    <w:rsid w:val="00142343"/>
    <w:rPr>
      <w:sz w:val="20"/>
      <w:szCs w:val="20"/>
    </w:rPr>
  </w:style>
  <w:style w:type="character" w:styleId="FootnoteReference">
    <w:name w:val="footnote reference"/>
    <w:basedOn w:val="DefaultParagraphFont"/>
    <w:uiPriority w:val="99"/>
    <w:semiHidden/>
    <w:unhideWhenUsed/>
    <w:rsid w:val="00142343"/>
    <w:rPr>
      <w:vertAlign w:val="superscript"/>
    </w:rPr>
  </w:style>
  <w:style w:type="paragraph" w:styleId="Header">
    <w:name w:val="header"/>
    <w:basedOn w:val="Normal"/>
    <w:link w:val="HeaderChar"/>
    <w:uiPriority w:val="99"/>
    <w:unhideWhenUsed/>
    <w:rsid w:val="00EC3A63"/>
    <w:pPr>
      <w:tabs>
        <w:tab w:val="center" w:pos="4513"/>
        <w:tab w:val="right" w:pos="9026"/>
      </w:tabs>
    </w:pPr>
  </w:style>
  <w:style w:type="character" w:customStyle="1" w:styleId="HeaderChar">
    <w:name w:val="Header Char"/>
    <w:basedOn w:val="DefaultParagraphFont"/>
    <w:link w:val="Header"/>
    <w:uiPriority w:val="99"/>
    <w:rsid w:val="00EC3A63"/>
  </w:style>
  <w:style w:type="paragraph" w:styleId="Footer">
    <w:name w:val="footer"/>
    <w:basedOn w:val="Normal"/>
    <w:link w:val="FooterChar"/>
    <w:uiPriority w:val="99"/>
    <w:unhideWhenUsed/>
    <w:rsid w:val="00EC3A63"/>
    <w:pPr>
      <w:tabs>
        <w:tab w:val="center" w:pos="4513"/>
        <w:tab w:val="right" w:pos="9026"/>
      </w:tabs>
    </w:pPr>
  </w:style>
  <w:style w:type="character" w:customStyle="1" w:styleId="FooterChar">
    <w:name w:val="Footer Char"/>
    <w:basedOn w:val="DefaultParagraphFont"/>
    <w:link w:val="Footer"/>
    <w:uiPriority w:val="99"/>
    <w:rsid w:val="00EC3A63"/>
  </w:style>
  <w:style w:type="character" w:styleId="CommentReference">
    <w:name w:val="annotation reference"/>
    <w:basedOn w:val="DefaultParagraphFont"/>
    <w:uiPriority w:val="99"/>
    <w:semiHidden/>
    <w:unhideWhenUsed/>
    <w:rsid w:val="00EC3A63"/>
    <w:rPr>
      <w:sz w:val="16"/>
      <w:szCs w:val="16"/>
    </w:rPr>
  </w:style>
  <w:style w:type="paragraph" w:styleId="CommentText">
    <w:name w:val="annotation text"/>
    <w:basedOn w:val="Normal"/>
    <w:link w:val="CommentTextChar"/>
    <w:uiPriority w:val="99"/>
    <w:unhideWhenUsed/>
    <w:rsid w:val="00EC3A63"/>
    <w:rPr>
      <w:sz w:val="20"/>
      <w:szCs w:val="20"/>
    </w:rPr>
  </w:style>
  <w:style w:type="character" w:customStyle="1" w:styleId="CommentTextChar">
    <w:name w:val="Comment Text Char"/>
    <w:basedOn w:val="DefaultParagraphFont"/>
    <w:link w:val="CommentText"/>
    <w:uiPriority w:val="99"/>
    <w:rsid w:val="00EC3A63"/>
    <w:rPr>
      <w:sz w:val="20"/>
      <w:szCs w:val="20"/>
    </w:rPr>
  </w:style>
  <w:style w:type="paragraph" w:styleId="CommentSubject">
    <w:name w:val="annotation subject"/>
    <w:basedOn w:val="CommentText"/>
    <w:next w:val="CommentText"/>
    <w:link w:val="CommentSubjectChar"/>
    <w:uiPriority w:val="99"/>
    <w:semiHidden/>
    <w:unhideWhenUsed/>
    <w:rsid w:val="00EC3A63"/>
    <w:rPr>
      <w:b/>
      <w:bCs/>
    </w:rPr>
  </w:style>
  <w:style w:type="character" w:customStyle="1" w:styleId="CommentSubjectChar">
    <w:name w:val="Comment Subject Char"/>
    <w:basedOn w:val="CommentTextChar"/>
    <w:link w:val="CommentSubject"/>
    <w:uiPriority w:val="99"/>
    <w:semiHidden/>
    <w:rsid w:val="00EC3A63"/>
    <w:rPr>
      <w:b/>
      <w:bCs/>
      <w:sz w:val="20"/>
      <w:szCs w:val="20"/>
    </w:rPr>
  </w:style>
  <w:style w:type="paragraph" w:styleId="Revision">
    <w:name w:val="Revision"/>
    <w:hidden/>
    <w:uiPriority w:val="99"/>
    <w:semiHidden/>
    <w:rsid w:val="00404B33"/>
    <w:pPr>
      <w:spacing w:after="0" w:line="240" w:lineRule="auto"/>
    </w:pPr>
  </w:style>
  <w:style w:type="paragraph" w:customStyle="1" w:styleId="Numberedpara">
    <w:name w:val="Numbered para"/>
    <w:basedOn w:val="ListParagraph"/>
    <w:link w:val="NumberedparaChar"/>
    <w:qFormat/>
    <w:rsid w:val="00B1294B"/>
    <w:pPr>
      <w:numPr>
        <w:numId w:val="12"/>
      </w:numPr>
      <w:spacing w:before="0" w:after="0"/>
      <w:ind w:left="397" w:hanging="397"/>
    </w:pPr>
  </w:style>
  <w:style w:type="character" w:customStyle="1" w:styleId="ListParagraphChar">
    <w:name w:val="List Paragraph Char"/>
    <w:basedOn w:val="DefaultParagraphFont"/>
    <w:link w:val="ListParagraph"/>
    <w:uiPriority w:val="1"/>
    <w:rsid w:val="00B1294B"/>
  </w:style>
  <w:style w:type="character" w:customStyle="1" w:styleId="NumberedparaChar">
    <w:name w:val="Numbered para Char"/>
    <w:basedOn w:val="ListParagraphChar"/>
    <w:link w:val="Numberedpara"/>
    <w:rsid w:val="00B12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E72EC-A0F2-4EC1-94F2-A3BB7D4646B3}">
  <ds:schemaRefs>
    <ds:schemaRef ds:uri="http://schemas.openxmlformats.org/officeDocument/2006/bibliography"/>
  </ds:schemaRefs>
</ds:datastoreItem>
</file>

<file path=docMetadata/LabelInfo.xml><?xml version="1.0" encoding="utf-8"?>
<clbl:labelList xmlns:clbl="http://schemas.microsoft.com/office/2020/mipLabelMetadata">
  <clbl:label id="{490a8197-7b83-4f10-89b9-83189be3835e}" enabled="0" method="" siteId="{490a8197-7b83-4f10-89b9-83189be3835e}" removed="1"/>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