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1672F" w:rsidRPr="0001672F" w:rsidP="00CD747C">
      <w:pPr>
        <w:spacing w:after="0" w:line="276" w:lineRule="auto"/>
        <w:jc w:val="both"/>
        <w:rPr>
          <w:rFonts w:ascii="Calibri" w:hAnsi="Calibri" w:cs="Calibri"/>
          <w:b/>
          <w:bCs/>
          <w:sz w:val="22"/>
          <w:szCs w:val="22"/>
        </w:rPr>
      </w:pPr>
    </w:p>
    <w:p w:rsidR="0001672F" w:rsidRPr="0001672F" w:rsidP="00CD747C">
      <w:pPr>
        <w:spacing w:after="0" w:line="276" w:lineRule="auto"/>
        <w:jc w:val="center"/>
        <w:rPr>
          <w:rFonts w:ascii="Calibri" w:hAnsi="Calibri" w:cs="Calibri"/>
          <w:b/>
          <w:bCs/>
          <w:color w:val="610064"/>
          <w:sz w:val="22"/>
          <w:szCs w:val="22"/>
        </w:rPr>
      </w:pPr>
    </w:p>
    <w:p w:rsidR="0001672F" w:rsidRPr="0001672F" w:rsidP="00CD747C">
      <w:pPr>
        <w:spacing w:after="0" w:line="276" w:lineRule="auto"/>
        <w:jc w:val="center"/>
        <w:rPr>
          <w:rFonts w:ascii="Calibri" w:hAnsi="Calibri" w:cs="Calibri"/>
          <w:b/>
          <w:bCs/>
          <w:color w:val="610064"/>
          <w:sz w:val="22"/>
          <w:szCs w:val="22"/>
        </w:rPr>
      </w:pPr>
    </w:p>
    <w:p w:rsidR="0001672F" w:rsidRPr="0001672F" w:rsidP="00CD747C">
      <w:pPr>
        <w:spacing w:after="0" w:line="276" w:lineRule="auto"/>
        <w:jc w:val="center"/>
        <w:rPr>
          <w:rFonts w:ascii="Calibri" w:hAnsi="Calibri" w:cs="Calibri"/>
          <w:b/>
          <w:bCs/>
          <w:color w:val="610064"/>
          <w:sz w:val="22"/>
          <w:szCs w:val="22"/>
        </w:rPr>
      </w:pPr>
    </w:p>
    <w:p w:rsidR="0001672F" w:rsidRPr="0001672F" w:rsidP="00CD747C">
      <w:pPr>
        <w:spacing w:after="0" w:line="276" w:lineRule="auto"/>
        <w:jc w:val="center"/>
        <w:rPr>
          <w:rFonts w:ascii="Calibri" w:hAnsi="Calibri" w:cs="Calibri"/>
          <w:b/>
          <w:bCs/>
          <w:color w:val="610064"/>
          <w:sz w:val="22"/>
          <w:szCs w:val="22"/>
        </w:rPr>
      </w:pPr>
    </w:p>
    <w:p w:rsidR="0001672F" w:rsidRPr="0001672F" w:rsidP="0001672F">
      <w:pPr>
        <w:spacing w:after="0" w:line="276" w:lineRule="auto"/>
        <w:jc w:val="center"/>
        <w:rPr>
          <w:rFonts w:ascii="Calibri" w:hAnsi="Calibri" w:eastAsiaTheme="minorEastAsia" w:cs="Calibri"/>
          <w:b/>
          <w:bCs/>
          <w:kern w:val="0"/>
          <w:sz w:val="22"/>
          <w:szCs w:val="22"/>
        </w:rPr>
      </w:pPr>
      <w:r w:rsidRPr="0001672F">
        <w:rPr>
          <w:rFonts w:ascii="Calibri" w:hAnsi="Calibri" w:eastAsiaTheme="minorEastAsia" w:cs="Calibri"/>
          <w:b/>
          <w:bCs/>
          <w:kern w:val="0"/>
          <w:sz w:val="22"/>
          <w:szCs w:val="22"/>
        </w:rPr>
        <w:t xml:space="preserve">Written evidence by </w:t>
      </w:r>
      <w:r w:rsidRPr="0001672F">
        <w:rPr>
          <w:rFonts w:ascii="Calibri" w:hAnsi="Calibri" w:eastAsiaTheme="minorEastAsia" w:cs="Calibri"/>
          <w:b/>
          <w:bCs/>
          <w:kern w:val="0"/>
          <w:sz w:val="22"/>
          <w:szCs w:val="22"/>
        </w:rPr>
        <w:t>Aston University</w:t>
      </w:r>
      <w:r w:rsidRPr="0001672F">
        <w:rPr>
          <w:rFonts w:ascii="Calibri" w:hAnsi="Calibri" w:eastAsiaTheme="minorEastAsia" w:cs="Calibri"/>
          <w:b/>
          <w:bCs/>
          <w:kern w:val="0"/>
          <w:sz w:val="22"/>
          <w:szCs w:val="22"/>
        </w:rPr>
        <w:t xml:space="preserve"> (</w:t>
      </w:r>
      <w:r w:rsidRPr="0001672F">
        <w:rPr>
          <w:rFonts w:ascii="Calibri" w:hAnsi="Calibri" w:eastAsiaTheme="minorEastAsia" w:cs="Calibri"/>
          <w:b/>
          <w:bCs/>
          <w:kern w:val="0"/>
          <w:sz w:val="22"/>
          <w:szCs w:val="22"/>
        </w:rPr>
        <w:t>HEF0016</w:t>
      </w:r>
      <w:r w:rsidRPr="0001672F">
        <w:rPr>
          <w:rFonts w:ascii="Calibri" w:hAnsi="Calibri" w:eastAsiaTheme="minorEastAsia" w:cs="Calibri"/>
          <w:b/>
          <w:bCs/>
          <w:kern w:val="0"/>
          <w:sz w:val="22"/>
          <w:szCs w:val="22"/>
        </w:rPr>
        <w:t>)</w:t>
      </w:r>
    </w:p>
    <w:p w:rsidR="0001672F" w:rsidRPr="0001672F" w:rsidP="0001672F">
      <w:pPr>
        <w:spacing w:after="0" w:line="276" w:lineRule="auto"/>
        <w:rPr>
          <w:rFonts w:ascii="Calibri" w:hAnsi="Calibri" w:eastAsiaTheme="minorEastAsia" w:cs="Calibri"/>
          <w:b/>
          <w:bCs/>
          <w:kern w:val="0"/>
          <w:sz w:val="22"/>
          <w:szCs w:val="22"/>
        </w:rPr>
      </w:pPr>
    </w:p>
    <w:p w:rsidR="0001672F" w:rsidRPr="0001672F" w:rsidP="0001672F">
      <w:pPr>
        <w:spacing w:after="0" w:line="276" w:lineRule="auto"/>
        <w:rPr>
          <w:rFonts w:ascii="Calibri" w:hAnsi="Calibri" w:eastAsiaTheme="minorEastAsia" w:cs="Calibri"/>
          <w:b/>
          <w:bCs/>
          <w:kern w:val="0"/>
          <w:sz w:val="22"/>
          <w:szCs w:val="22"/>
        </w:rPr>
      </w:pPr>
      <w:r w:rsidRPr="0001672F">
        <w:rPr>
          <w:rFonts w:ascii="Calibri" w:hAnsi="Calibri" w:eastAsiaTheme="minorEastAsia" w:cs="Calibri"/>
          <w:b/>
          <w:bCs/>
          <w:kern w:val="0"/>
          <w:sz w:val="22"/>
          <w:szCs w:val="22"/>
        </w:rPr>
        <w:t>Education Committee Inquiry</w:t>
      </w:r>
    </w:p>
    <w:p w:rsidR="0001672F" w:rsidRPr="0001672F" w:rsidP="0001672F">
      <w:pPr>
        <w:spacing w:after="0" w:line="276" w:lineRule="auto"/>
        <w:rPr>
          <w:rFonts w:ascii="Calibri" w:hAnsi="Calibri" w:eastAsiaTheme="minorEastAsia" w:cs="Calibri"/>
          <w:b/>
          <w:iCs/>
          <w:kern w:val="0"/>
          <w:sz w:val="22"/>
          <w:szCs w:val="22"/>
        </w:rPr>
      </w:pPr>
      <w:r w:rsidRPr="0001672F">
        <w:rPr>
          <w:rFonts w:ascii="Calibri" w:hAnsi="Calibri" w:eastAsiaTheme="minorEastAsia" w:cs="Calibri"/>
          <w:b/>
          <w:iCs/>
          <w:kern w:val="0"/>
          <w:sz w:val="22"/>
          <w:szCs w:val="22"/>
        </w:rPr>
        <w:t>Higher Education and Funding: Threat of Insolvency and International Students</w:t>
      </w:r>
    </w:p>
    <w:p w:rsidR="0001672F" w:rsidRPr="0001672F" w:rsidP="0001672F">
      <w:pPr>
        <w:spacing w:after="0" w:line="276" w:lineRule="auto"/>
        <w:rPr>
          <w:rFonts w:ascii="Calibri" w:hAnsi="Calibri" w:eastAsiaTheme="minorEastAsia" w:cs="Calibri"/>
          <w:b/>
          <w:bCs/>
          <w:color w:val="5A2D67"/>
          <w:kern w:val="0"/>
          <w:sz w:val="22"/>
          <w:szCs w:val="22"/>
        </w:rPr>
      </w:pPr>
    </w:p>
    <w:p w:rsidR="0001672F" w:rsidRPr="0001672F" w:rsidP="00CD747C">
      <w:pPr>
        <w:spacing w:after="0" w:line="276" w:lineRule="auto"/>
        <w:jc w:val="both"/>
        <w:rPr>
          <w:rFonts w:ascii="Calibri" w:hAnsi="Calibri" w:eastAsiaTheme="minorEastAsia" w:cs="Calibri"/>
          <w:b/>
          <w:bCs/>
          <w:color w:val="5A2D67"/>
          <w:kern w:val="0"/>
          <w:sz w:val="22"/>
          <w:szCs w:val="22"/>
        </w:rPr>
      </w:pPr>
    </w:p>
    <w:p w:rsidR="0001672F" w:rsidRPr="0001672F" w:rsidP="00CD747C">
      <w:pPr>
        <w:spacing w:after="0" w:line="276" w:lineRule="auto"/>
        <w:jc w:val="both"/>
        <w:rPr>
          <w:rFonts w:ascii="Calibri" w:hAnsi="Calibri" w:cs="Calibri"/>
          <w:color w:val="610064"/>
          <w:sz w:val="22"/>
          <w:szCs w:val="22"/>
          <w:u w:val="single"/>
        </w:rPr>
      </w:pPr>
      <w:r w:rsidRPr="0001672F">
        <w:rPr>
          <w:rFonts w:ascii="Calibri" w:hAnsi="Calibri" w:eastAsiaTheme="minorEastAsia" w:cs="Calibri"/>
          <w:color w:val="5A2D67"/>
          <w:kern w:val="0"/>
          <w:sz w:val="22"/>
          <w:szCs w:val="22"/>
          <w:u w:val="single"/>
        </w:rPr>
        <w:t>Impact of Government Policy on International Students</w:t>
      </w:r>
    </w:p>
    <w:p w:rsidR="0001672F" w:rsidRPr="0001672F" w:rsidP="00CD747C">
      <w:pPr>
        <w:spacing w:after="0" w:line="276" w:lineRule="auto"/>
        <w:jc w:val="both"/>
        <w:rPr>
          <w:rFonts w:ascii="Calibri" w:hAnsi="Calibri" w:cs="Calibri"/>
          <w:b/>
          <w:bCs/>
          <w:color w:val="610064"/>
          <w:sz w:val="22"/>
          <w:szCs w:val="22"/>
        </w:rPr>
      </w:pPr>
    </w:p>
    <w:p w:rsidR="0001672F" w:rsidRPr="0001672F" w:rsidP="00CD747C">
      <w:pPr>
        <w:pStyle w:val="ListParagraph"/>
        <w:numPr>
          <w:ilvl w:val="0"/>
          <w:numId w:val="3"/>
        </w:numPr>
        <w:spacing w:after="0" w:line="276" w:lineRule="auto"/>
        <w:jc w:val="both"/>
        <w:rPr>
          <w:rFonts w:ascii="Calibri" w:hAnsi="Calibri" w:cs="Calibri"/>
          <w:b/>
          <w:bCs/>
          <w:sz w:val="22"/>
          <w:szCs w:val="22"/>
        </w:rPr>
      </w:pPr>
      <w:r w:rsidRPr="0001672F">
        <w:rPr>
          <w:rFonts w:ascii="Calibri" w:hAnsi="Calibri" w:cs="Calibri"/>
          <w:b/>
          <w:bCs/>
          <w:sz w:val="22"/>
          <w:szCs w:val="22"/>
        </w:rPr>
        <w:t xml:space="preserve">How will current Government policies affect the financial stability of higher </w:t>
      </w:r>
      <w:r w:rsidRPr="0001672F">
        <w:rPr>
          <w:rFonts w:ascii="Calibri" w:hAnsi="Calibri" w:cs="Calibri"/>
          <w:b/>
          <w:bCs/>
          <w:sz w:val="22"/>
          <w:szCs w:val="22"/>
        </w:rPr>
        <w:t>education institutions?</w:t>
      </w:r>
    </w:p>
    <w:p w:rsidR="0001672F" w:rsidRPr="0001672F" w:rsidP="00CD747C">
      <w:pPr>
        <w:pStyle w:val="ListParagraph"/>
        <w:spacing w:after="0" w:line="276" w:lineRule="auto"/>
        <w:jc w:val="both"/>
        <w:rPr>
          <w:rFonts w:ascii="Calibri" w:hAnsi="Calibri" w:cs="Calibri"/>
          <w:b/>
          <w:bCs/>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 xml:space="preserve">The UK needs universities, and universities need stability. The higher education sector is already in financial crisis and </w:t>
      </w:r>
      <w:r w:rsidRPr="0001672F">
        <w:rPr>
          <w:rFonts w:ascii="Calibri" w:hAnsi="Calibri" w:cs="Calibri"/>
          <w:sz w:val="22"/>
          <w:szCs w:val="22"/>
        </w:rPr>
        <w:t>policy direction and decisions</w:t>
      </w:r>
      <w:r w:rsidRPr="0001672F">
        <w:rPr>
          <w:rFonts w:ascii="Calibri" w:hAnsi="Calibri" w:cs="Calibri"/>
          <w:sz w:val="22"/>
          <w:szCs w:val="22"/>
        </w:rPr>
        <w:t xml:space="preserve"> are deepening that crisis. Urgent, supportive and collaborative action is needed from the Government, with policies that enable universities to </w:t>
      </w:r>
      <w:r w:rsidRPr="0001672F">
        <w:rPr>
          <w:rFonts w:ascii="Calibri" w:hAnsi="Calibri" w:cs="Calibri"/>
          <w:sz w:val="22"/>
          <w:szCs w:val="22"/>
        </w:rPr>
        <w:t xml:space="preserve">fully </w:t>
      </w:r>
      <w:r w:rsidRPr="0001672F">
        <w:rPr>
          <w:rFonts w:ascii="Calibri" w:hAnsi="Calibri" w:cs="Calibri"/>
          <w:sz w:val="22"/>
          <w:szCs w:val="22"/>
        </w:rPr>
        <w:t>financially recover, rather than plac</w:t>
      </w:r>
      <w:r w:rsidRPr="0001672F">
        <w:rPr>
          <w:rFonts w:ascii="Calibri" w:hAnsi="Calibri" w:cs="Calibri"/>
          <w:sz w:val="22"/>
          <w:szCs w:val="22"/>
        </w:rPr>
        <w:t xml:space="preserve">ing </w:t>
      </w:r>
      <w:r w:rsidRPr="0001672F">
        <w:rPr>
          <w:rFonts w:ascii="Calibri" w:hAnsi="Calibri" w:cs="Calibri"/>
          <w:sz w:val="22"/>
          <w:szCs w:val="22"/>
        </w:rPr>
        <w:t xml:space="preserve">further financial uncertainty and strain on the sector. Any policy that limits or threatens key sources of funding for higher education institutions places the future of universities at risk. </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 xml:space="preserve">Analysis from Universities UK estimates that policy announcements </w:t>
      </w:r>
      <w:r w:rsidRPr="0001672F">
        <w:rPr>
          <w:rFonts w:ascii="Calibri" w:hAnsi="Calibri" w:cs="Calibri"/>
          <w:sz w:val="22"/>
          <w:szCs w:val="22"/>
        </w:rPr>
        <w:t xml:space="preserve">under the current government </w:t>
      </w:r>
      <w:r w:rsidRPr="0001672F">
        <w:rPr>
          <w:rFonts w:ascii="Calibri" w:hAnsi="Calibri" w:cs="Calibri"/>
          <w:sz w:val="22"/>
          <w:szCs w:val="22"/>
        </w:rPr>
        <w:t xml:space="preserve">will reduce funding to higher education providers in England by </w:t>
      </w:r>
      <w:r w:rsidRPr="0001672F">
        <w:rPr>
          <w:rFonts w:ascii="Calibri" w:hAnsi="Calibri" w:cs="Calibri"/>
          <w:sz w:val="22"/>
          <w:szCs w:val="22"/>
        </w:rPr>
        <w:t xml:space="preserve">a net figure of </w:t>
      </w:r>
      <w:r w:rsidRPr="0001672F">
        <w:rPr>
          <w:rFonts w:ascii="Calibri" w:hAnsi="Calibri" w:cs="Calibri"/>
          <w:sz w:val="22"/>
          <w:szCs w:val="22"/>
        </w:rPr>
        <w:t xml:space="preserve">approximately £1.4bn in 2025-26. The analysis includes confirmed policy intentions, announced policies, and funding allocations. </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 xml:space="preserve">Many universities across England have restructured, reduced staffing or implemented recruitment freezes, sold assets, pivoted towards a </w:t>
      </w:r>
      <w:r w:rsidRPr="0001672F">
        <w:rPr>
          <w:rFonts w:ascii="Calibri" w:hAnsi="Calibri" w:cs="Calibri"/>
          <w:sz w:val="22"/>
          <w:szCs w:val="22"/>
        </w:rPr>
        <w:t xml:space="preserve">more </w:t>
      </w:r>
      <w:r w:rsidRPr="0001672F">
        <w:rPr>
          <w:rFonts w:ascii="Calibri" w:hAnsi="Calibri" w:cs="Calibri"/>
          <w:sz w:val="22"/>
          <w:szCs w:val="22"/>
        </w:rPr>
        <w:t>commercial</w:t>
      </w:r>
      <w:r w:rsidRPr="0001672F">
        <w:rPr>
          <w:rFonts w:ascii="Calibri" w:hAnsi="Calibri" w:cs="Calibri"/>
          <w:sz w:val="22"/>
          <w:szCs w:val="22"/>
        </w:rPr>
        <w:t>ly focused</w:t>
      </w:r>
      <w:r w:rsidRPr="0001672F">
        <w:rPr>
          <w:rFonts w:ascii="Calibri" w:hAnsi="Calibri" w:cs="Calibri"/>
          <w:sz w:val="22"/>
          <w:szCs w:val="22"/>
        </w:rPr>
        <w:t xml:space="preserve"> model of operation, and made significant savings and efficiencies where possible. Many are still cutting further and deeper, with courses being at risk or stopped, and the soul of higher education being lost to yet another cost-cutting exercise. </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 xml:space="preserve">At Aston University, we have </w:t>
      </w:r>
      <w:r w:rsidRPr="0001672F">
        <w:rPr>
          <w:rFonts w:ascii="Calibri" w:hAnsi="Calibri" w:cs="Calibri"/>
          <w:sz w:val="22"/>
          <w:szCs w:val="22"/>
        </w:rPr>
        <w:t>placed</w:t>
      </w:r>
      <w:r w:rsidRPr="0001672F">
        <w:rPr>
          <w:rFonts w:ascii="Calibri" w:hAnsi="Calibri" w:cs="Calibri"/>
          <w:sz w:val="22"/>
          <w:szCs w:val="22"/>
        </w:rPr>
        <w:t xml:space="preserve"> financial security and improvement the heart of our Aston 2030 Strategy</w:t>
      </w:r>
      <w:r w:rsidRPr="0001672F">
        <w:rPr>
          <w:rFonts w:ascii="Calibri" w:hAnsi="Calibri" w:cs="Calibri"/>
          <w:sz w:val="22"/>
          <w:szCs w:val="22"/>
        </w:rPr>
        <w:t>, because we know it is the biggest risk that we face</w:t>
      </w:r>
      <w:r w:rsidRPr="0001672F">
        <w:rPr>
          <w:rFonts w:ascii="Calibri" w:hAnsi="Calibri" w:cs="Calibri"/>
          <w:sz w:val="22"/>
          <w:szCs w:val="22"/>
        </w:rPr>
        <w:t>.</w:t>
      </w:r>
      <w:r w:rsidRPr="0001672F">
        <w:rPr>
          <w:rFonts w:ascii="Calibri" w:hAnsi="Calibri" w:cs="Calibri"/>
          <w:sz w:val="22"/>
          <w:szCs w:val="22"/>
        </w:rPr>
        <w:t xml:space="preserve"> </w:t>
      </w:r>
      <w:r w:rsidRPr="0001672F">
        <w:rPr>
          <w:rFonts w:ascii="Calibri" w:hAnsi="Calibri" w:cs="Calibri"/>
          <w:sz w:val="22"/>
          <w:szCs w:val="22"/>
        </w:rPr>
        <w:t xml:space="preserve">But it is no secret that higher education – through years of domestic fee freezes, caps on international student numbers, and other policy announcements – faces a future that is as uncertain today as it was just over a year ago. </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p>
    <w:p w:rsidR="0001672F" w:rsidRPr="0001672F" w:rsidP="00CD747C">
      <w:pPr>
        <w:pStyle w:val="ListParagraph"/>
        <w:numPr>
          <w:ilvl w:val="0"/>
          <w:numId w:val="3"/>
        </w:numPr>
        <w:spacing w:after="0" w:line="276" w:lineRule="auto"/>
        <w:jc w:val="both"/>
        <w:rPr>
          <w:rFonts w:ascii="Calibri" w:hAnsi="Calibri" w:cs="Calibri"/>
          <w:b/>
          <w:bCs/>
          <w:sz w:val="22"/>
          <w:szCs w:val="22"/>
        </w:rPr>
      </w:pPr>
      <w:r w:rsidRPr="0001672F">
        <w:rPr>
          <w:rFonts w:ascii="Calibri" w:hAnsi="Calibri" w:cs="Calibri"/>
          <w:b/>
          <w:bCs/>
          <w:sz w:val="22"/>
          <w:szCs w:val="22"/>
        </w:rPr>
        <w:t xml:space="preserve">What </w:t>
      </w:r>
      <w:r w:rsidRPr="0001672F">
        <w:rPr>
          <w:rFonts w:ascii="Calibri" w:hAnsi="Calibri" w:cs="Calibri"/>
          <w:b/>
          <w:bCs/>
          <w:sz w:val="22"/>
          <w:szCs w:val="22"/>
        </w:rPr>
        <w:t>implications will these policies have on future tuition fee increases?</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 xml:space="preserve">International student fees are a critical income stream for universities. As well as being an academic and social asset to our universities, communities and countries, the revenue that international students contribute is </w:t>
      </w:r>
      <w:r w:rsidRPr="0001672F">
        <w:rPr>
          <w:rFonts w:ascii="Calibri" w:hAnsi="Calibri" w:cs="Calibri"/>
          <w:sz w:val="22"/>
          <w:szCs w:val="22"/>
        </w:rPr>
        <w:t>central to the financial sustainability</w:t>
      </w:r>
      <w:r w:rsidRPr="0001672F">
        <w:rPr>
          <w:rFonts w:ascii="Calibri" w:hAnsi="Calibri" w:cs="Calibri"/>
          <w:sz w:val="22"/>
          <w:szCs w:val="22"/>
        </w:rPr>
        <w:t xml:space="preserve"> of higher education courses and institutions. If the Government is to maintain a largely frozen domestic tuition fee landscape (with only one minimal increase in domestic fees since 2017), then it </w:t>
      </w:r>
      <w:r w:rsidRPr="0001672F">
        <w:rPr>
          <w:rFonts w:ascii="Calibri" w:hAnsi="Calibri" w:cs="Calibri"/>
          <w:sz w:val="22"/>
          <w:szCs w:val="22"/>
        </w:rPr>
        <w:t>should recognise</w:t>
      </w:r>
      <w:r w:rsidRPr="0001672F">
        <w:rPr>
          <w:rFonts w:ascii="Calibri" w:hAnsi="Calibri" w:cs="Calibri"/>
          <w:sz w:val="22"/>
          <w:szCs w:val="22"/>
        </w:rPr>
        <w:t xml:space="preserve"> that international student fee revenue </w:t>
      </w:r>
      <w:r w:rsidRPr="0001672F">
        <w:rPr>
          <w:rFonts w:ascii="Calibri" w:hAnsi="Calibri" w:cs="Calibri"/>
          <w:sz w:val="22"/>
          <w:szCs w:val="22"/>
        </w:rPr>
        <w:t>is essential to maintain financial sustainability</w:t>
      </w:r>
      <w:r w:rsidRPr="0001672F">
        <w:rPr>
          <w:rFonts w:ascii="Calibri" w:hAnsi="Calibri" w:cs="Calibri"/>
          <w:sz w:val="22"/>
          <w:szCs w:val="22"/>
        </w:rPr>
        <w:t xml:space="preserve">. This is unavoidable, even </w:t>
      </w:r>
      <w:r w:rsidRPr="0001672F">
        <w:rPr>
          <w:rFonts w:ascii="Calibri" w:hAnsi="Calibri" w:cs="Calibri"/>
          <w:sz w:val="22"/>
          <w:szCs w:val="22"/>
        </w:rPr>
        <w:t>in light of</w:t>
      </w:r>
      <w:r w:rsidRPr="0001672F">
        <w:rPr>
          <w:rFonts w:ascii="Calibri" w:hAnsi="Calibri" w:cs="Calibri"/>
          <w:sz w:val="22"/>
          <w:szCs w:val="22"/>
        </w:rPr>
        <w:t xml:space="preserve"> the significant commercialisation, cost-cutting and restructuring of other parts of higher education institutions. </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 xml:space="preserve">Aston University’s international student fees were reviewed and increased for 2026-27 entry, and when we were informed about the potential levy to be imposed on international student income, they were subject to further review and increase. Increases in our international student fees are directly linked to government policy decisions. Combined </w:t>
      </w:r>
      <w:r w:rsidRPr="0001672F">
        <w:rPr>
          <w:rFonts w:ascii="Calibri" w:hAnsi="Calibri" w:cs="Calibri"/>
          <w:sz w:val="22"/>
          <w:szCs w:val="22"/>
        </w:rPr>
        <w:t xml:space="preserve">with long-term freeze on domestic fees, rising costs and pay inflation, visa restrictions and proposed levies on overseas income, have created financial pressures placing more importance on international fee income to maintain financial sustainability. </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 xml:space="preserve">It is also important to note that by government policies making the UK less competitive in the global international student market, it has raised competition between UK universities over the smaller pool of potential international students. This means that many universities are spending more money on agent fees and incentives for students such as scholarships and bursaries. So, whilst international student fees are rising, universities are facing increases costs of recruitment.   </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p>
    <w:p w:rsidR="0001672F" w:rsidRPr="0001672F" w:rsidP="00CD747C">
      <w:pPr>
        <w:pStyle w:val="ListParagraph"/>
        <w:numPr>
          <w:ilvl w:val="0"/>
          <w:numId w:val="3"/>
        </w:numPr>
        <w:spacing w:after="0" w:line="276" w:lineRule="auto"/>
        <w:jc w:val="both"/>
        <w:rPr>
          <w:rFonts w:ascii="Calibri" w:hAnsi="Calibri" w:cs="Calibri"/>
          <w:b/>
          <w:bCs/>
          <w:sz w:val="22"/>
          <w:szCs w:val="22"/>
        </w:rPr>
      </w:pPr>
      <w:r w:rsidRPr="0001672F">
        <w:rPr>
          <w:rFonts w:ascii="Calibri" w:hAnsi="Calibri" w:cs="Calibri"/>
          <w:b/>
          <w:bCs/>
          <w:sz w:val="22"/>
          <w:szCs w:val="22"/>
        </w:rPr>
        <w:t>How will the interaction between international student enrolment and tuition fees shape the sector’s financial outlook?</w:t>
      </w:r>
    </w:p>
    <w:p w:rsidR="0001672F" w:rsidRPr="0001672F" w:rsidP="00CD747C">
      <w:pPr>
        <w:pStyle w:val="ListParagraph"/>
        <w:spacing w:after="0" w:line="276" w:lineRule="auto"/>
        <w:jc w:val="both"/>
        <w:rPr>
          <w:rFonts w:ascii="Calibri" w:hAnsi="Calibri" w:cs="Calibri"/>
          <w:b/>
          <w:bCs/>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More than four in ten universities are expected to be in financial deficit by the summer. More than £1.4bn has been taken out of the higher education sector in the last academic year. Many universities have restructured, sold assets, reduced staffing, increased their commercialisation, and closed courses. Yet the sector remains in dire financial straits.</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International student fees are a critical source of income</w:t>
      </w:r>
      <w:r w:rsidRPr="0001672F">
        <w:rPr>
          <w:rFonts w:ascii="Calibri" w:hAnsi="Calibri" w:cs="Calibri"/>
          <w:sz w:val="22"/>
          <w:szCs w:val="22"/>
        </w:rPr>
        <w:t xml:space="preserve"> and, despite some positive rhetoric from the Secretary of State for Education, the policy direction of this Government is overtly anti-international student. Policies such as reducing the post-study stay time to 18 months and changing dependency visa requirements directly </w:t>
      </w:r>
      <w:r w:rsidRPr="0001672F">
        <w:rPr>
          <w:rFonts w:ascii="Calibri" w:hAnsi="Calibri" w:cs="Calibri"/>
          <w:sz w:val="22"/>
          <w:szCs w:val="22"/>
        </w:rPr>
        <w:t xml:space="preserve">limit and reduce the number of international students coming to the UK. Indeed, the number of international students was almost 16% lower last year than previously expected. The impact of this is </w:t>
      </w:r>
      <w:r w:rsidRPr="0001672F">
        <w:rPr>
          <w:rFonts w:ascii="Calibri" w:hAnsi="Calibri" w:cs="Calibri"/>
          <w:sz w:val="22"/>
          <w:szCs w:val="22"/>
        </w:rPr>
        <w:t>significant.</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The Office for Students ha</w:t>
      </w:r>
      <w:r w:rsidRPr="0001672F">
        <w:rPr>
          <w:rFonts w:ascii="Calibri" w:hAnsi="Calibri" w:cs="Calibri"/>
          <w:sz w:val="22"/>
          <w:szCs w:val="22"/>
        </w:rPr>
        <w:t>s</w:t>
      </w:r>
      <w:r w:rsidRPr="0001672F">
        <w:rPr>
          <w:rFonts w:ascii="Calibri" w:hAnsi="Calibri" w:cs="Calibri"/>
          <w:sz w:val="22"/>
          <w:szCs w:val="22"/>
        </w:rPr>
        <w:t xml:space="preserve"> highlighted the reduction in international student numbers as the primary reason for the sector’s financial crisis. Income must be sourced from somewhere, and the Government must decide if this is from domestic fees or international fees. </w:t>
      </w:r>
      <w:r w:rsidRPr="0001672F">
        <w:rPr>
          <w:rFonts w:ascii="Calibri" w:hAnsi="Calibri" w:cs="Calibri"/>
          <w:sz w:val="22"/>
          <w:szCs w:val="22"/>
        </w:rPr>
        <w:t>The policy proposal to include a levy on international fees is frankly absurd, given that this will take desperately needed income away from universities. Whilst we appreciate the government’s desire to address skills needs at all levels, this cannot be done solely at th</w:t>
      </w:r>
      <w:r w:rsidRPr="0001672F">
        <w:rPr>
          <w:rFonts w:ascii="Calibri" w:hAnsi="Calibri" w:cs="Calibri"/>
          <w:sz w:val="22"/>
          <w:szCs w:val="22"/>
        </w:rPr>
        <w:t xml:space="preserve">e expense of universities. </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This direction of travel has continued over to the new Government and must change course to protect the very survival of higher education in England. International students are a contributor – academically, culturally, and economically</w:t>
      </w:r>
      <w:r w:rsidRPr="0001672F">
        <w:rPr>
          <w:rFonts w:ascii="Calibri" w:hAnsi="Calibri" w:cs="Calibri"/>
          <w:sz w:val="22"/>
          <w:szCs w:val="22"/>
        </w:rPr>
        <w:t xml:space="preserve"> [contributing £4.3bn to the West Midlands and £37.4bn to the UK economy each year]</w:t>
      </w:r>
      <w:r w:rsidRPr="0001672F">
        <w:rPr>
          <w:rFonts w:ascii="Calibri" w:hAnsi="Calibri" w:cs="Calibri"/>
          <w:sz w:val="22"/>
          <w:szCs w:val="22"/>
        </w:rPr>
        <w:t xml:space="preserve"> – and we implore the Government to rethink its approach and work in collaboration with the higher education sector to maximise the economic contribution and value of international students. Without this, even with the significant measures universities across England have taken, the financial crisis will deepen, and irreversible damage will be done. </w:t>
      </w:r>
      <w:bookmarkStart w:id="0" w:name="_Hlk203373584"/>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eastAsiaTheme="minorEastAsia" w:cs="Calibri"/>
          <w:color w:val="5A2D67"/>
          <w:kern w:val="0"/>
          <w:sz w:val="22"/>
          <w:szCs w:val="22"/>
          <w:u w:val="single"/>
        </w:rPr>
      </w:pPr>
      <w:r w:rsidRPr="0001672F">
        <w:rPr>
          <w:rFonts w:ascii="Calibri" w:hAnsi="Calibri" w:eastAsiaTheme="minorEastAsia" w:cs="Calibri"/>
          <w:color w:val="5A2D67"/>
          <w:kern w:val="0"/>
          <w:sz w:val="22"/>
          <w:szCs w:val="22"/>
          <w:u w:val="single"/>
        </w:rPr>
        <w:t>Higher Education Insolvency Protections</w:t>
      </w:r>
    </w:p>
    <w:p w:rsidR="0001672F" w:rsidRPr="0001672F" w:rsidP="00CD747C">
      <w:pPr>
        <w:pStyle w:val="ListParagraph"/>
        <w:spacing w:after="0" w:line="276" w:lineRule="auto"/>
        <w:ind w:left="360"/>
        <w:jc w:val="both"/>
        <w:rPr>
          <w:rFonts w:ascii="Calibri" w:hAnsi="Calibri" w:cs="Calibri"/>
          <w:sz w:val="22"/>
          <w:szCs w:val="22"/>
        </w:rPr>
      </w:pPr>
    </w:p>
    <w:p w:rsidR="0001672F" w:rsidRPr="0001672F" w:rsidP="00CD747C">
      <w:pPr>
        <w:pStyle w:val="ListParagraph"/>
        <w:numPr>
          <w:ilvl w:val="0"/>
          <w:numId w:val="2"/>
        </w:numPr>
        <w:spacing w:after="0" w:line="276" w:lineRule="auto"/>
        <w:jc w:val="both"/>
        <w:rPr>
          <w:rFonts w:ascii="Calibri" w:hAnsi="Calibri" w:cs="Calibri"/>
          <w:b/>
          <w:bCs/>
          <w:sz w:val="22"/>
          <w:szCs w:val="22"/>
        </w:rPr>
      </w:pPr>
      <w:bookmarkEnd w:id="0"/>
      <w:r w:rsidRPr="0001672F">
        <w:rPr>
          <w:rFonts w:ascii="Calibri" w:hAnsi="Calibri" w:cs="Calibri"/>
          <w:b/>
          <w:bCs/>
          <w:sz w:val="22"/>
          <w:szCs w:val="22"/>
        </w:rPr>
        <w:t xml:space="preserve">What is the </w:t>
      </w:r>
      <w:r w:rsidRPr="0001672F">
        <w:rPr>
          <w:rFonts w:ascii="Calibri" w:hAnsi="Calibri" w:cs="Calibri"/>
          <w:b/>
          <w:bCs/>
          <w:sz w:val="22"/>
          <w:szCs w:val="22"/>
        </w:rPr>
        <w:t>current state of insolvency processes for higher education institutions?</w:t>
      </w:r>
    </w:p>
    <w:p w:rsidR="0001672F" w:rsidRPr="0001672F" w:rsidP="00CD747C">
      <w:pPr>
        <w:pStyle w:val="ListParagraph"/>
        <w:spacing w:after="0" w:line="276" w:lineRule="auto"/>
        <w:jc w:val="both"/>
        <w:rPr>
          <w:rFonts w:ascii="Calibri" w:hAnsi="Calibri" w:cs="Calibri"/>
          <w:b/>
          <w:bCs/>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 xml:space="preserve">There is little information or precedence for insolvency </w:t>
      </w:r>
      <w:r w:rsidRPr="0001672F">
        <w:rPr>
          <w:rFonts w:ascii="Calibri" w:hAnsi="Calibri" w:cs="Calibri"/>
          <w:sz w:val="22"/>
          <w:szCs w:val="22"/>
        </w:rPr>
        <w:t xml:space="preserve">within the </w:t>
      </w:r>
      <w:r w:rsidRPr="0001672F">
        <w:rPr>
          <w:rFonts w:ascii="Calibri" w:hAnsi="Calibri" w:cs="Calibri"/>
          <w:sz w:val="22"/>
          <w:szCs w:val="22"/>
        </w:rPr>
        <w:t xml:space="preserve">higher education </w:t>
      </w:r>
      <w:r w:rsidRPr="0001672F">
        <w:rPr>
          <w:rFonts w:ascii="Calibri" w:hAnsi="Calibri" w:cs="Calibri"/>
          <w:sz w:val="22"/>
          <w:szCs w:val="22"/>
        </w:rPr>
        <w:t xml:space="preserve">sector </w:t>
      </w:r>
      <w:r w:rsidRPr="0001672F">
        <w:rPr>
          <w:rFonts w:ascii="Calibri" w:hAnsi="Calibri" w:cs="Calibri"/>
          <w:sz w:val="22"/>
          <w:szCs w:val="22"/>
        </w:rPr>
        <w:t xml:space="preserve">currently, and this is a situation that needs to be rectified. Whilst insolvency would be a devastating outcome for any higher education institution and the students, communities, businesses and economy it supports, the current lack of </w:t>
      </w:r>
      <w:r w:rsidRPr="0001672F">
        <w:rPr>
          <w:rFonts w:ascii="Calibri" w:hAnsi="Calibri" w:cs="Calibri"/>
          <w:sz w:val="22"/>
          <w:szCs w:val="22"/>
        </w:rPr>
        <w:t xml:space="preserve">due </w:t>
      </w:r>
      <w:r w:rsidRPr="0001672F">
        <w:rPr>
          <w:rFonts w:ascii="Calibri" w:hAnsi="Calibri" w:cs="Calibri"/>
          <w:sz w:val="22"/>
          <w:szCs w:val="22"/>
        </w:rPr>
        <w:t xml:space="preserve">process </w:t>
      </w:r>
      <w:r w:rsidRPr="0001672F">
        <w:rPr>
          <w:rFonts w:ascii="Calibri" w:hAnsi="Calibri" w:cs="Calibri"/>
          <w:sz w:val="22"/>
          <w:szCs w:val="22"/>
        </w:rPr>
        <w:t xml:space="preserve">and protocol </w:t>
      </w:r>
      <w:r w:rsidRPr="0001672F">
        <w:rPr>
          <w:rFonts w:ascii="Calibri" w:hAnsi="Calibri" w:cs="Calibri"/>
          <w:sz w:val="22"/>
          <w:szCs w:val="22"/>
        </w:rPr>
        <w:t xml:space="preserve">means that, should the worst happen, there is not a strategic and informed mechanism to </w:t>
      </w:r>
      <w:r w:rsidRPr="0001672F">
        <w:rPr>
          <w:rFonts w:ascii="Calibri" w:hAnsi="Calibri" w:cs="Calibri"/>
          <w:sz w:val="22"/>
          <w:szCs w:val="22"/>
        </w:rPr>
        <w:t xml:space="preserve">mitigate the </w:t>
      </w:r>
      <w:r w:rsidRPr="0001672F">
        <w:rPr>
          <w:rFonts w:ascii="Calibri" w:hAnsi="Calibri" w:cs="Calibri"/>
          <w:sz w:val="22"/>
          <w:szCs w:val="22"/>
        </w:rPr>
        <w:t>impact on students</w:t>
      </w:r>
      <w:r w:rsidRPr="0001672F">
        <w:rPr>
          <w:rFonts w:ascii="Calibri" w:hAnsi="Calibri" w:cs="Calibri"/>
          <w:sz w:val="22"/>
          <w:szCs w:val="22"/>
        </w:rPr>
        <w:t>, staff and stakeholders.</w:t>
      </w: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 xml:space="preserve"> </w:t>
      </w: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Further, as DSIT (Department for Science and Technology Annual Report and Accounts 2024-25) states, ‘</w:t>
      </w:r>
      <w:r w:rsidRPr="0001672F">
        <w:rPr>
          <w:rFonts w:ascii="Calibri" w:hAnsi="Calibri" w:cs="Calibri"/>
          <w:i/>
          <w:iCs/>
          <w:sz w:val="22"/>
          <w:szCs w:val="22"/>
        </w:rPr>
        <w:t xml:space="preserve">Failure to manage this risk may lead to a loss of R&amp;D talent and capability and reduce </w:t>
      </w:r>
      <w:r w:rsidRPr="0001672F">
        <w:rPr>
          <w:rFonts w:ascii="Calibri" w:hAnsi="Calibri" w:cs="Calibri"/>
          <w:i/>
          <w:iCs/>
          <w:sz w:val="22"/>
          <w:szCs w:val="22"/>
        </w:rPr>
        <w:t>high quality research being done in the UK. This may result in reputational damage to UK science and reductions in private R&amp;D investment into higher education providers</w:t>
      </w:r>
      <w:r w:rsidRPr="0001672F">
        <w:rPr>
          <w:rFonts w:ascii="Calibri" w:hAnsi="Calibri" w:cs="Calibri"/>
          <w:sz w:val="22"/>
          <w:szCs w:val="22"/>
        </w:rPr>
        <w:t>.’ The knock-on effect of a higher education institution</w:t>
      </w:r>
      <w:r w:rsidRPr="0001672F">
        <w:rPr>
          <w:rFonts w:ascii="Calibri" w:hAnsi="Calibri" w:cs="Calibri"/>
          <w:sz w:val="22"/>
          <w:szCs w:val="22"/>
        </w:rPr>
        <w:t xml:space="preserve"> becoming</w:t>
      </w:r>
      <w:r w:rsidRPr="0001672F">
        <w:rPr>
          <w:rFonts w:ascii="Calibri" w:hAnsi="Calibri" w:cs="Calibri"/>
          <w:sz w:val="22"/>
          <w:szCs w:val="22"/>
        </w:rPr>
        <w:t xml:space="preserve"> insolvent</w:t>
      </w:r>
      <w:r w:rsidRPr="0001672F">
        <w:rPr>
          <w:rFonts w:ascii="Calibri" w:hAnsi="Calibri" w:cs="Calibri"/>
          <w:sz w:val="22"/>
          <w:szCs w:val="22"/>
        </w:rPr>
        <w:t xml:space="preserve"> – further amplified by the lack of strategic framework for managing this process –</w:t>
      </w:r>
      <w:r w:rsidRPr="0001672F">
        <w:rPr>
          <w:rFonts w:ascii="Calibri" w:hAnsi="Calibri" w:cs="Calibri"/>
          <w:sz w:val="22"/>
          <w:szCs w:val="22"/>
        </w:rPr>
        <w:t xml:space="preserve"> </w:t>
      </w:r>
      <w:r w:rsidRPr="0001672F">
        <w:rPr>
          <w:rFonts w:ascii="Calibri" w:hAnsi="Calibri" w:cs="Calibri"/>
          <w:sz w:val="22"/>
          <w:szCs w:val="22"/>
        </w:rPr>
        <w:t>would</w:t>
      </w:r>
      <w:r w:rsidRPr="0001672F">
        <w:rPr>
          <w:rFonts w:ascii="Calibri" w:hAnsi="Calibri" w:cs="Calibri"/>
          <w:sz w:val="22"/>
          <w:szCs w:val="22"/>
        </w:rPr>
        <w:t xml:space="preserve"> ripple through the UK economy and negatively impact the UK’s international reputation as a leader in R&amp;D.</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 xml:space="preserve">Higher education institutions should be adequately prepared for any financial outcome, particularly given the severity of the financial crisis in higher education today. Currently, the processes for insolvency are significantly lacking in both substance and strategy, and the introduction of an informed framework, co-designed with the higher education sector, would be a sensible and positive development. </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p>
    <w:p w:rsidR="0001672F" w:rsidRPr="0001672F" w:rsidP="00CD747C">
      <w:pPr>
        <w:pStyle w:val="ListParagraph"/>
        <w:numPr>
          <w:ilvl w:val="0"/>
          <w:numId w:val="2"/>
        </w:numPr>
        <w:spacing w:after="0" w:line="276" w:lineRule="auto"/>
        <w:jc w:val="both"/>
        <w:rPr>
          <w:rFonts w:ascii="Calibri" w:hAnsi="Calibri" w:cs="Calibri"/>
          <w:b/>
          <w:bCs/>
          <w:sz w:val="22"/>
          <w:szCs w:val="22"/>
        </w:rPr>
      </w:pPr>
      <w:r w:rsidRPr="0001672F">
        <w:rPr>
          <w:rFonts w:ascii="Calibri" w:hAnsi="Calibri" w:cs="Calibri"/>
          <w:b/>
          <w:bCs/>
          <w:sz w:val="22"/>
          <w:szCs w:val="22"/>
        </w:rPr>
        <w:t>What measures exist to protect students, staff, and other stakeholders in case of institutional insolvency?</w:t>
      </w:r>
    </w:p>
    <w:p w:rsidR="0001672F" w:rsidRPr="0001672F" w:rsidP="00CD747C">
      <w:pPr>
        <w:pStyle w:val="ListParagraph"/>
        <w:spacing w:after="0" w:line="276" w:lineRule="auto"/>
        <w:jc w:val="both"/>
        <w:rPr>
          <w:rFonts w:ascii="Calibri" w:hAnsi="Calibri" w:cs="Calibri"/>
          <w:b/>
          <w:bCs/>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 xml:space="preserve">The measures to protect students, staff and other stakeholders </w:t>
      </w:r>
      <w:r w:rsidRPr="0001672F">
        <w:rPr>
          <w:rFonts w:ascii="Calibri" w:hAnsi="Calibri" w:cs="Calibri"/>
          <w:sz w:val="22"/>
          <w:szCs w:val="22"/>
        </w:rPr>
        <w:t xml:space="preserve">during and following an </w:t>
      </w:r>
      <w:r w:rsidRPr="0001672F">
        <w:rPr>
          <w:rFonts w:ascii="Calibri" w:hAnsi="Calibri" w:cs="Calibri"/>
          <w:sz w:val="22"/>
          <w:szCs w:val="22"/>
        </w:rPr>
        <w:t xml:space="preserve">insolvency </w:t>
      </w:r>
      <w:r w:rsidRPr="0001672F">
        <w:rPr>
          <w:rFonts w:ascii="Calibri" w:hAnsi="Calibri" w:cs="Calibri"/>
          <w:sz w:val="22"/>
          <w:szCs w:val="22"/>
        </w:rPr>
        <w:t xml:space="preserve">event </w:t>
      </w:r>
      <w:r w:rsidRPr="0001672F">
        <w:rPr>
          <w:rFonts w:ascii="Calibri" w:hAnsi="Calibri" w:cs="Calibri"/>
          <w:sz w:val="22"/>
          <w:szCs w:val="22"/>
        </w:rPr>
        <w:t xml:space="preserve">have recently been under consultation through the Office for Students, with the outcome of the consultation expected in August 2025. Whilst the Student Protection Plan – which was previously a major form of protection for students in any situation </w:t>
      </w:r>
      <w:r w:rsidRPr="0001672F">
        <w:rPr>
          <w:rFonts w:ascii="Calibri" w:hAnsi="Calibri" w:cs="Calibri"/>
          <w:sz w:val="22"/>
          <w:szCs w:val="22"/>
        </w:rPr>
        <w:t>–</w:t>
      </w:r>
      <w:r w:rsidRPr="0001672F">
        <w:rPr>
          <w:rFonts w:ascii="Calibri" w:hAnsi="Calibri" w:cs="Calibri"/>
          <w:sz w:val="22"/>
          <w:szCs w:val="22"/>
        </w:rPr>
        <w:t xml:space="preserve"> </w:t>
      </w:r>
      <w:r w:rsidRPr="0001672F">
        <w:rPr>
          <w:rFonts w:ascii="Calibri" w:hAnsi="Calibri" w:cs="Calibri"/>
          <w:sz w:val="22"/>
          <w:szCs w:val="22"/>
        </w:rPr>
        <w:t>i</w:t>
      </w:r>
      <w:r w:rsidRPr="0001672F">
        <w:rPr>
          <w:rFonts w:ascii="Calibri" w:hAnsi="Calibri" w:cs="Calibri"/>
          <w:sz w:val="22"/>
          <w:szCs w:val="22"/>
        </w:rPr>
        <w:t xml:space="preserve">s </w:t>
      </w:r>
      <w:r w:rsidRPr="0001672F">
        <w:rPr>
          <w:rFonts w:ascii="Calibri" w:hAnsi="Calibri" w:cs="Calibri"/>
          <w:sz w:val="22"/>
          <w:szCs w:val="22"/>
        </w:rPr>
        <w:t xml:space="preserve">under consultation to be </w:t>
      </w:r>
      <w:r w:rsidRPr="0001672F">
        <w:rPr>
          <w:rFonts w:ascii="Calibri" w:hAnsi="Calibri" w:cs="Calibri"/>
          <w:sz w:val="22"/>
          <w:szCs w:val="22"/>
        </w:rPr>
        <w:t xml:space="preserve">replaced, the OfS </w:t>
      </w:r>
      <w:r w:rsidRPr="0001672F">
        <w:rPr>
          <w:rFonts w:ascii="Calibri" w:hAnsi="Calibri" w:cs="Calibri"/>
          <w:sz w:val="22"/>
          <w:szCs w:val="22"/>
        </w:rPr>
        <w:t xml:space="preserve">have proposed </w:t>
      </w:r>
      <w:r w:rsidRPr="0001672F">
        <w:rPr>
          <w:rFonts w:ascii="Calibri" w:hAnsi="Calibri" w:cs="Calibri"/>
          <w:sz w:val="22"/>
          <w:szCs w:val="22"/>
        </w:rPr>
        <w:t xml:space="preserve">strengthening their role in protecting the student </w:t>
      </w:r>
      <w:r w:rsidRPr="0001672F">
        <w:rPr>
          <w:rFonts w:ascii="Calibri" w:hAnsi="Calibri" w:cs="Calibri"/>
          <w:sz w:val="22"/>
          <w:szCs w:val="22"/>
        </w:rPr>
        <w:t xml:space="preserve">interest </w:t>
      </w:r>
      <w:r w:rsidRPr="0001672F">
        <w:rPr>
          <w:rFonts w:ascii="Calibri" w:hAnsi="Calibri" w:cs="Calibri"/>
          <w:sz w:val="22"/>
          <w:szCs w:val="22"/>
        </w:rPr>
        <w:t xml:space="preserve">should insolvency happen, rather than wait for or rely on an organisation’s Student Protection Plan. </w:t>
      </w:r>
      <w:r w:rsidRPr="0001672F">
        <w:rPr>
          <w:rFonts w:ascii="Calibri" w:hAnsi="Calibri" w:cs="Calibri"/>
          <w:sz w:val="22"/>
          <w:szCs w:val="22"/>
        </w:rPr>
        <w:t>The OfS suggested that if a provider (or part of a provider, for example a specific course or college) were in danger of becoming unviable, the changes would allow the OfS to act in a stronger and more proactive manner.</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 xml:space="preserve">Through existing ongoing condition of registration C4 (Student protection directions), but now with added impetus and (likely) more power to act more quickly, the OfS can compel a provider to produce a detailed market exit plan in these circumstances. This plan should </w:t>
      </w:r>
      <w:r w:rsidRPr="0001672F">
        <w:rPr>
          <w:rFonts w:ascii="Calibri" w:hAnsi="Calibri" w:cs="Calibri"/>
          <w:sz w:val="22"/>
          <w:szCs w:val="22"/>
        </w:rPr>
        <w:t>include:</w:t>
      </w:r>
      <w:r w:rsidRPr="0001672F">
        <w:rPr>
          <w:rFonts w:ascii="Calibri" w:hAnsi="Calibri" w:cs="Calibri"/>
          <w:sz w:val="22"/>
          <w:szCs w:val="22"/>
        </w:rPr>
        <w:t xml:space="preserve"> teach-out, student transfer, exit awards, information, guidance and advice, complaints, refunds and compensation, and archiving of academic records.</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 xml:space="preserve">At Aston University, our </w:t>
      </w:r>
      <w:r>
        <w:fldChar w:fldCharType="begin"/>
      </w:r>
      <w:r>
        <w:instrText xml:space="preserve"> HYPERLINK "https://www.aston.ac.uk/sites/default/files/student-protection-plan.pdf" \l ":~:text=This%20Policy%2C%20approved%20by%20the%20University%E2%80%99s%20Learning%20and,a%20course%2Fprogramme%2C%20or%20the%20whole%20University%2C%20should%20close." </w:instrText>
      </w:r>
      <w:r>
        <w:fldChar w:fldCharType="separate"/>
      </w:r>
      <w:r w:rsidRPr="0001672F">
        <w:rPr>
          <w:rStyle w:val="Hyperlink"/>
          <w:rFonts w:ascii="Calibri" w:hAnsi="Calibri" w:cs="Calibri"/>
          <w:sz w:val="22"/>
          <w:szCs w:val="22"/>
        </w:rPr>
        <w:t>Student Protection Plan</w:t>
      </w:r>
      <w:r>
        <w:fldChar w:fldCharType="end"/>
      </w:r>
      <w:r w:rsidRPr="0001672F">
        <w:rPr>
          <w:rFonts w:ascii="Calibri" w:hAnsi="Calibri" w:cs="Calibri"/>
          <w:sz w:val="22"/>
          <w:szCs w:val="22"/>
        </w:rPr>
        <w:t>, approved by the University’s Learning and Teaching Committee and Senate, sets out what applicants, offer-holders, prospective students and students can expect to happen if a course/programme, or the whole University, should close. The University currently sets out the risk level of this happening as ‘low’, assesses those risks on a regular basis and, in common with all other higher education providers, is required to submit an estimate of risk and a Student Protection Plan as part of its registration with</w:t>
      </w:r>
      <w:r w:rsidRPr="0001672F">
        <w:rPr>
          <w:rFonts w:ascii="Calibri" w:hAnsi="Calibri" w:cs="Calibri"/>
          <w:sz w:val="22"/>
          <w:szCs w:val="22"/>
        </w:rPr>
        <w:t xml:space="preserve"> the Office for Students.</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p>
    <w:p w:rsidR="0001672F" w:rsidRPr="0001672F" w:rsidP="00CD747C">
      <w:pPr>
        <w:pStyle w:val="ListParagraph"/>
        <w:numPr>
          <w:ilvl w:val="0"/>
          <w:numId w:val="2"/>
        </w:numPr>
        <w:spacing w:after="0" w:line="276" w:lineRule="auto"/>
        <w:jc w:val="both"/>
        <w:rPr>
          <w:rFonts w:ascii="Calibri" w:hAnsi="Calibri" w:cs="Calibri"/>
          <w:b/>
          <w:bCs/>
          <w:sz w:val="22"/>
          <w:szCs w:val="22"/>
        </w:rPr>
      </w:pPr>
      <w:r w:rsidRPr="0001672F">
        <w:rPr>
          <w:rFonts w:ascii="Calibri" w:hAnsi="Calibri" w:cs="Calibri"/>
          <w:b/>
          <w:bCs/>
          <w:sz w:val="22"/>
          <w:szCs w:val="22"/>
        </w:rPr>
        <w:t>Are additional safeguards needed to strengthen protections?</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 xml:space="preserve">As there are currently no formal insolvency procedures as with other </w:t>
      </w:r>
      <w:r w:rsidRPr="0001672F">
        <w:rPr>
          <w:rFonts w:ascii="Calibri" w:hAnsi="Calibri" w:cs="Calibri"/>
          <w:sz w:val="22"/>
          <w:szCs w:val="22"/>
        </w:rPr>
        <w:t xml:space="preserve">not-for-profit </w:t>
      </w:r>
      <w:r w:rsidRPr="0001672F">
        <w:rPr>
          <w:rFonts w:ascii="Calibri" w:hAnsi="Calibri" w:cs="Calibri"/>
          <w:sz w:val="22"/>
          <w:szCs w:val="22"/>
        </w:rPr>
        <w:t xml:space="preserve">sectors, the opportunity to adopt safeguards that strengthen protections in conjunction with adopting insolvency processes, is significant. </w:t>
      </w:r>
    </w:p>
    <w:p w:rsidR="0001672F" w:rsidRPr="0001672F" w:rsidP="00CD747C">
      <w:pPr>
        <w:spacing w:after="0" w:line="276" w:lineRule="auto"/>
        <w:jc w:val="both"/>
        <w:rPr>
          <w:rFonts w:ascii="Calibri" w:hAnsi="Calibri" w:cs="Calibri"/>
          <w:b/>
          <w:bCs/>
          <w:color w:val="610064"/>
          <w:sz w:val="22"/>
          <w:szCs w:val="22"/>
        </w:rPr>
      </w:pPr>
    </w:p>
    <w:p w:rsidR="0001672F" w:rsidRPr="0001672F" w:rsidP="00CD747C">
      <w:pPr>
        <w:spacing w:after="0" w:line="276" w:lineRule="auto"/>
        <w:jc w:val="both"/>
        <w:rPr>
          <w:rFonts w:ascii="Calibri" w:hAnsi="Calibri" w:cs="Calibri"/>
          <w:b/>
          <w:bCs/>
          <w:color w:val="610064"/>
          <w:sz w:val="22"/>
          <w:szCs w:val="22"/>
        </w:rPr>
      </w:pPr>
    </w:p>
    <w:p w:rsidR="0001672F" w:rsidRPr="0001672F" w:rsidP="00CD747C">
      <w:pPr>
        <w:spacing w:after="0" w:line="276" w:lineRule="auto"/>
        <w:jc w:val="both"/>
        <w:rPr>
          <w:rFonts w:ascii="Calibri" w:hAnsi="Calibri" w:cs="Calibri"/>
          <w:b/>
          <w:bCs/>
          <w:color w:val="610064"/>
          <w:sz w:val="22"/>
          <w:szCs w:val="22"/>
        </w:rPr>
      </w:pPr>
    </w:p>
    <w:p w:rsidR="0001672F" w:rsidRPr="0001672F" w:rsidP="00CD747C">
      <w:pPr>
        <w:spacing w:after="0" w:line="276" w:lineRule="auto"/>
        <w:jc w:val="both"/>
        <w:rPr>
          <w:rFonts w:ascii="Calibri" w:hAnsi="Calibri" w:eastAsiaTheme="minorEastAsia" w:cs="Calibri"/>
          <w:color w:val="5A2D67"/>
          <w:kern w:val="0"/>
          <w:sz w:val="22"/>
          <w:szCs w:val="22"/>
          <w:u w:val="single"/>
        </w:rPr>
      </w:pPr>
      <w:r w:rsidRPr="0001672F">
        <w:rPr>
          <w:rFonts w:ascii="Calibri" w:hAnsi="Calibri" w:eastAsiaTheme="minorEastAsia" w:cs="Calibri"/>
          <w:color w:val="5A2D67"/>
          <w:kern w:val="0"/>
          <w:sz w:val="22"/>
          <w:szCs w:val="22"/>
          <w:u w:val="single"/>
        </w:rPr>
        <w:t>Ramifications of Institutional Insolvency &amp; Regional Impact</w:t>
      </w:r>
    </w:p>
    <w:p w:rsidR="0001672F" w:rsidRPr="0001672F" w:rsidP="00CD747C">
      <w:pPr>
        <w:spacing w:after="0" w:line="276" w:lineRule="auto"/>
        <w:jc w:val="both"/>
        <w:rPr>
          <w:rFonts w:ascii="Calibri" w:hAnsi="Calibri" w:eastAsiaTheme="minorEastAsia" w:cs="Calibri"/>
          <w:color w:val="5A2D67"/>
          <w:kern w:val="0"/>
          <w:sz w:val="22"/>
          <w:szCs w:val="22"/>
          <w:u w:val="single"/>
        </w:rPr>
      </w:pPr>
    </w:p>
    <w:p w:rsidR="0001672F" w:rsidRPr="0001672F" w:rsidP="00CD747C">
      <w:pPr>
        <w:pStyle w:val="ListParagraph"/>
        <w:numPr>
          <w:ilvl w:val="0"/>
          <w:numId w:val="2"/>
        </w:numPr>
        <w:spacing w:after="0" w:line="276" w:lineRule="auto"/>
        <w:jc w:val="both"/>
        <w:rPr>
          <w:rFonts w:ascii="Calibri" w:hAnsi="Calibri" w:cs="Calibri"/>
          <w:b/>
          <w:bCs/>
          <w:sz w:val="22"/>
          <w:szCs w:val="22"/>
        </w:rPr>
      </w:pPr>
      <w:r w:rsidRPr="0001672F">
        <w:rPr>
          <w:rFonts w:ascii="Calibri" w:hAnsi="Calibri" w:cs="Calibri"/>
          <w:b/>
          <w:bCs/>
          <w:sz w:val="22"/>
          <w:szCs w:val="22"/>
        </w:rPr>
        <w:t xml:space="preserve">What would be the consequences of a higher education provider </w:t>
      </w:r>
      <w:r w:rsidRPr="0001672F">
        <w:rPr>
          <w:rFonts w:ascii="Calibri" w:hAnsi="Calibri" w:cs="Calibri"/>
          <w:b/>
          <w:bCs/>
          <w:sz w:val="22"/>
          <w:szCs w:val="22"/>
        </w:rPr>
        <w:t>becoming insolvent?</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 xml:space="preserve">Higher education is both a major economic driver and contributor. Aston University alone contributes around £1bn to the national economy every year and is aiming to double this to £2bn annually by 2030. International students contribute over £4.3bn to the West Midlands economy. Our </w:t>
      </w:r>
      <w:r>
        <w:fldChar w:fldCharType="begin"/>
      </w:r>
      <w:r>
        <w:instrText xml:space="preserve"> HYPERLINK "https://www.aston.ac.uk/latest-news/aston-university-celebrates-transformative-returns-award-winning-knowledge-transfer" \l ":~:text=Aston%20has%20demonstrated%20remarkable%20success%2C%20delivering%20an%20average,per%20cent%20within%20three%20years%20of%20project%20completion." </w:instrText>
      </w:r>
      <w:r>
        <w:fldChar w:fldCharType="separate"/>
      </w:r>
      <w:r w:rsidRPr="0001672F">
        <w:rPr>
          <w:rStyle w:val="Hyperlink"/>
          <w:rFonts w:ascii="Calibri" w:hAnsi="Calibri" w:cs="Calibri"/>
          <w:sz w:val="22"/>
          <w:szCs w:val="22"/>
        </w:rPr>
        <w:t>KTPs</w:t>
      </w:r>
      <w:r>
        <w:fldChar w:fldCharType="end"/>
      </w:r>
      <w:r w:rsidRPr="0001672F">
        <w:rPr>
          <w:rFonts w:ascii="Calibri" w:hAnsi="Calibri" w:cs="Calibri"/>
          <w:sz w:val="22"/>
          <w:szCs w:val="22"/>
        </w:rPr>
        <w:t xml:space="preserve"> (Knowledge Transfer Partnerships) create a significant economic return - on average, businesses that participate are experiencing a return on investment of 1,743% three years after project completion. Across our entire KTP portfolio, this could mean a staggering additional £255m in profit and £831m in turnover for participating businesses. With the Government’s Number 1 Mission of Unlocking Economic Growth, higher education is a major opportunity for the Government to achieve this and would struggle withou</w:t>
      </w:r>
      <w:r w:rsidRPr="0001672F">
        <w:rPr>
          <w:rFonts w:ascii="Calibri" w:hAnsi="Calibri" w:cs="Calibri"/>
          <w:sz w:val="22"/>
          <w:szCs w:val="22"/>
        </w:rPr>
        <w:t xml:space="preserve">t higher education institutions maintaining their current contribution. </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But the</w:t>
      </w:r>
      <w:r w:rsidRPr="0001672F">
        <w:rPr>
          <w:rFonts w:ascii="Calibri" w:hAnsi="Calibri" w:cs="Calibri"/>
          <w:sz w:val="22"/>
          <w:szCs w:val="22"/>
        </w:rPr>
        <w:t xml:space="preserve"> consequences of a university going insolvent are far wider</w:t>
      </w:r>
      <w:r w:rsidRPr="0001672F">
        <w:rPr>
          <w:rFonts w:ascii="Calibri" w:hAnsi="Calibri" w:cs="Calibri"/>
          <w:sz w:val="22"/>
          <w:szCs w:val="22"/>
        </w:rPr>
        <w:t xml:space="preserve"> than the direct economic impact</w:t>
      </w:r>
      <w:r w:rsidRPr="0001672F">
        <w:rPr>
          <w:rFonts w:ascii="Calibri" w:hAnsi="Calibri" w:cs="Calibri"/>
          <w:sz w:val="22"/>
          <w:szCs w:val="22"/>
        </w:rPr>
        <w:t xml:space="preserve">. As some of the UK’s oldest and most established institutions, universities are embedded into local communities and provide transformational impact for the young people who walk through their doors. Higher </w:t>
      </w:r>
      <w:r w:rsidRPr="0001672F">
        <w:rPr>
          <w:rFonts w:ascii="Calibri" w:hAnsi="Calibri" w:cs="Calibri"/>
          <w:sz w:val="22"/>
          <w:szCs w:val="22"/>
        </w:rPr>
        <w:t>graduate salaries, social mobility, improved confidence as well as upskilling</w:t>
      </w:r>
      <w:r w:rsidRPr="0001672F">
        <w:rPr>
          <w:rFonts w:ascii="Calibri" w:hAnsi="Calibri" w:cs="Calibri"/>
          <w:sz w:val="22"/>
          <w:szCs w:val="22"/>
        </w:rPr>
        <w:t>:</w:t>
      </w:r>
      <w:r w:rsidRPr="0001672F">
        <w:rPr>
          <w:rFonts w:ascii="Calibri" w:hAnsi="Calibri" w:cs="Calibri"/>
          <w:sz w:val="22"/>
          <w:szCs w:val="22"/>
        </w:rPr>
        <w:t xml:space="preserve"> a university closing would be a significant hit for the people we serve. At Aston, we offer industry-needed degrees, combined with programmes to benefit the future workforce. Whilst students may be able to transfer credits, they would lose the decades of innovation and strategic partnership-building that Aston, and many other universities, have built up to offer a unique selling point. The country would lose the R&amp;D excellence of</w:t>
      </w:r>
      <w:r w:rsidRPr="0001672F">
        <w:rPr>
          <w:rFonts w:ascii="Calibri" w:hAnsi="Calibri" w:cs="Calibri"/>
          <w:sz w:val="22"/>
          <w:szCs w:val="22"/>
        </w:rPr>
        <w:t xml:space="preserve"> that university, as well as its overall innovation and academic contributions. At Aston, we have changed the innovation landscape across the country – from producing Metformin, one of the </w:t>
      </w:r>
      <w:r w:rsidRPr="0001672F">
        <w:rPr>
          <w:rFonts w:ascii="Calibri" w:hAnsi="Calibri" w:cs="Calibri"/>
          <w:sz w:val="22"/>
          <w:szCs w:val="22"/>
        </w:rPr>
        <w:t>most commonly used</w:t>
      </w:r>
      <w:r w:rsidRPr="0001672F">
        <w:rPr>
          <w:rFonts w:ascii="Calibri" w:hAnsi="Calibri" w:cs="Calibri"/>
          <w:sz w:val="22"/>
          <w:szCs w:val="22"/>
        </w:rPr>
        <w:t xml:space="preserve"> drugs for diabetes, to</w:t>
      </w:r>
      <w:r w:rsidRPr="0001672F">
        <w:rPr>
          <w:rFonts w:ascii="Calibri" w:hAnsi="Calibri" w:cs="Calibri"/>
          <w:sz w:val="22"/>
          <w:szCs w:val="22"/>
        </w:rPr>
        <w:t xml:space="preserve"> being a critical partner in the West Midlands Innovation Accelerator and Investment Zone and addressing embedded eye health inequality in our local community – higher education is the unsung innovation driver of the UK. </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 xml:space="preserve">The financial crisis may be in higher education, but the fallout of higher education would be across the whole of the UK. </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p>
    <w:p w:rsidR="0001672F" w:rsidRPr="0001672F" w:rsidP="00CD747C">
      <w:pPr>
        <w:pStyle w:val="ListParagraph"/>
        <w:numPr>
          <w:ilvl w:val="0"/>
          <w:numId w:val="1"/>
        </w:numPr>
        <w:spacing w:after="0" w:line="276" w:lineRule="auto"/>
        <w:jc w:val="both"/>
        <w:rPr>
          <w:rFonts w:ascii="Calibri" w:hAnsi="Calibri" w:cs="Calibri"/>
          <w:b/>
          <w:bCs/>
          <w:sz w:val="22"/>
          <w:szCs w:val="22"/>
        </w:rPr>
      </w:pPr>
      <w:r w:rsidRPr="0001672F">
        <w:rPr>
          <w:rFonts w:ascii="Calibri" w:hAnsi="Calibri" w:cs="Calibri"/>
          <w:b/>
          <w:bCs/>
          <w:sz w:val="22"/>
          <w:szCs w:val="22"/>
        </w:rPr>
        <w:t>How do higher education institutions contribute to growth in their local economies, the provision of public services, and their wider communities</w:t>
      </w:r>
      <w:r w:rsidRPr="0001672F">
        <w:rPr>
          <w:rFonts w:ascii="Calibri" w:hAnsi="Calibri" w:cs="Calibri"/>
          <w:b/>
          <w:bCs/>
          <w:sz w:val="22"/>
          <w:szCs w:val="22"/>
        </w:rPr>
        <w:t>?</w:t>
      </w:r>
    </w:p>
    <w:p w:rsidR="0001672F" w:rsidRPr="0001672F" w:rsidP="00CD747C">
      <w:pPr>
        <w:pStyle w:val="ListParagraph"/>
        <w:spacing w:after="0" w:line="276" w:lineRule="auto"/>
        <w:jc w:val="both"/>
        <w:rPr>
          <w:rFonts w:ascii="Calibri" w:hAnsi="Calibri" w:cs="Calibri"/>
          <w:b/>
          <w:bCs/>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Higher education institutions do not just deliver degrees – we transform communities, improve access and participation for young people in diverse communities and challenging circumstances, improve business productivity, power economic and inclusive growth, provide health services and health innovation, undertake place-based transformation, drive digitalisation, unlock lifechanging scientific and academic discoveries and thought-pieces, improve life chances, increase salary achievements of young people, imp</w:t>
      </w:r>
      <w:r w:rsidRPr="0001672F">
        <w:rPr>
          <w:rFonts w:ascii="Calibri" w:hAnsi="Calibri" w:cs="Calibri"/>
          <w:sz w:val="22"/>
          <w:szCs w:val="22"/>
        </w:rPr>
        <w:t xml:space="preserve">rove social mobility, and deliver the UK’s internationally-renowned R&amp;D expertise. And more. </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Economically, universities are a significant contributor and driver. English universities contribute £95 billion to the UK economy through tuition fees, research funding, employment, and local spending. Universities attract international students, who contribute to their local economies and contribute higher levels of fees tha</w:t>
      </w:r>
      <w:r w:rsidRPr="0001672F">
        <w:rPr>
          <w:rFonts w:ascii="Calibri" w:hAnsi="Calibri" w:cs="Calibri"/>
          <w:sz w:val="22"/>
          <w:szCs w:val="22"/>
        </w:rPr>
        <w:t>n</w:t>
      </w:r>
      <w:r w:rsidRPr="0001672F">
        <w:rPr>
          <w:rFonts w:ascii="Calibri" w:hAnsi="Calibri" w:cs="Calibri"/>
          <w:sz w:val="22"/>
          <w:szCs w:val="22"/>
        </w:rPr>
        <w:t xml:space="preserve"> domestic students, thereby easing the strain of domestic fee rates. Regions with higher levels of graduates are more likely to be more productive.</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 xml:space="preserve">Our innovation and transformation projects continue to have multiple and positive knock-on effects. The Birmingham Innovation Precinct (BIP) </w:t>
      </w:r>
      <w:r w:rsidRPr="0001672F">
        <w:rPr>
          <w:rFonts w:ascii="Calibri" w:hAnsi="Calibri" w:cs="Calibri"/>
          <w:sz w:val="22"/>
          <w:szCs w:val="22"/>
        </w:rPr>
        <w:t xml:space="preserve">– a part of the West Midlands Investment Zone – </w:t>
      </w:r>
      <w:r w:rsidRPr="0001672F">
        <w:rPr>
          <w:rFonts w:ascii="Calibri" w:hAnsi="Calibri" w:cs="Calibri"/>
          <w:sz w:val="22"/>
          <w:szCs w:val="22"/>
        </w:rPr>
        <w:t>will create c.10,000 high-value jobs across key sectors, contributing over £1.3 billion annually in Gross Value Added (GVA) to our economy. The BIP will transform a 20-hectare area adjacent to campus into a vibrant urban innovation ecosystem that nurtures groundbreaking ideas and fosters enterprise. The development plan includes: 1.35 million square feet of commercial and innovation space, 2,200 homes (15% as affordable housing), 400 hotel rooms with state-of-</w:t>
      </w:r>
      <w:r w:rsidRPr="0001672F">
        <w:rPr>
          <w:rFonts w:ascii="Calibri" w:hAnsi="Calibri" w:cs="Calibri"/>
          <w:sz w:val="22"/>
          <w:szCs w:val="22"/>
        </w:rPr>
        <w:t xml:space="preserve">the-art conference facilities, 15 hectares of public realm and open space and 500,000 sq. ft. of cultural and community space. </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 xml:space="preserve">Socially, universities play an important and historical but ever-evolving role in our social fabric. Universities are transformational, and, at Aston, as a civic university, we are not only embedded in our local </w:t>
      </w:r>
      <w:r w:rsidRPr="0001672F">
        <w:rPr>
          <w:rFonts w:ascii="Calibri" w:hAnsi="Calibri" w:cs="Calibri"/>
          <w:sz w:val="22"/>
          <w:szCs w:val="22"/>
        </w:rPr>
        <w:t>communities, but</w:t>
      </w:r>
      <w:r w:rsidRPr="0001672F">
        <w:rPr>
          <w:rFonts w:ascii="Calibri" w:hAnsi="Calibri" w:cs="Calibri"/>
          <w:sz w:val="22"/>
          <w:szCs w:val="22"/>
        </w:rPr>
        <w:t xml:space="preserve"> committed to ensuring those communities benefit from that transformation, and from the many opportunities that come from being a graduate. At Aston, half of our students are from Birmingham, and one third from the West Midlands, and we undertake a significant local engagement programme to allow our local young people to benefit from university. We offer scholarships, summer schools, programmes that showcase the positive reality of university, and offer lower grades to certain prospective st</w:t>
      </w:r>
      <w:r w:rsidRPr="0001672F">
        <w:rPr>
          <w:rFonts w:ascii="Calibri" w:hAnsi="Calibri" w:cs="Calibri"/>
          <w:sz w:val="22"/>
          <w:szCs w:val="22"/>
        </w:rPr>
        <w:t xml:space="preserve">udents that include care leavers, disabled young people, sanctuary seekers and those from low participation wards. </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Aston openly and firmly embraces, empowers and includes our local communities in many areas of our work, and plays a transformational role through the real-life implementation of our academic and research excellence. From creating a</w:t>
      </w:r>
      <w:r w:rsidRPr="0001672F">
        <w:rPr>
          <w:rFonts w:ascii="Calibri" w:hAnsi="Calibri" w:cs="Calibri"/>
          <w:sz w:val="22"/>
          <w:szCs w:val="22"/>
        </w:rPr>
        <w:t>n Integrated</w:t>
      </w:r>
      <w:r w:rsidRPr="0001672F">
        <w:rPr>
          <w:rFonts w:ascii="Calibri" w:hAnsi="Calibri" w:cs="Calibri"/>
          <w:sz w:val="22"/>
          <w:szCs w:val="22"/>
        </w:rPr>
        <w:t xml:space="preserve"> Health Hub that the local community </w:t>
      </w:r>
      <w:r w:rsidRPr="0001672F">
        <w:rPr>
          <w:rFonts w:ascii="Calibri" w:hAnsi="Calibri" w:cs="Calibri"/>
          <w:sz w:val="22"/>
          <w:szCs w:val="22"/>
        </w:rPr>
        <w:t>will be able to</w:t>
      </w:r>
      <w:r w:rsidRPr="0001672F">
        <w:rPr>
          <w:rFonts w:ascii="Calibri" w:hAnsi="Calibri" w:cs="Calibri"/>
          <w:sz w:val="22"/>
          <w:szCs w:val="22"/>
        </w:rPr>
        <w:t xml:space="preserve"> access, to linking up with the Aston Villa Foundation to positively impact the health, wellbeing, social and educational outcomes of thousands of local children, our local engagement – and our role in those communities - makes lasting impact.</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p>
    <w:p w:rsidR="0001672F" w:rsidRPr="0001672F" w:rsidP="00CD747C">
      <w:pPr>
        <w:pStyle w:val="ListParagraph"/>
        <w:numPr>
          <w:ilvl w:val="0"/>
          <w:numId w:val="1"/>
        </w:numPr>
        <w:spacing w:after="0" w:line="276" w:lineRule="auto"/>
        <w:jc w:val="both"/>
        <w:rPr>
          <w:rFonts w:ascii="Calibri" w:hAnsi="Calibri" w:cs="Calibri"/>
          <w:b/>
          <w:bCs/>
          <w:sz w:val="22"/>
          <w:szCs w:val="22"/>
        </w:rPr>
      </w:pPr>
      <w:r w:rsidRPr="0001672F">
        <w:rPr>
          <w:rFonts w:ascii="Calibri" w:hAnsi="Calibri" w:cs="Calibri"/>
          <w:b/>
          <w:bCs/>
          <w:sz w:val="22"/>
          <w:szCs w:val="22"/>
        </w:rPr>
        <w:t>What strategies should be implemented to prevent insolvency and ensure sustainable regional provision of courses?</w:t>
      </w:r>
    </w:p>
    <w:p w:rsidR="0001672F" w:rsidRPr="0001672F" w:rsidP="00CD747C">
      <w:pPr>
        <w:pStyle w:val="ListParagraph"/>
        <w:spacing w:after="0" w:line="276" w:lineRule="auto"/>
        <w:jc w:val="both"/>
        <w:rPr>
          <w:rFonts w:ascii="Calibri" w:hAnsi="Calibri" w:cs="Calibri"/>
          <w:b/>
          <w:bCs/>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Solving the longstanding –</w:t>
      </w:r>
      <w:r w:rsidRPr="0001672F">
        <w:rPr>
          <w:rFonts w:ascii="Calibri" w:hAnsi="Calibri" w:cs="Calibri"/>
          <w:sz w:val="22"/>
          <w:szCs w:val="22"/>
        </w:rPr>
        <w:t xml:space="preserve"> </w:t>
      </w:r>
      <w:r w:rsidRPr="0001672F">
        <w:rPr>
          <w:rFonts w:ascii="Calibri" w:hAnsi="Calibri" w:cs="Calibri"/>
          <w:sz w:val="22"/>
          <w:szCs w:val="22"/>
        </w:rPr>
        <w:t>but worsening</w:t>
      </w:r>
      <w:r w:rsidRPr="0001672F">
        <w:rPr>
          <w:rFonts w:ascii="Calibri" w:hAnsi="Calibri" w:cs="Calibri"/>
          <w:sz w:val="22"/>
          <w:szCs w:val="22"/>
        </w:rPr>
        <w:t xml:space="preserve"> –</w:t>
      </w:r>
      <w:r w:rsidRPr="0001672F">
        <w:rPr>
          <w:rFonts w:ascii="Calibri" w:hAnsi="Calibri" w:cs="Calibri"/>
          <w:sz w:val="22"/>
          <w:szCs w:val="22"/>
        </w:rPr>
        <w:t xml:space="preserve"> financial crisis in higher education is the only way of preventing insolvency and ensuring sustainable regional provision of higher education courses. Since June 2024, Government policy decisions are estimated to cost the UK’s higher education sector nearly £1.4 billion in 2025-26. </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 xml:space="preserve">The Government must provide a long-term, sustainable, industry-informed and collaborative strategy for higher education that allows for sound financial planning, provides impetus for the transformational role that many universities are playing, and reduce financial threats that could provide catastrophic to so many of England’s universities. </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 xml:space="preserve">Two key policies </w:t>
      </w:r>
      <w:r w:rsidRPr="0001672F">
        <w:rPr>
          <w:rFonts w:ascii="Calibri" w:hAnsi="Calibri" w:cs="Calibri"/>
          <w:sz w:val="22"/>
          <w:szCs w:val="22"/>
        </w:rPr>
        <w:t>approaches</w:t>
      </w:r>
      <w:r w:rsidRPr="0001672F">
        <w:rPr>
          <w:rFonts w:ascii="Calibri" w:hAnsi="Calibri" w:cs="Calibri"/>
          <w:sz w:val="22"/>
          <w:szCs w:val="22"/>
        </w:rPr>
        <w:t xml:space="preserve"> further threaten financial stability of higher education institutions. </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Firstly, including international students in net migration figures – and with an aim of reducing those figures – is causing devastation to the sector. Many universities rely on international students as a critical form of income – this has become more prominent due to an increase in domestic tuition fee freezes. Without significantly increasing domestic fees, the financial contribution of international students remains critical to the existence and service delivery of the higher education sector.</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 xml:space="preserve">Secondly, the cap on domestic student fees has also hit university finances. There is a strong need for a long-term clarity on a cap/minimal increase, so that universities </w:t>
      </w:r>
      <w:r w:rsidRPr="0001672F">
        <w:rPr>
          <w:rFonts w:ascii="Calibri" w:hAnsi="Calibri" w:cs="Calibri"/>
          <w:sz w:val="22"/>
          <w:szCs w:val="22"/>
        </w:rPr>
        <w:t>are able to</w:t>
      </w:r>
      <w:r w:rsidRPr="0001672F">
        <w:rPr>
          <w:rFonts w:ascii="Calibri" w:hAnsi="Calibri" w:cs="Calibri"/>
          <w:sz w:val="22"/>
          <w:szCs w:val="22"/>
        </w:rPr>
        <w:t xml:space="preserve"> undertake sound financial planning. If the Government is to introduce measures that will reduce international student numbers (including through visa </w:t>
      </w:r>
      <w:r w:rsidRPr="0001672F">
        <w:rPr>
          <w:rFonts w:ascii="Calibri" w:hAnsi="Calibri" w:cs="Calibri"/>
          <w:sz w:val="22"/>
          <w:szCs w:val="22"/>
        </w:rPr>
        <w:t>requirement changes and reducing overall net migration of which students are counted within those numbers), then domestic fee-paying students will need to accept a greater financial burden.</w:t>
      </w:r>
    </w:p>
    <w:p w:rsidR="0001672F" w:rsidRPr="0001672F" w:rsidP="00CD747C">
      <w:pPr>
        <w:spacing w:after="0" w:line="276" w:lineRule="auto"/>
        <w:jc w:val="both"/>
        <w:rPr>
          <w:rFonts w:ascii="Calibri" w:hAnsi="Calibri" w:cs="Calibri"/>
          <w:sz w:val="22"/>
          <w:szCs w:val="22"/>
        </w:rPr>
      </w:pP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There are further policy approaches and strategies that would contribute to the overall financial health of universities</w:t>
      </w:r>
      <w:r w:rsidRPr="0001672F">
        <w:rPr>
          <w:rFonts w:ascii="Calibri" w:hAnsi="Calibri" w:cs="Calibri"/>
          <w:sz w:val="22"/>
          <w:szCs w:val="22"/>
        </w:rPr>
        <w:t>: p</w:t>
      </w:r>
      <w:r w:rsidRPr="0001672F">
        <w:rPr>
          <w:rFonts w:ascii="Calibri" w:hAnsi="Calibri" w:cs="Calibri"/>
          <w:sz w:val="22"/>
          <w:szCs w:val="22"/>
        </w:rPr>
        <w:t>roviding consolidated funding for a higher educational engagement and collaboration mechanism across local or regional authorities; reducing regulations where they are holding universities back but without the additional funding; allowing universities more freedom to operate in aspects such as national pay bargaining; supporting universities to adopt an increasingly market-based approach; immediately introducing working groups to ensure that, in the process of devolution, further funding is not lost; ens</w:t>
      </w:r>
      <w:r w:rsidRPr="0001672F">
        <w:rPr>
          <w:rFonts w:ascii="Calibri" w:hAnsi="Calibri" w:cs="Calibri"/>
          <w:sz w:val="22"/>
          <w:szCs w:val="22"/>
        </w:rPr>
        <w:t>uring higher education as a career pathway is positively and proactively included in careers advice; collaborating with universities to, together, achieving a reasonable and net beneficial approach to visas and international students; and committing to actively prioritising the role of universities in economic growth</w:t>
      </w:r>
      <w:r w:rsidRPr="0001672F">
        <w:rPr>
          <w:rFonts w:ascii="Calibri" w:hAnsi="Calibri" w:cs="Calibri"/>
          <w:sz w:val="22"/>
          <w:szCs w:val="22"/>
        </w:rPr>
        <w:t>.</w:t>
      </w:r>
    </w:p>
    <w:p w:rsidR="0001672F" w:rsidRPr="0001672F" w:rsidP="00CD747C">
      <w:pPr>
        <w:spacing w:after="0" w:line="276" w:lineRule="auto"/>
        <w:jc w:val="both"/>
        <w:rPr>
          <w:rFonts w:ascii="Calibri" w:hAnsi="Calibri" w:cs="Calibri"/>
          <w:sz w:val="22"/>
          <w:szCs w:val="22"/>
        </w:rPr>
      </w:pPr>
      <w:r w:rsidRPr="0001672F">
        <w:rPr>
          <w:rFonts w:ascii="Calibri" w:hAnsi="Calibri" w:cs="Calibri"/>
          <w:sz w:val="22"/>
          <w:szCs w:val="22"/>
        </w:rPr>
        <w:t xml:space="preserve"> </w:t>
      </w:r>
    </w:p>
    <w:p w:rsidR="0001672F" w:rsidRPr="0001672F" w:rsidP="00CD747C">
      <w:pPr>
        <w:spacing w:after="0" w:line="276" w:lineRule="auto"/>
        <w:rPr>
          <w:rFonts w:ascii="Calibri" w:hAnsi="Calibri" w:cs="Calibri"/>
          <w:sz w:val="22"/>
          <w:szCs w:val="22"/>
        </w:rPr>
      </w:pPr>
      <w:r w:rsidRPr="0001672F">
        <w:rPr>
          <w:rFonts w:ascii="Calibri" w:hAnsi="Calibri" w:cs="Calibri"/>
          <w:sz w:val="22"/>
          <w:szCs w:val="22"/>
        </w:rPr>
        <w:t xml:space="preserve">There also needs to be a greater focus </w:t>
      </w:r>
      <w:r w:rsidRPr="0001672F">
        <w:rPr>
          <w:rFonts w:ascii="Calibri" w:hAnsi="Calibri" w:cs="Calibri"/>
          <w:sz w:val="22"/>
          <w:szCs w:val="22"/>
        </w:rPr>
        <w:t xml:space="preserve">of the role of higher education governance in </w:t>
      </w:r>
      <w:r w:rsidRPr="0001672F">
        <w:rPr>
          <w:rFonts w:ascii="Calibri" w:hAnsi="Calibri" w:cs="Calibri"/>
          <w:sz w:val="22"/>
          <w:szCs w:val="22"/>
        </w:rPr>
        <w:t xml:space="preserve">ensuring </w:t>
      </w:r>
      <w:r w:rsidRPr="0001672F">
        <w:rPr>
          <w:rFonts w:ascii="Calibri" w:hAnsi="Calibri" w:cs="Calibri"/>
          <w:sz w:val="22"/>
          <w:szCs w:val="22"/>
        </w:rPr>
        <w:t>financial sustainability.</w:t>
      </w:r>
      <w:r w:rsidRPr="0001672F">
        <w:rPr>
          <w:rFonts w:ascii="Calibri" w:hAnsi="Calibri" w:cs="Calibri"/>
          <w:sz w:val="22"/>
          <w:szCs w:val="22"/>
        </w:rPr>
        <w:t xml:space="preserve"> Externally imposed financial</w:t>
      </w:r>
      <w:r w:rsidRPr="0001672F">
        <w:rPr>
          <w:rFonts w:ascii="Calibri" w:hAnsi="Calibri" w:cs="Calibri"/>
          <w:sz w:val="22"/>
          <w:szCs w:val="22"/>
        </w:rPr>
        <w:t xml:space="preserve"> regulation is an important step to increasing financial discipline within </w:t>
      </w:r>
      <w:r w:rsidRPr="0001672F">
        <w:rPr>
          <w:rFonts w:ascii="Calibri" w:hAnsi="Calibri" w:cs="Calibri"/>
          <w:sz w:val="22"/>
          <w:szCs w:val="22"/>
        </w:rPr>
        <w:t>institutions, and</w:t>
      </w:r>
      <w:r w:rsidRPr="0001672F">
        <w:rPr>
          <w:rFonts w:ascii="Calibri" w:hAnsi="Calibri" w:cs="Calibri"/>
          <w:sz w:val="22"/>
          <w:szCs w:val="22"/>
        </w:rPr>
        <w:t xml:space="preserve"> </w:t>
      </w:r>
      <w:r w:rsidRPr="0001672F">
        <w:rPr>
          <w:rFonts w:ascii="Calibri" w:hAnsi="Calibri" w:cs="Calibri"/>
          <w:sz w:val="22"/>
          <w:szCs w:val="22"/>
        </w:rPr>
        <w:t>require</w:t>
      </w:r>
      <w:r w:rsidRPr="0001672F">
        <w:rPr>
          <w:rFonts w:ascii="Calibri" w:hAnsi="Calibri" w:cs="Calibri"/>
          <w:sz w:val="22"/>
          <w:szCs w:val="22"/>
        </w:rPr>
        <w:t xml:space="preserve"> university </w:t>
      </w:r>
      <w:r w:rsidRPr="0001672F">
        <w:rPr>
          <w:rFonts w:ascii="Calibri" w:hAnsi="Calibri" w:cs="Calibri"/>
          <w:sz w:val="22"/>
          <w:szCs w:val="22"/>
        </w:rPr>
        <w:t>E</w:t>
      </w:r>
      <w:r w:rsidRPr="0001672F">
        <w:rPr>
          <w:rFonts w:ascii="Calibri" w:hAnsi="Calibri" w:cs="Calibri"/>
          <w:sz w:val="22"/>
          <w:szCs w:val="22"/>
        </w:rPr>
        <w:t xml:space="preserve">xecutives </w:t>
      </w:r>
      <w:r w:rsidRPr="0001672F">
        <w:rPr>
          <w:rFonts w:ascii="Calibri" w:hAnsi="Calibri" w:cs="Calibri"/>
          <w:sz w:val="22"/>
          <w:szCs w:val="22"/>
        </w:rPr>
        <w:t xml:space="preserve">Boards and Council evidence robust </w:t>
      </w:r>
      <w:r w:rsidRPr="0001672F">
        <w:rPr>
          <w:rFonts w:ascii="Calibri" w:hAnsi="Calibri" w:cs="Calibri"/>
          <w:sz w:val="22"/>
          <w:szCs w:val="22"/>
        </w:rPr>
        <w:t xml:space="preserve">oversight of their financial position and associated </w:t>
      </w:r>
      <w:r w:rsidRPr="0001672F">
        <w:rPr>
          <w:rFonts w:ascii="Calibri" w:hAnsi="Calibri" w:cs="Calibri"/>
          <w:sz w:val="22"/>
          <w:szCs w:val="22"/>
        </w:rPr>
        <w:t xml:space="preserve">financial </w:t>
      </w:r>
      <w:r w:rsidRPr="0001672F">
        <w:rPr>
          <w:rFonts w:ascii="Calibri" w:hAnsi="Calibri" w:cs="Calibri"/>
          <w:sz w:val="22"/>
          <w:szCs w:val="22"/>
        </w:rPr>
        <w:t>risks. </w:t>
      </w:r>
    </w:p>
    <w:p w:rsidR="0001672F" w:rsidRPr="0001672F" w:rsidP="00CD747C">
      <w:pPr>
        <w:spacing w:after="0" w:line="276" w:lineRule="auto"/>
        <w:rPr>
          <w:rFonts w:ascii="Calibri" w:hAnsi="Calibri" w:cs="Calibri"/>
          <w:sz w:val="22"/>
          <w:szCs w:val="22"/>
        </w:rPr>
      </w:pPr>
    </w:p>
    <w:p w:rsidR="0001672F" w:rsidRPr="0001672F" w:rsidP="00CD747C">
      <w:pPr>
        <w:spacing w:after="0" w:line="276" w:lineRule="auto"/>
        <w:rPr>
          <w:rFonts w:ascii="Calibri" w:hAnsi="Calibri" w:cs="Calibri"/>
          <w:sz w:val="22"/>
          <w:szCs w:val="22"/>
        </w:rPr>
      </w:pPr>
      <w:r w:rsidRPr="0001672F">
        <w:rPr>
          <w:rFonts w:ascii="Calibri" w:hAnsi="Calibri" w:cs="Calibri"/>
          <w:sz w:val="22"/>
          <w:szCs w:val="22"/>
        </w:rPr>
        <w:t xml:space="preserve">We believe that the Office for Students (OfS) should introduce specific metrics and regulatory measures that will measure financial sustainability, and we strongly support greater information sharing relating to financial challenges and market exit risk, with students being able to easily and clearly access information about the financial viability of a university, and any financial judgements made against a university being published publicly. Universities must </w:t>
      </w:r>
      <w:r w:rsidRPr="0001672F">
        <w:rPr>
          <w:rFonts w:ascii="Calibri" w:hAnsi="Calibri" w:cs="Calibri"/>
          <w:sz w:val="22"/>
          <w:szCs w:val="22"/>
        </w:rPr>
        <w:t xml:space="preserve">also </w:t>
      </w:r>
      <w:r w:rsidRPr="0001672F">
        <w:rPr>
          <w:rFonts w:ascii="Calibri" w:hAnsi="Calibri" w:cs="Calibri"/>
          <w:sz w:val="22"/>
          <w:szCs w:val="22"/>
        </w:rPr>
        <w:t>be able to access a robust mechanism to raise financial concerns, as relying solely on reportable events may mean that some issues are missed. </w:t>
      </w:r>
    </w:p>
    <w:p w:rsidR="0001672F" w:rsidRPr="0001672F" w:rsidP="00CD747C">
      <w:pPr>
        <w:spacing w:after="0" w:line="276" w:lineRule="auto"/>
        <w:jc w:val="both"/>
        <w:rPr>
          <w:rFonts w:ascii="Calibri" w:hAnsi="Calibri" w:cs="Calibri"/>
          <w:b/>
          <w:bCs/>
          <w:sz w:val="22"/>
          <w:szCs w:val="22"/>
        </w:rPr>
      </w:pPr>
      <w:r w:rsidRPr="0001672F">
        <w:rPr>
          <w:rFonts w:ascii="Calibri" w:hAnsi="Calibri" w:cs="Calibri"/>
          <w:b/>
          <w:bCs/>
          <w:sz w:val="22"/>
          <w:szCs w:val="22"/>
        </w:rPr>
        <w:t xml:space="preserve">ENDS </w:t>
      </w:r>
    </w:p>
    <w:p w:rsidR="0001672F" w:rsidRPr="0001672F" w:rsidP="00CD747C">
      <w:pPr>
        <w:spacing w:after="0" w:line="276" w:lineRule="auto"/>
        <w:jc w:val="both"/>
        <w:rPr>
          <w:rFonts w:ascii="Calibri" w:hAnsi="Calibri" w:cs="Calibri"/>
          <w:i/>
          <w:iCs/>
          <w:sz w:val="22"/>
          <w:szCs w:val="22"/>
        </w:rPr>
      </w:pPr>
    </w:p>
    <w:p w:rsidR="0001672F" w:rsidRPr="0001672F" w:rsidP="00CD747C">
      <w:pPr>
        <w:spacing w:after="0" w:line="276" w:lineRule="auto"/>
        <w:jc w:val="both"/>
        <w:rPr>
          <w:rFonts w:ascii="Calibri" w:hAnsi="Calibri" w:cs="Calibri"/>
          <w:i/>
          <w:iCs/>
          <w:sz w:val="22"/>
          <w:szCs w:val="22"/>
        </w:rPr>
      </w:pPr>
      <w:r w:rsidRPr="0001672F">
        <w:rPr>
          <w:rFonts w:ascii="Calibri" w:hAnsi="Calibri" w:cs="Calibri"/>
          <w:i/>
          <w:iCs/>
          <w:sz w:val="22"/>
          <w:szCs w:val="22"/>
        </w:rPr>
        <w:t>September 2025</w:t>
      </w:r>
    </w:p>
    <w:p w:rsidR="0001672F" w:rsidRPr="0001672F" w:rsidP="00CD747C">
      <w:pPr>
        <w:spacing w:after="0" w:line="276" w:lineRule="auto"/>
        <w:jc w:val="both"/>
        <w:rPr>
          <w:rFonts w:ascii="Calibri" w:hAnsi="Calibri" w:cs="Calibri"/>
          <w:sz w:val="22"/>
          <w:szCs w:val="22"/>
        </w:rPr>
      </w:pPr>
    </w:p>
    <w:p w:rsidR="0001672F" w:rsidRPr="0001672F">
      <w:pPr>
        <w:rPr>
          <w:rFonts w:ascii="Calibri" w:hAnsi="Calibri" w:cs="Calibri"/>
          <w:sz w:val="22"/>
          <w:szCs w:val="22"/>
        </w:rPr>
      </w:pPr>
    </w:p>
    <w:sectPr w:rsidSect="00CD747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D101C05"/>
    <w:multiLevelType w:val="hybridMultilevel"/>
    <w:tmpl w:val="569E7E94"/>
    <w:lvl w:ilvl="0">
      <w:start w:val="8"/>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64739C3"/>
    <w:multiLevelType w:val="hybridMultilevel"/>
    <w:tmpl w:val="6C6AB668"/>
    <w:lvl w:ilvl="0">
      <w:start w:val="4"/>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4C052BDE"/>
    <w:multiLevelType w:val="hybridMultilevel"/>
    <w:tmpl w:val="1BBA394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D747C"/>
  </w:style>
  <w:style w:type="paragraph" w:styleId="Heading1">
    <w:name w:val="heading 1"/>
    <w:basedOn w:val="Normal"/>
    <w:next w:val="Normal"/>
    <w:link w:val="Heading1Char"/>
    <w:uiPriority w:val="9"/>
    <w:qFormat/>
    <w:rsid w:val="00CD74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74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74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74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74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74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74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74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74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74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74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74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74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74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74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74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74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747C"/>
    <w:rPr>
      <w:rFonts w:eastAsiaTheme="majorEastAsia" w:cstheme="majorBidi"/>
      <w:color w:val="272727" w:themeColor="text1" w:themeTint="D8"/>
    </w:rPr>
  </w:style>
  <w:style w:type="paragraph" w:styleId="Title">
    <w:name w:val="Title"/>
    <w:basedOn w:val="Normal"/>
    <w:next w:val="Normal"/>
    <w:link w:val="TitleChar"/>
    <w:uiPriority w:val="10"/>
    <w:qFormat/>
    <w:rsid w:val="00CD74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74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74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74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747C"/>
    <w:pPr>
      <w:spacing w:before="160"/>
      <w:jc w:val="center"/>
    </w:pPr>
    <w:rPr>
      <w:i/>
      <w:iCs/>
      <w:color w:val="404040" w:themeColor="text1" w:themeTint="BF"/>
    </w:rPr>
  </w:style>
  <w:style w:type="character" w:customStyle="1" w:styleId="QuoteChar">
    <w:name w:val="Quote Char"/>
    <w:basedOn w:val="DefaultParagraphFont"/>
    <w:link w:val="Quote"/>
    <w:uiPriority w:val="29"/>
    <w:rsid w:val="00CD747C"/>
    <w:rPr>
      <w:i/>
      <w:iCs/>
      <w:color w:val="404040" w:themeColor="text1" w:themeTint="BF"/>
    </w:rPr>
  </w:style>
  <w:style w:type="paragraph" w:styleId="ListParagraph">
    <w:name w:val="List Paragraph"/>
    <w:basedOn w:val="Normal"/>
    <w:uiPriority w:val="34"/>
    <w:qFormat/>
    <w:rsid w:val="00CD747C"/>
    <w:pPr>
      <w:ind w:left="720"/>
      <w:contextualSpacing/>
    </w:pPr>
  </w:style>
  <w:style w:type="character" w:styleId="IntenseEmphasis">
    <w:name w:val="Intense Emphasis"/>
    <w:basedOn w:val="DefaultParagraphFont"/>
    <w:uiPriority w:val="21"/>
    <w:qFormat/>
    <w:rsid w:val="00CD747C"/>
    <w:rPr>
      <w:i/>
      <w:iCs/>
      <w:color w:val="0F4761" w:themeColor="accent1" w:themeShade="BF"/>
    </w:rPr>
  </w:style>
  <w:style w:type="paragraph" w:styleId="IntenseQuote">
    <w:name w:val="Intense Quote"/>
    <w:basedOn w:val="Normal"/>
    <w:next w:val="Normal"/>
    <w:link w:val="IntenseQuoteChar"/>
    <w:uiPriority w:val="30"/>
    <w:qFormat/>
    <w:rsid w:val="00CD74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747C"/>
    <w:rPr>
      <w:i/>
      <w:iCs/>
      <w:color w:val="0F4761" w:themeColor="accent1" w:themeShade="BF"/>
    </w:rPr>
  </w:style>
  <w:style w:type="character" w:styleId="IntenseReference">
    <w:name w:val="Intense Reference"/>
    <w:basedOn w:val="DefaultParagraphFont"/>
    <w:uiPriority w:val="32"/>
    <w:qFormat/>
    <w:rsid w:val="00CD747C"/>
    <w:rPr>
      <w:b/>
      <w:bCs/>
      <w:smallCaps/>
      <w:color w:val="0F4761" w:themeColor="accent1" w:themeShade="BF"/>
      <w:spacing w:val="5"/>
    </w:rPr>
  </w:style>
  <w:style w:type="character" w:styleId="Hyperlink">
    <w:name w:val="Hyperlink"/>
    <w:basedOn w:val="DefaultParagraphFont"/>
    <w:uiPriority w:val="99"/>
    <w:unhideWhenUsed/>
    <w:rsid w:val="00CD747C"/>
    <w:rPr>
      <w:color w:val="467886" w:themeColor="hyperlink"/>
      <w:u w:val="single"/>
    </w:rPr>
  </w:style>
  <w:style w:type="character" w:styleId="FollowedHyperlink">
    <w:name w:val="FollowedHyperlink"/>
    <w:basedOn w:val="DefaultParagraphFont"/>
    <w:uiPriority w:val="99"/>
    <w:semiHidden/>
    <w:unhideWhenUsed/>
    <w:rsid w:val="00CD747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