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5D54" w:rsidRPr="00075D54" w:rsidP="00075D54">
      <w:pPr>
        <w:jc w:val="center"/>
        <w:rPr>
          <w:rFonts w:cstheme="minorHAnsi"/>
          <w:b/>
          <w:bCs/>
        </w:rPr>
      </w:pPr>
    </w:p>
    <w:p w:rsidR="00075D54" w:rsidRPr="00075D54" w:rsidP="00075D54">
      <w:pPr>
        <w:jc w:val="center"/>
        <w:rPr>
          <w:rFonts w:cstheme="minorHAnsi"/>
          <w:b/>
          <w:bCs/>
        </w:rPr>
      </w:pPr>
      <w:r w:rsidRPr="00075D54">
        <w:rPr>
          <w:rFonts w:cstheme="minorHAnsi"/>
          <w:b/>
          <w:bCs/>
        </w:rPr>
        <w:t xml:space="preserve">Written evidence by </w:t>
      </w:r>
      <w:r w:rsidRPr="00075D54">
        <w:rPr>
          <w:rFonts w:cstheme="minorHAnsi"/>
          <w:b/>
          <w:bCs/>
        </w:rPr>
        <w:t xml:space="preserve">Professor Roger Brown (Professor Emeritus and former Vice-Chancellor at Southampton Solent University); Dr Helen Carasso (Honorary </w:t>
      </w:r>
      <w:r w:rsidRPr="00075D54">
        <w:rPr>
          <w:rFonts w:cstheme="minorHAnsi"/>
          <w:b/>
          <w:bCs/>
        </w:rPr>
        <w:t>Norham</w:t>
      </w:r>
      <w:r w:rsidRPr="00075D54">
        <w:rPr>
          <w:rFonts w:cstheme="minorHAnsi"/>
          <w:b/>
          <w:bCs/>
        </w:rPr>
        <w:t xml:space="preserve"> Fellow at Department of Education, University of Oxford)</w:t>
      </w:r>
      <w:r w:rsidRPr="00075D54">
        <w:rPr>
          <w:rFonts w:cstheme="minorHAnsi"/>
          <w:b/>
          <w:bCs/>
        </w:rPr>
        <w:t xml:space="preserve"> (</w:t>
      </w:r>
      <w:r w:rsidRPr="00075D54">
        <w:rPr>
          <w:rFonts w:cstheme="minorHAnsi"/>
          <w:b/>
          <w:bCs/>
        </w:rPr>
        <w:t>HEF0012</w:t>
      </w:r>
      <w:r w:rsidRPr="00075D54">
        <w:rPr>
          <w:rFonts w:cstheme="minorHAnsi"/>
          <w:b/>
          <w:bCs/>
        </w:rPr>
        <w:t>)</w:t>
      </w:r>
    </w:p>
    <w:p w:rsidR="00075D54" w:rsidRPr="00075D54" w:rsidP="00075D54">
      <w:pPr>
        <w:jc w:val="center"/>
        <w:rPr>
          <w:rFonts w:cstheme="minorHAnsi"/>
          <w:b/>
          <w:bCs/>
        </w:rPr>
      </w:pPr>
    </w:p>
    <w:p w:rsidR="00075D54" w:rsidRPr="00075D54">
      <w:pPr>
        <w:rPr>
          <w:rFonts w:cstheme="minorHAnsi"/>
          <w:b/>
          <w:bCs/>
        </w:rPr>
      </w:pPr>
      <w:r w:rsidRPr="00075D54">
        <w:rPr>
          <w:rFonts w:cstheme="minorHAnsi"/>
          <w:b/>
          <w:bCs/>
        </w:rPr>
        <w:t xml:space="preserve">Education committee: </w:t>
      </w:r>
      <w:r w:rsidRPr="00075D54">
        <w:rPr>
          <w:rFonts w:cstheme="minorHAnsi"/>
          <w:b/>
          <w:bCs/>
        </w:rPr>
        <w:t>Higher Education and Funding: Threat of Insolvency and International Students</w:t>
      </w:r>
    </w:p>
    <w:p w:rsidR="00075D54" w:rsidRPr="00075D54">
      <w:pPr>
        <w:rPr>
          <w:rFonts w:cstheme="minorHAnsi"/>
          <w:b/>
          <w:bCs/>
        </w:rPr>
      </w:pPr>
    </w:p>
    <w:p w:rsidR="00075D54" w:rsidRPr="00075D54">
      <w:pPr>
        <w:rPr>
          <w:rFonts w:cstheme="minorHAnsi"/>
          <w:b/>
          <w:bCs/>
        </w:rPr>
      </w:pPr>
      <w:r w:rsidRPr="00075D54">
        <w:rPr>
          <w:rFonts w:cstheme="minorHAnsi"/>
          <w:b/>
          <w:bCs/>
        </w:rPr>
        <w:t xml:space="preserve">Submission of Evidence by Professor Roger Brown and Dr Helen </w:t>
      </w:r>
      <w:r w:rsidRPr="00075D54">
        <w:rPr>
          <w:rFonts w:cstheme="minorHAnsi"/>
          <w:b/>
          <w:bCs/>
        </w:rPr>
        <w:t>Carasso</w:t>
      </w:r>
    </w:p>
    <w:p w:rsidR="00075D54" w:rsidRPr="00075D54" w:rsidP="001968AD">
      <w:pPr>
        <w:rPr>
          <w:rFonts w:cstheme="minorHAnsi"/>
        </w:rPr>
      </w:pPr>
      <w:r w:rsidRPr="00075D54">
        <w:rPr>
          <w:rFonts w:cstheme="minorHAnsi"/>
        </w:rPr>
        <w:t xml:space="preserve">Successive Governments have promised a long-term solution to higher education’s funding but in practice the solution has </w:t>
      </w:r>
      <w:r w:rsidRPr="00075D54">
        <w:rPr>
          <w:rFonts w:cstheme="minorHAnsi"/>
        </w:rPr>
        <w:t xml:space="preserve">increasingly </w:t>
      </w:r>
      <w:r w:rsidRPr="00075D54">
        <w:rPr>
          <w:rFonts w:cstheme="minorHAnsi"/>
        </w:rPr>
        <w:t>been for universities to rely on income from international students to offset losses on teaching home students, postgraduate provision and research. As a result, Government migration policy is of far more importance to the sustainability of the sector than Government policy on higher education.</w:t>
      </w:r>
    </w:p>
    <w:p w:rsidR="00075D54" w:rsidRPr="00075D54">
      <w:pPr>
        <w:rPr>
          <w:rFonts w:cstheme="minorHAnsi"/>
        </w:rPr>
      </w:pPr>
      <w:r w:rsidRPr="00075D54">
        <w:rPr>
          <w:rFonts w:cstheme="minorHAnsi"/>
        </w:rPr>
        <w:t xml:space="preserve">In this context, we submit responses to </w:t>
      </w:r>
      <w:r w:rsidRPr="00075D54">
        <w:rPr>
          <w:rFonts w:cstheme="minorHAnsi"/>
        </w:rPr>
        <w:t>a number of</w:t>
      </w:r>
      <w:r w:rsidRPr="00075D54">
        <w:rPr>
          <w:rFonts w:cstheme="minorHAnsi"/>
        </w:rPr>
        <w:t xml:space="preserve"> the questions that you pose in your Call for Evidence:</w:t>
      </w:r>
    </w:p>
    <w:p w:rsidR="00075D54" w:rsidRPr="00075D54" w:rsidP="001968AD">
      <w:pPr>
        <w:rPr>
          <w:rFonts w:cstheme="minorHAnsi"/>
          <w:b/>
          <w:bCs/>
          <w:i/>
          <w:iCs/>
        </w:rPr>
      </w:pPr>
      <w:r w:rsidRPr="00075D54">
        <w:rPr>
          <w:rFonts w:cstheme="minorHAnsi"/>
          <w:b/>
          <w:bCs/>
          <w:i/>
          <w:iCs/>
        </w:rPr>
        <w:t>Impact of Government Policy on International Students</w:t>
      </w:r>
    </w:p>
    <w:p w:rsidR="00075D54" w:rsidRPr="00075D54" w:rsidP="00635394">
      <w:pPr>
        <w:rPr>
          <w:rFonts w:cstheme="minorHAnsi"/>
        </w:rPr>
      </w:pPr>
      <w:r w:rsidRPr="00075D54">
        <w:rPr>
          <w:rFonts w:cstheme="minorHAnsi"/>
          <w:i/>
          <w:iCs/>
        </w:rPr>
        <w:t>· How will current Government policies affect the financial stability of higher education institutions?</w:t>
      </w:r>
      <w:r w:rsidRPr="00075D54">
        <w:rPr>
          <w:rFonts w:cstheme="minorHAnsi"/>
        </w:rPr>
        <w:t xml:space="preserve"> </w:t>
      </w:r>
    </w:p>
    <w:p w:rsidR="00075D54" w:rsidRPr="00075D54" w:rsidP="00635394">
      <w:pPr>
        <w:rPr>
          <w:rFonts w:cstheme="minorHAnsi"/>
        </w:rPr>
      </w:pPr>
      <w:r w:rsidRPr="00075D54">
        <w:rPr>
          <w:rFonts w:cstheme="minorHAnsi"/>
        </w:rPr>
        <w:t xml:space="preserve">The basic measure of institutional funding is spending per student. This is now at about the same level in real terms as before the 1997 Dearing Committee proposed tuition fees as a solution. There have since been periodic increases in state </w:t>
      </w:r>
      <w:r w:rsidRPr="00075D54">
        <w:rPr>
          <w:rFonts w:cstheme="minorHAnsi"/>
        </w:rPr>
        <w:t>funding</w:t>
      </w:r>
      <w:r w:rsidRPr="00075D54">
        <w:rPr>
          <w:rFonts w:cstheme="minorHAnsi"/>
        </w:rPr>
        <w:t xml:space="preserve"> but none has been sustained so that the tuition fee limit has failed to keep up with institutions’ costs. </w:t>
      </w:r>
    </w:p>
    <w:p w:rsidR="00075D54" w:rsidRPr="00075D54" w:rsidP="00635394">
      <w:pPr>
        <w:rPr>
          <w:rFonts w:cstheme="minorHAnsi"/>
        </w:rPr>
      </w:pPr>
      <w:r w:rsidRPr="00075D54">
        <w:rPr>
          <w:rFonts w:cstheme="minorHAnsi"/>
        </w:rPr>
        <w:t>Beyond efficiency savings</w:t>
      </w:r>
      <w:r w:rsidRPr="00075D54">
        <w:rPr>
          <w:rFonts w:cstheme="minorHAnsi"/>
        </w:rPr>
        <w:t>, r</w:t>
      </w:r>
      <w:r w:rsidRPr="00075D54">
        <w:rPr>
          <w:rFonts w:cstheme="minorHAnsi"/>
        </w:rPr>
        <w:t xml:space="preserve">eductions in quality and attempts to diversify their income sources, the main way in which institutions have responded to these funding pressures has been to increase their intakes of international students, to the point where international students’ fees now constitute </w:t>
      </w:r>
      <w:r w:rsidRPr="00075D54">
        <w:rPr>
          <w:rFonts w:cstheme="minorHAnsi"/>
        </w:rPr>
        <w:t xml:space="preserve">over </w:t>
      </w:r>
      <w:r w:rsidRPr="00075D54">
        <w:rPr>
          <w:rFonts w:cstheme="minorHAnsi"/>
        </w:rPr>
        <w:t xml:space="preserve">a fifth of the </w:t>
      </w:r>
      <w:r w:rsidRPr="00075D54">
        <w:rPr>
          <w:rFonts w:cstheme="minorHAnsi"/>
        </w:rPr>
        <w:t xml:space="preserve">English </w:t>
      </w:r>
      <w:r w:rsidRPr="00075D54">
        <w:rPr>
          <w:rFonts w:cstheme="minorHAnsi"/>
        </w:rPr>
        <w:t>sector’s revenue</w:t>
      </w:r>
      <w:r w:rsidRPr="00075D54">
        <w:rPr>
          <w:rFonts w:cstheme="minorHAnsi"/>
        </w:rPr>
        <w:t xml:space="preserve"> (HESA 2024</w:t>
      </w:r>
      <w:r w:rsidRPr="00075D54">
        <w:rPr>
          <w:rFonts w:cstheme="minorHAnsi"/>
        </w:rPr>
        <w:t>)</w:t>
      </w:r>
      <w:r w:rsidRPr="00075D54">
        <w:rPr>
          <w:rFonts w:cstheme="minorHAnsi"/>
        </w:rPr>
        <w:t xml:space="preserve"> </w:t>
      </w:r>
      <w:r w:rsidRPr="00075D54">
        <w:rPr>
          <w:rFonts w:cstheme="minorHAnsi"/>
        </w:rPr>
        <w:t>.</w:t>
      </w:r>
    </w:p>
    <w:p w:rsidR="00075D54" w:rsidRPr="00075D54" w:rsidP="00635394">
      <w:pPr>
        <w:rPr>
          <w:rFonts w:cstheme="minorHAnsi"/>
        </w:rPr>
      </w:pPr>
      <w:r w:rsidRPr="00075D54">
        <w:rPr>
          <w:rFonts w:cstheme="minorHAnsi"/>
        </w:rPr>
        <w:t xml:space="preserve">There are </w:t>
      </w:r>
      <w:r w:rsidRPr="00075D54">
        <w:rPr>
          <w:rFonts w:cstheme="minorHAnsi"/>
        </w:rPr>
        <w:t>a number of</w:t>
      </w:r>
      <w:r w:rsidRPr="00075D54">
        <w:rPr>
          <w:rFonts w:cstheme="minorHAnsi"/>
        </w:rPr>
        <w:t xml:space="preserve"> problems with this, not least the fact that competition for international students is increasing all the time as new suppliers enter the market </w:t>
      </w:r>
      <w:r w:rsidRPr="00075D54">
        <w:rPr>
          <w:rFonts w:cstheme="minorHAnsi"/>
        </w:rPr>
        <w:t>(here and in other countries with large international student intakes such as Australia)</w:t>
      </w:r>
      <w:r w:rsidRPr="00075D54">
        <w:rPr>
          <w:rFonts w:cstheme="minorHAnsi"/>
        </w:rPr>
        <w:t xml:space="preserve">. </w:t>
      </w:r>
      <w:r w:rsidRPr="00075D54">
        <w:rPr>
          <w:rFonts w:cstheme="minorHAnsi"/>
        </w:rPr>
        <w:t xml:space="preserve">Furthermore,  </w:t>
      </w:r>
      <w:r w:rsidRPr="00075D54">
        <w:rPr>
          <w:rFonts w:cstheme="minorHAnsi"/>
        </w:rPr>
        <w:t>some</w:t>
      </w:r>
      <w:r w:rsidRPr="00075D54">
        <w:rPr>
          <w:rFonts w:cstheme="minorHAnsi"/>
        </w:rPr>
        <w:t xml:space="preserve"> of the original sources of demand </w:t>
      </w:r>
      <w:r w:rsidRPr="00075D54">
        <w:rPr>
          <w:rFonts w:cstheme="minorHAnsi"/>
        </w:rPr>
        <w:t>(such as China) are becoming</w:t>
      </w:r>
      <w:r w:rsidRPr="00075D54">
        <w:rPr>
          <w:rFonts w:cstheme="minorHAnsi"/>
        </w:rPr>
        <w:t xml:space="preserve"> more self-sufficient</w:t>
      </w:r>
      <w:r w:rsidRPr="00075D54">
        <w:rPr>
          <w:rFonts w:cstheme="minorHAnsi"/>
        </w:rPr>
        <w:t xml:space="preserve"> in the provision of higher education</w:t>
      </w:r>
      <w:r w:rsidRPr="00075D54">
        <w:rPr>
          <w:rFonts w:cstheme="minorHAnsi"/>
        </w:rPr>
        <w:t>.</w:t>
      </w:r>
      <w:r w:rsidRPr="00075D54">
        <w:rPr>
          <w:rFonts w:cstheme="minorHAnsi"/>
        </w:rPr>
        <w:t xml:space="preserve"> </w:t>
      </w:r>
      <w:r w:rsidRPr="00075D54">
        <w:rPr>
          <w:rFonts w:cstheme="minorHAnsi"/>
        </w:rPr>
        <w:t>Moreover,</w:t>
      </w:r>
      <w:r w:rsidRPr="00075D54">
        <w:rPr>
          <w:rFonts w:cstheme="minorHAnsi"/>
        </w:rPr>
        <w:t xml:space="preserve"> </w:t>
      </w:r>
      <w:r w:rsidRPr="00075D54">
        <w:rPr>
          <w:rFonts w:cstheme="minorHAnsi"/>
        </w:rPr>
        <w:t xml:space="preserve">export earnings such as international student fees are highly vulnerable to changes in exchange rates. </w:t>
      </w:r>
      <w:r w:rsidRPr="00075D54">
        <w:rPr>
          <w:rFonts w:cstheme="minorHAnsi"/>
        </w:rPr>
        <w:t>So</w:t>
      </w:r>
      <w:r w:rsidRPr="00075D54">
        <w:rPr>
          <w:rFonts w:cstheme="minorHAnsi"/>
        </w:rPr>
        <w:t xml:space="preserve"> this cann</w:t>
      </w:r>
      <w:r w:rsidRPr="00075D54">
        <w:rPr>
          <w:rFonts w:cstheme="minorHAnsi"/>
        </w:rPr>
        <w:t xml:space="preserve">ot </w:t>
      </w:r>
      <w:r w:rsidRPr="00075D54">
        <w:rPr>
          <w:rFonts w:cstheme="minorHAnsi"/>
        </w:rPr>
        <w:t xml:space="preserve">and should not </w:t>
      </w:r>
      <w:r w:rsidRPr="00075D54">
        <w:rPr>
          <w:rFonts w:cstheme="minorHAnsi"/>
        </w:rPr>
        <w:t>be seen as the long-term solution to the sector’s funding problems.</w:t>
      </w:r>
    </w:p>
    <w:p w:rsidR="00075D54" w:rsidRPr="00075D54" w:rsidP="00635394">
      <w:pPr>
        <w:rPr>
          <w:rFonts w:cstheme="minorHAnsi"/>
        </w:rPr>
      </w:pPr>
      <w:r w:rsidRPr="00075D54">
        <w:rPr>
          <w:rFonts w:cstheme="minorHAnsi"/>
        </w:rPr>
        <w:t xml:space="preserve">It is also the case that an individual university’s ability to recruit international students is heavily dependent not only on their – ultimately research-determined – national and international status but also on location, with a high proportion of international students enrolled at institutions in London and the </w:t>
      </w:r>
      <w:r w:rsidRPr="00075D54">
        <w:rPr>
          <w:rFonts w:cstheme="minorHAnsi"/>
        </w:rPr>
        <w:t>South East</w:t>
      </w:r>
      <w:r w:rsidRPr="00075D54">
        <w:rPr>
          <w:rFonts w:cstheme="minorHAnsi"/>
        </w:rPr>
        <w:t>. This then reinforces the stratification of the sector that has accompanied increased market competition as well as contributing to regional economic disparities.</w:t>
      </w:r>
    </w:p>
    <w:p w:rsidR="00075D54" w:rsidRPr="00075D54" w:rsidP="00635394">
      <w:pPr>
        <w:rPr>
          <w:rFonts w:cstheme="minorHAnsi"/>
        </w:rPr>
      </w:pPr>
    </w:p>
    <w:p w:rsidR="00075D54" w:rsidRPr="00075D54" w:rsidP="00566D3D">
      <w:pPr>
        <w:rPr>
          <w:rFonts w:cstheme="minorHAnsi"/>
        </w:rPr>
      </w:pPr>
      <w:r w:rsidRPr="00075D54">
        <w:rPr>
          <w:rFonts w:cstheme="minorHAnsi"/>
          <w:i/>
          <w:iCs/>
        </w:rPr>
        <w:t>· What implications will these policies have on future tuition fee increases?</w:t>
      </w:r>
    </w:p>
    <w:p w:rsidR="00075D54" w:rsidRPr="00075D54" w:rsidP="001968AD">
      <w:pPr>
        <w:rPr>
          <w:rFonts w:cstheme="minorHAnsi"/>
        </w:rPr>
      </w:pPr>
      <w:r w:rsidRPr="00075D54">
        <w:rPr>
          <w:rFonts w:cstheme="minorHAnsi"/>
        </w:rPr>
        <w:t>If a genuine long-term solution is desired, there is no alternative to increasing the tuition fee to a more realistic level and indexing it to changes in universities’ costs. In this context it may be worth noting that the Institute for Fiscal Studies has found that the expense to the taxpayer of higher education loans and grants is more than offset by the net lifetime returns. They estimate a gain to the Exchequer of around £110,000 per student for men and £30,000 per student for women (Britton et al., 202</w:t>
      </w:r>
      <w:r w:rsidRPr="00075D54">
        <w:rPr>
          <w:rFonts w:cstheme="minorHAnsi"/>
        </w:rPr>
        <w:t>0, page 37). In other words, the big winner of the expansion of higher education in the past 20 years has been the taxpayer. It is high time that this ‘higher education dividend’ was recognised and celebrated.</w:t>
      </w:r>
    </w:p>
    <w:p w:rsidR="00075D54" w:rsidRPr="00075D54" w:rsidP="001968AD">
      <w:pPr>
        <w:rPr>
          <w:rFonts w:cstheme="minorHAnsi"/>
          <w:b/>
          <w:bCs/>
          <w:i/>
          <w:iCs/>
        </w:rPr>
      </w:pPr>
      <w:r w:rsidRPr="00075D54">
        <w:rPr>
          <w:rFonts w:cstheme="minorHAnsi"/>
          <w:b/>
          <w:bCs/>
          <w:i/>
          <w:iCs/>
        </w:rPr>
        <w:t>Higher Education Insolvency Protections</w:t>
      </w:r>
    </w:p>
    <w:p w:rsidR="00075D54" w:rsidRPr="00075D54" w:rsidP="001968AD">
      <w:pPr>
        <w:rPr>
          <w:rFonts w:cstheme="minorHAnsi"/>
        </w:rPr>
      </w:pPr>
      <w:r w:rsidRPr="00075D54">
        <w:rPr>
          <w:rFonts w:cstheme="minorHAnsi"/>
        </w:rPr>
        <w:t xml:space="preserve">You also raise the issue of the impacts of the potential insolvency of a Higher Education </w:t>
      </w:r>
      <w:r w:rsidRPr="00075D54">
        <w:rPr>
          <w:rFonts w:cstheme="minorHAnsi"/>
        </w:rPr>
        <w:t>Institution. As O</w:t>
      </w:r>
      <w:r w:rsidRPr="00075D54">
        <w:rPr>
          <w:rFonts w:cstheme="minorHAnsi"/>
        </w:rPr>
        <w:t xml:space="preserve">ffice </w:t>
      </w:r>
      <w:r w:rsidRPr="00075D54">
        <w:rPr>
          <w:rFonts w:cstheme="minorHAnsi"/>
        </w:rPr>
        <w:t>f</w:t>
      </w:r>
      <w:r w:rsidRPr="00075D54">
        <w:rPr>
          <w:rFonts w:cstheme="minorHAnsi"/>
        </w:rPr>
        <w:t xml:space="preserve">or </w:t>
      </w:r>
      <w:r w:rsidRPr="00075D54">
        <w:rPr>
          <w:rFonts w:cstheme="minorHAnsi"/>
        </w:rPr>
        <w:t>S</w:t>
      </w:r>
      <w:r w:rsidRPr="00075D54">
        <w:rPr>
          <w:rFonts w:cstheme="minorHAnsi"/>
        </w:rPr>
        <w:t>tudents</w:t>
      </w:r>
      <w:r w:rsidRPr="00075D54">
        <w:rPr>
          <w:rFonts w:cstheme="minorHAnsi"/>
        </w:rPr>
        <w:t xml:space="preserve"> has highlighted</w:t>
      </w:r>
      <w:r w:rsidRPr="00075D54">
        <w:rPr>
          <w:rFonts w:cstheme="minorHAnsi"/>
        </w:rPr>
        <w:t xml:space="preserve"> (OfS, 2025)</w:t>
      </w:r>
      <w:r w:rsidRPr="00075D54">
        <w:rPr>
          <w:rFonts w:cstheme="minorHAnsi"/>
        </w:rPr>
        <w:t>, this is a very real possibility in the current climate</w:t>
      </w:r>
      <w:r w:rsidRPr="00075D54">
        <w:rPr>
          <w:rFonts w:cstheme="minorHAnsi"/>
        </w:rPr>
        <w:t xml:space="preserve">. The recent case of the University of Dundee demonstrates how a Funding Council can intervene to support an institution facing major financial challenges, in this case with the Scottish Funding Council (SFC) </w:t>
      </w:r>
      <w:r w:rsidRPr="00075D54">
        <w:rPr>
          <w:rFonts w:cstheme="minorHAnsi"/>
        </w:rPr>
        <w:t>giving</w:t>
      </w:r>
      <w:r w:rsidRPr="00075D54">
        <w:rPr>
          <w:rFonts w:cstheme="minorHAnsi"/>
        </w:rPr>
        <w:t xml:space="preserve"> Dundee support to the value of £22m (SFC 2025)</w:t>
      </w:r>
      <w:r w:rsidRPr="00075D54">
        <w:rPr>
          <w:rFonts w:cstheme="minorHAnsi"/>
        </w:rPr>
        <w:t xml:space="preserve"> to see it through a period of planned financial recovery.</w:t>
      </w:r>
    </w:p>
    <w:p w:rsidR="00075D54" w:rsidRPr="00075D54">
      <w:pPr>
        <w:rPr>
          <w:rFonts w:cstheme="minorHAnsi"/>
        </w:rPr>
      </w:pPr>
      <w:r w:rsidRPr="00075D54">
        <w:rPr>
          <w:rFonts w:cstheme="minorHAnsi"/>
        </w:rPr>
        <w:t xml:space="preserve">In England, the regulatory role of the OfS (replacing the former Higher Education Funding Council for England) appears to prevent it acting similarly, should an English institution find itself at risk of closure on financial grounds. </w:t>
      </w:r>
      <w:r w:rsidRPr="00075D54">
        <w:rPr>
          <w:rFonts w:cstheme="minorHAnsi"/>
        </w:rPr>
        <w:t>Therefore</w:t>
      </w:r>
      <w:r w:rsidRPr="00075D54">
        <w:rPr>
          <w:rFonts w:cstheme="minorHAnsi"/>
        </w:rPr>
        <w:t xml:space="preserve"> the provision of continued teaching for enrolled students could presumably only be dependent on </w:t>
      </w:r>
      <w:r w:rsidRPr="00075D54">
        <w:rPr>
          <w:rFonts w:cstheme="minorHAnsi"/>
        </w:rPr>
        <w:t>volun</w:t>
      </w:r>
      <w:r w:rsidRPr="00075D54">
        <w:rPr>
          <w:rFonts w:cstheme="minorHAnsi"/>
        </w:rPr>
        <w:t xml:space="preserve">tary </w:t>
      </w:r>
      <w:r w:rsidRPr="00075D54">
        <w:rPr>
          <w:rFonts w:cstheme="minorHAnsi"/>
        </w:rPr>
        <w:t>arrangements for them to be taken on by other institutions</w:t>
      </w:r>
      <w:r w:rsidRPr="00075D54">
        <w:rPr>
          <w:rFonts w:cstheme="minorHAnsi"/>
        </w:rPr>
        <w:t xml:space="preserve">. </w:t>
      </w:r>
      <w:r w:rsidRPr="00075D54">
        <w:rPr>
          <w:rFonts w:cstheme="minorHAnsi"/>
        </w:rPr>
        <w:t>Counter</w:t>
      </w:r>
      <w:r w:rsidRPr="00075D54">
        <w:rPr>
          <w:rFonts w:cstheme="minorHAnsi"/>
        </w:rPr>
        <w:t>-</w:t>
      </w:r>
      <w:r w:rsidRPr="00075D54">
        <w:rPr>
          <w:rFonts w:cstheme="minorHAnsi"/>
        </w:rPr>
        <w:t>intuitively therefore, i</w:t>
      </w:r>
      <w:r w:rsidRPr="00075D54">
        <w:rPr>
          <w:rFonts w:cstheme="minorHAnsi"/>
        </w:rPr>
        <w:t xml:space="preserve">n such a situation the </w:t>
      </w:r>
      <w:r w:rsidRPr="00075D54">
        <w:rPr>
          <w:rFonts w:cstheme="minorHAnsi"/>
        </w:rPr>
        <w:t xml:space="preserve">single focus </w:t>
      </w:r>
      <w:r w:rsidRPr="00075D54">
        <w:rPr>
          <w:rFonts w:cstheme="minorHAnsi"/>
        </w:rPr>
        <w:t>that is inherent</w:t>
      </w:r>
      <w:r w:rsidRPr="00075D54">
        <w:rPr>
          <w:rFonts w:cstheme="minorHAnsi"/>
        </w:rPr>
        <w:t xml:space="preserve"> </w:t>
      </w:r>
      <w:r w:rsidRPr="00075D54">
        <w:rPr>
          <w:rFonts w:cstheme="minorHAnsi"/>
        </w:rPr>
        <w:t>to</w:t>
      </w:r>
      <w:r w:rsidRPr="00075D54">
        <w:rPr>
          <w:rFonts w:cstheme="minorHAnsi"/>
        </w:rPr>
        <w:t xml:space="preserve"> </w:t>
      </w:r>
      <w:r w:rsidRPr="00075D54">
        <w:rPr>
          <w:rFonts w:cstheme="minorHAnsi"/>
        </w:rPr>
        <w:t xml:space="preserve">the </w:t>
      </w:r>
      <w:r w:rsidRPr="00075D54">
        <w:rPr>
          <w:rFonts w:cstheme="minorHAnsi"/>
        </w:rPr>
        <w:t xml:space="preserve">Office for Students </w:t>
      </w:r>
      <w:r w:rsidRPr="00075D54">
        <w:rPr>
          <w:rFonts w:cstheme="minorHAnsi"/>
        </w:rPr>
        <w:t>gives significantly less protection to English students than is available to their counterparts in Scotland.</w:t>
      </w:r>
    </w:p>
    <w:p w:rsidR="00075D54" w:rsidRPr="00075D54">
      <w:pPr>
        <w:rPr>
          <w:rFonts w:cstheme="minorHAnsi"/>
        </w:rPr>
      </w:pPr>
      <w:r w:rsidRPr="00075D54">
        <w:rPr>
          <w:rFonts w:cstheme="minorHAnsi"/>
        </w:rPr>
        <w:t>We would be happy to provide further information in relation to the points made here, should the Committee have any questions</w:t>
      </w:r>
    </w:p>
    <w:p w:rsidR="00075D54" w:rsidRPr="00075D54">
      <w:pPr>
        <w:rPr>
          <w:rFonts w:cstheme="minorHAnsi"/>
        </w:rPr>
      </w:pPr>
    </w:p>
    <w:p w:rsidR="00075D54" w:rsidRPr="00075D54">
      <w:pPr>
        <w:rPr>
          <w:rFonts w:cstheme="minorHAnsi"/>
          <w:i/>
          <w:iCs/>
        </w:rPr>
      </w:pPr>
      <w:r w:rsidRPr="00075D54">
        <w:rPr>
          <w:rFonts w:cstheme="minorHAnsi"/>
          <w:i/>
          <w:iCs/>
        </w:rPr>
        <w:t>The</w:t>
      </w:r>
      <w:r w:rsidRPr="00075D54">
        <w:rPr>
          <w:rFonts w:cstheme="minorHAnsi"/>
          <w:i/>
          <w:iCs/>
        </w:rPr>
        <w:t xml:space="preserve"> authors</w:t>
      </w:r>
      <w:r w:rsidRPr="00075D54">
        <w:rPr>
          <w:rFonts w:cstheme="minorHAnsi"/>
          <w:i/>
          <w:iCs/>
        </w:rPr>
        <w:t>:</w:t>
      </w:r>
    </w:p>
    <w:p w:rsidR="00075D54" w:rsidRPr="00075D54">
      <w:pPr>
        <w:rPr>
          <w:rFonts w:cstheme="minorHAnsi"/>
        </w:rPr>
      </w:pPr>
      <w:r w:rsidRPr="00075D54">
        <w:rPr>
          <w:rFonts w:cstheme="minorHAnsi"/>
        </w:rPr>
        <w:t xml:space="preserve">Roger Brown is the former Vice Chancellor of </w:t>
      </w:r>
      <w:r w:rsidRPr="00075D54">
        <w:rPr>
          <w:rFonts w:cstheme="minorHAnsi"/>
        </w:rPr>
        <w:t>Southampton Solent University, now Professor Emeritus. Helen Carasso is Hon</w:t>
      </w:r>
      <w:r w:rsidRPr="00075D54">
        <w:rPr>
          <w:rFonts w:cstheme="minorHAnsi"/>
        </w:rPr>
        <w:t>orary</w:t>
      </w:r>
      <w:r w:rsidRPr="00075D54">
        <w:rPr>
          <w:rFonts w:cstheme="minorHAnsi"/>
        </w:rPr>
        <w:t xml:space="preserve"> Norham Fellow</w:t>
      </w:r>
      <w:r w:rsidRPr="00075D54">
        <w:rPr>
          <w:rFonts w:cstheme="minorHAnsi"/>
        </w:rPr>
        <w:t xml:space="preserve"> at </w:t>
      </w:r>
      <w:r w:rsidRPr="00075D54">
        <w:rPr>
          <w:rFonts w:cstheme="minorHAnsi"/>
        </w:rPr>
        <w:t>the Department of Education of the</w:t>
      </w:r>
      <w:r w:rsidRPr="00075D54">
        <w:rPr>
          <w:rFonts w:cstheme="minorHAnsi"/>
        </w:rPr>
        <w:t xml:space="preserve"> University of Oxford. They have published </w:t>
      </w:r>
      <w:r w:rsidRPr="00075D54">
        <w:rPr>
          <w:rFonts w:cstheme="minorHAnsi"/>
        </w:rPr>
        <w:t xml:space="preserve">several books and articles on higher education policy, notably </w:t>
      </w:r>
      <w:r w:rsidRPr="00075D54">
        <w:rPr>
          <w:rFonts w:cstheme="minorHAnsi"/>
          <w:i/>
          <w:iCs/>
        </w:rPr>
        <w:t xml:space="preserve">Everything for Sale? The Marketisation of UK Higher Education </w:t>
      </w:r>
      <w:r w:rsidRPr="00075D54">
        <w:rPr>
          <w:rFonts w:cstheme="minorHAnsi"/>
        </w:rPr>
        <w:t xml:space="preserve">(Routledge, 2013). They are currently working on </w:t>
      </w:r>
      <w:r w:rsidRPr="00075D54">
        <w:rPr>
          <w:rFonts w:cstheme="minorHAnsi"/>
          <w:i/>
          <w:iCs/>
        </w:rPr>
        <w:t xml:space="preserve">Every Student Has Their Price: The Neoliberal Remaking of Higher Education in England </w:t>
      </w:r>
      <w:r w:rsidRPr="00075D54">
        <w:rPr>
          <w:rFonts w:cstheme="minorHAnsi"/>
        </w:rPr>
        <w:t>to be published by Policy Press in 2026.</w:t>
      </w:r>
    </w:p>
    <w:p w:rsidR="00075D54" w:rsidRPr="00075D54">
      <w:pPr>
        <w:rPr>
          <w:rFonts w:cstheme="minorHAnsi"/>
          <w:b/>
          <w:bCs/>
        </w:rPr>
      </w:pPr>
      <w:r w:rsidRPr="00075D54">
        <w:rPr>
          <w:rFonts w:cstheme="minorHAnsi"/>
          <w:b/>
          <w:bCs/>
        </w:rPr>
        <w:t>Reference</w:t>
      </w:r>
      <w:r w:rsidRPr="00075D54">
        <w:rPr>
          <w:rFonts w:cstheme="minorHAnsi"/>
          <w:b/>
          <w:bCs/>
        </w:rPr>
        <w:t>s</w:t>
      </w:r>
    </w:p>
    <w:p w:rsidR="00075D54" w:rsidRPr="00075D54">
      <w:pPr>
        <w:rPr>
          <w:rFonts w:cstheme="minorHAnsi"/>
        </w:rPr>
      </w:pPr>
      <w:r w:rsidRPr="00075D54">
        <w:rPr>
          <w:rFonts w:cstheme="minorHAnsi"/>
          <w:b/>
          <w:bCs/>
        </w:rPr>
        <w:t xml:space="preserve">Britton, J., </w:t>
      </w:r>
      <w:r w:rsidRPr="00075D54">
        <w:rPr>
          <w:rFonts w:cstheme="minorHAnsi"/>
          <w:b/>
          <w:bCs/>
        </w:rPr>
        <w:t>Dearden, L., van der Erve, L. and Waltmann, B. (2020)</w:t>
      </w:r>
      <w:r w:rsidRPr="00075D54">
        <w:rPr>
          <w:rFonts w:cstheme="minorHAnsi"/>
        </w:rPr>
        <w:t xml:space="preserve"> The impact of undergraduate degrees on lifetime earnings. </w:t>
      </w:r>
      <w:r w:rsidRPr="00075D54">
        <w:rPr>
          <w:rFonts w:cstheme="minorHAnsi"/>
          <w:i/>
          <w:iCs/>
        </w:rPr>
        <w:t>London:</w:t>
      </w:r>
      <w:r w:rsidRPr="00075D54">
        <w:rPr>
          <w:rFonts w:cstheme="minorHAnsi"/>
        </w:rPr>
        <w:t xml:space="preserve"> </w:t>
      </w:r>
      <w:r w:rsidRPr="00075D54">
        <w:rPr>
          <w:rFonts w:cstheme="minorHAnsi"/>
          <w:i/>
          <w:iCs/>
        </w:rPr>
        <w:t>Institute for Fiscal Studies</w:t>
      </w:r>
    </w:p>
    <w:p w:rsidR="00075D54" w:rsidRPr="00075D54">
      <w:pPr>
        <w:rPr>
          <w:rFonts w:cstheme="minorHAnsi"/>
          <w:b/>
          <w:bCs/>
        </w:rPr>
      </w:pPr>
    </w:p>
    <w:p w:rsidR="00075D54" w:rsidRPr="00075D54">
      <w:pPr>
        <w:rPr>
          <w:rFonts w:cstheme="minorHAnsi"/>
        </w:rPr>
      </w:pPr>
      <w:r w:rsidRPr="00075D54">
        <w:rPr>
          <w:rFonts w:cstheme="minorHAnsi"/>
          <w:b/>
          <w:bCs/>
        </w:rPr>
        <w:t>Higher Education Statistics Agency (HESA) (2024)</w:t>
      </w:r>
      <w:r w:rsidRPr="00075D54">
        <w:rPr>
          <w:rFonts w:cstheme="minorHAnsi"/>
          <w:b/>
          <w:bCs/>
        </w:rPr>
        <w:t xml:space="preserve"> </w:t>
      </w:r>
      <w:r w:rsidRPr="00075D54">
        <w:rPr>
          <w:rFonts w:cstheme="minorHAnsi"/>
        </w:rPr>
        <w:t xml:space="preserve">Open Data and Official </w:t>
      </w:r>
      <w:r w:rsidRPr="00075D54">
        <w:rPr>
          <w:rFonts w:cstheme="minorHAnsi"/>
        </w:rPr>
        <w:t>Statistics</w:t>
      </w:r>
      <w:r w:rsidRPr="00075D54">
        <w:rPr>
          <w:rFonts w:cstheme="minorHAnsi"/>
          <w:b/>
          <w:bCs/>
        </w:rPr>
        <w:t xml:space="preserve"> </w:t>
      </w:r>
      <w:r w:rsidRPr="00075D54">
        <w:rPr>
          <w:rFonts w:cstheme="minorHAnsi"/>
        </w:rPr>
        <w:t xml:space="preserve"> </w:t>
      </w:r>
      <w:r w:rsidRPr="00075D54">
        <w:rPr>
          <w:rFonts w:cstheme="minorHAnsi"/>
        </w:rPr>
        <w:t>(</w:t>
      </w:r>
      <w:r w:rsidRPr="00075D54">
        <w:rPr>
          <w:rFonts w:cstheme="minorHAnsi"/>
        </w:rPr>
        <w:t>last accessed 14 July 2025)</w:t>
      </w:r>
    </w:p>
    <w:p w:rsidR="00075D54" w:rsidRPr="00075D54">
      <w:pPr>
        <w:rPr>
          <w:rFonts w:cstheme="minorHAnsi"/>
        </w:rPr>
      </w:pPr>
      <w:r w:rsidRPr="00075D54">
        <w:rPr>
          <w:rFonts w:cstheme="minorHAnsi"/>
          <w:b/>
          <w:bCs/>
        </w:rPr>
        <w:t>Office for Students (OfS) (2025)</w:t>
      </w:r>
      <w:r w:rsidRPr="00075D54">
        <w:rPr>
          <w:rFonts w:cstheme="minorHAnsi"/>
        </w:rPr>
        <w:t xml:space="preserve"> Financial sustainability of higher education institutions in England 2025 [ref OfS 2025.26] </w:t>
      </w:r>
      <w:r w:rsidRPr="00075D54">
        <w:rPr>
          <w:rFonts w:cstheme="minorHAnsi"/>
          <w:i/>
          <w:iCs/>
        </w:rPr>
        <w:t>Bristol: OfS</w:t>
      </w:r>
    </w:p>
    <w:p w:rsidR="00075D54" w:rsidRPr="00075D54">
      <w:pPr>
        <w:rPr>
          <w:rFonts w:cstheme="minorHAnsi"/>
        </w:rPr>
      </w:pPr>
      <w:r w:rsidRPr="00075D54">
        <w:rPr>
          <w:rFonts w:cstheme="minorHAnsi"/>
          <w:b/>
          <w:bCs/>
        </w:rPr>
        <w:t>Scottish Funding Council (SFC) (2025)</w:t>
      </w:r>
      <w:r w:rsidRPr="00075D54">
        <w:rPr>
          <w:rFonts w:cstheme="minorHAnsi"/>
        </w:rPr>
        <w:t xml:space="preserve"> </w:t>
      </w:r>
      <w:r w:rsidRPr="00075D54">
        <w:rPr>
          <w:rFonts w:cstheme="minorHAnsi"/>
        </w:rPr>
        <w:t>https://www.sfc.ac.uk/?news=funding-support-package-for-the-university-of-dundee</w:t>
      </w:r>
      <w:r w:rsidRPr="00075D54">
        <w:rPr>
          <w:rFonts w:cstheme="minorHAnsi"/>
        </w:rPr>
        <w:t xml:space="preserve"> (Last accessed 10 July 2025)</w:t>
      </w:r>
    </w:p>
    <w:p w:rsidR="00075D54" w:rsidRPr="00075D54">
      <w:pPr>
        <w:rPr>
          <w:rFonts w:cstheme="minorHAnsi"/>
          <w:i/>
          <w:iCs/>
        </w:rPr>
      </w:pPr>
      <w:r w:rsidRPr="00075D54">
        <w:rPr>
          <w:rFonts w:cstheme="minorHAnsi"/>
          <w:i/>
          <w:iCs/>
        </w:rPr>
        <w:t>September 2025</w:t>
      </w:r>
    </w:p>
    <w:p w:rsidR="00075D54" w:rsidRPr="00075D54">
      <w:pPr>
        <w:rPr>
          <w:rFonts w:cstheme="minorHAnsi"/>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C26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C26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C26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26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26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2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2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2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2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26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C26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C26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26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268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2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2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2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2683"/>
    <w:rPr>
      <w:rFonts w:eastAsiaTheme="majorEastAsia" w:cstheme="majorBidi"/>
      <w:color w:val="272727" w:themeColor="text1" w:themeTint="D8"/>
    </w:rPr>
  </w:style>
  <w:style w:type="paragraph" w:styleId="Title">
    <w:name w:val="Title"/>
    <w:basedOn w:val="Normal"/>
    <w:next w:val="Normal"/>
    <w:link w:val="TitleChar"/>
    <w:uiPriority w:val="10"/>
    <w:qFormat/>
    <w:rsid w:val="008C2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2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2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2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2683"/>
    <w:pPr>
      <w:spacing w:before="160"/>
      <w:jc w:val="center"/>
    </w:pPr>
    <w:rPr>
      <w:i/>
      <w:iCs/>
      <w:color w:val="404040" w:themeColor="text1" w:themeTint="BF"/>
    </w:rPr>
  </w:style>
  <w:style w:type="character" w:customStyle="1" w:styleId="QuoteChar">
    <w:name w:val="Quote Char"/>
    <w:basedOn w:val="DefaultParagraphFont"/>
    <w:link w:val="Quote"/>
    <w:uiPriority w:val="29"/>
    <w:rsid w:val="008C2683"/>
    <w:rPr>
      <w:i/>
      <w:iCs/>
      <w:color w:val="404040" w:themeColor="text1" w:themeTint="BF"/>
    </w:rPr>
  </w:style>
  <w:style w:type="paragraph" w:styleId="ListParagraph">
    <w:name w:val="List Paragraph"/>
    <w:basedOn w:val="Normal"/>
    <w:uiPriority w:val="34"/>
    <w:qFormat/>
    <w:rsid w:val="008C2683"/>
    <w:pPr>
      <w:ind w:left="720"/>
      <w:contextualSpacing/>
    </w:pPr>
  </w:style>
  <w:style w:type="character" w:styleId="IntenseEmphasis">
    <w:name w:val="Intense Emphasis"/>
    <w:basedOn w:val="DefaultParagraphFont"/>
    <w:uiPriority w:val="21"/>
    <w:qFormat/>
    <w:rsid w:val="008C2683"/>
    <w:rPr>
      <w:i/>
      <w:iCs/>
      <w:color w:val="2F5496" w:themeColor="accent1" w:themeShade="BF"/>
    </w:rPr>
  </w:style>
  <w:style w:type="paragraph" w:styleId="IntenseQuote">
    <w:name w:val="Intense Quote"/>
    <w:basedOn w:val="Normal"/>
    <w:next w:val="Normal"/>
    <w:link w:val="IntenseQuoteChar"/>
    <w:uiPriority w:val="30"/>
    <w:qFormat/>
    <w:rsid w:val="008C26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2683"/>
    <w:rPr>
      <w:i/>
      <w:iCs/>
      <w:color w:val="2F5496" w:themeColor="accent1" w:themeShade="BF"/>
    </w:rPr>
  </w:style>
  <w:style w:type="character" w:styleId="IntenseReference">
    <w:name w:val="Intense Reference"/>
    <w:basedOn w:val="DefaultParagraphFont"/>
    <w:uiPriority w:val="32"/>
    <w:qFormat/>
    <w:rsid w:val="008C2683"/>
    <w:rPr>
      <w:b/>
      <w:bCs/>
      <w:smallCaps/>
      <w:color w:val="2F5496" w:themeColor="accent1" w:themeShade="BF"/>
      <w:spacing w:val="5"/>
    </w:rPr>
  </w:style>
  <w:style w:type="character" w:styleId="Hyperlink">
    <w:name w:val="Hyperlink"/>
    <w:basedOn w:val="DefaultParagraphFont"/>
    <w:uiPriority w:val="99"/>
    <w:unhideWhenUsed/>
    <w:rsid w:val="002C5503"/>
    <w:rPr>
      <w:color w:val="0563C1" w:themeColor="hyperlink"/>
      <w:u w:val="single"/>
    </w:rPr>
  </w:style>
  <w:style w:type="character" w:customStyle="1" w:styleId="UnresolvedMention1">
    <w:name w:val="Unresolved Mention1"/>
    <w:basedOn w:val="DefaultParagraphFont"/>
    <w:uiPriority w:val="99"/>
    <w:semiHidden/>
    <w:unhideWhenUsed/>
    <w:rsid w:val="002C55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