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10BDE" w:rsidRPr="00C75BC3" w:rsidP="00E10BDE">
      <w:pPr>
        <w:ind w:left="1440" w:hanging="1440"/>
        <w:jc w:val="center"/>
        <w:rPr>
          <w:rStyle w:val="normaltextrun"/>
          <w:rFonts w:ascii="Palatino" w:hAnsi="Palatino" w:eastAsiaTheme="majorEastAsia" w:cs="Arial"/>
          <w:b/>
          <w:bCs/>
          <w:color w:val="000000"/>
          <w:u w:val="single"/>
          <w:shd w:val="clear" w:color="auto" w:fill="FFFFFF"/>
        </w:rPr>
      </w:pPr>
    </w:p>
    <w:p w:rsidR="00E10BDE" w:rsidRPr="00C75BC3" w:rsidP="00E10BDE">
      <w:pPr>
        <w:ind w:left="1440" w:hanging="1440"/>
        <w:jc w:val="center"/>
        <w:rPr>
          <w:rStyle w:val="normaltextrun"/>
          <w:rFonts w:ascii="Palatino" w:hAnsi="Palatino" w:eastAsiaTheme="majorEastAsia" w:cs="Arial"/>
          <w:b/>
          <w:bCs/>
          <w:color w:val="000000"/>
          <w:shd w:val="clear" w:color="auto" w:fill="FFFFFF"/>
        </w:rPr>
      </w:pPr>
      <w:r w:rsidRPr="00C75BC3">
        <w:rPr>
          <w:rStyle w:val="normaltextrun"/>
          <w:rFonts w:ascii="Palatino" w:hAnsi="Palatino" w:eastAsiaTheme="majorEastAsia" w:cs="Arial"/>
          <w:b/>
          <w:bCs/>
          <w:color w:val="000000"/>
          <w:shd w:val="clear" w:color="auto" w:fill="FFFFFF"/>
        </w:rPr>
        <w:t>INTERNATIONAL CENTRE OF JUSTICE FOR PALESTINIANS</w:t>
      </w:r>
    </w:p>
    <w:p w:rsidR="00E10BDE" w:rsidRPr="00C75BC3" w:rsidP="00E10BDE">
      <w:pPr>
        <w:ind w:left="1440" w:hanging="1440"/>
        <w:jc w:val="center"/>
        <w:rPr>
          <w:rStyle w:val="normaltextrun"/>
          <w:rFonts w:ascii="Palatino" w:hAnsi="Palatino" w:eastAsiaTheme="majorEastAsia" w:cs="Arial"/>
          <w:b/>
          <w:bCs/>
          <w:color w:val="000000"/>
          <w:shd w:val="clear" w:color="auto" w:fill="FFFFFF"/>
        </w:rPr>
      </w:pPr>
    </w:p>
    <w:p w:rsidR="00E10BDE" w:rsidRPr="00C75BC3" w:rsidP="00E10BDE">
      <w:pPr>
        <w:ind w:left="1440" w:hanging="1440"/>
        <w:jc w:val="center"/>
        <w:rPr>
          <w:rStyle w:val="normaltextrun"/>
          <w:rFonts w:ascii="Palatino" w:hAnsi="Palatino" w:eastAsiaTheme="majorEastAsia" w:cs="Arial"/>
          <w:b/>
          <w:bCs/>
          <w:color w:val="000000"/>
          <w:shd w:val="clear" w:color="auto" w:fill="FFFFFF"/>
        </w:rPr>
      </w:pPr>
      <w:r w:rsidRPr="00C75BC3">
        <w:rPr>
          <w:rStyle w:val="normaltextrun"/>
          <w:rFonts w:ascii="Palatino" w:hAnsi="Palatino" w:eastAsiaTheme="majorEastAsia" w:cs="Arial"/>
          <w:b/>
          <w:bCs/>
          <w:color w:val="000000"/>
          <w:shd w:val="clear" w:color="auto" w:fill="FFFFFF"/>
        </w:rPr>
        <w:t>SUBMISSION TO THE INTERNATIONAL DEVELOPMENT COMMITTEE</w:t>
      </w:r>
    </w:p>
    <w:p w:rsidR="00E10BDE" w:rsidRPr="00C75BC3" w:rsidP="00E10BDE">
      <w:pPr>
        <w:ind w:left="1440" w:hanging="1440"/>
        <w:jc w:val="center"/>
        <w:rPr>
          <w:rStyle w:val="normaltextrun"/>
          <w:rFonts w:ascii="Palatino" w:hAnsi="Palatino" w:eastAsiaTheme="majorEastAsia" w:cs="Arial"/>
          <w:b/>
          <w:bCs/>
          <w:color w:val="000000"/>
          <w:shd w:val="clear" w:color="auto" w:fill="FFFFFF"/>
        </w:rPr>
      </w:pPr>
    </w:p>
    <w:p w:rsidR="00E10BDE" w:rsidRPr="00C75BC3" w:rsidP="00E10BDE">
      <w:pPr>
        <w:pBdr>
          <w:bottom w:val="single" w:sz="12" w:space="1" w:color="auto"/>
        </w:pBdr>
        <w:ind w:left="1440" w:hanging="1440"/>
        <w:jc w:val="center"/>
        <w:rPr>
          <w:rStyle w:val="normaltextrun"/>
          <w:rFonts w:ascii="Palatino" w:hAnsi="Palatino" w:eastAsiaTheme="majorEastAsia" w:cs="Arial"/>
          <w:b/>
          <w:bCs/>
          <w:color w:val="000000"/>
          <w:shd w:val="clear" w:color="auto" w:fill="FFFFFF"/>
        </w:rPr>
      </w:pPr>
      <w:r w:rsidRPr="00C75BC3">
        <w:rPr>
          <w:rStyle w:val="normaltextrun"/>
          <w:rFonts w:ascii="Palatino" w:hAnsi="Palatino" w:eastAsiaTheme="majorEastAsia" w:cs="Arial"/>
          <w:b/>
          <w:bCs/>
          <w:color w:val="000000"/>
          <w:shd w:val="clear" w:color="auto" w:fill="FFFFFF"/>
        </w:rPr>
        <w:t>JANUARY 2025</w:t>
      </w:r>
    </w:p>
    <w:p w:rsidR="000D7870" w:rsidRPr="007B52EC" w:rsidP="00E10BDE">
      <w:pPr>
        <w:jc w:val="both"/>
        <w:rPr>
          <w:rStyle w:val="normaltextrun"/>
          <w:rFonts w:ascii="Arial" w:hAnsi="Arial" w:eastAsiaTheme="majorEastAsia" w:cs="Arial"/>
          <w:b/>
          <w:bCs/>
          <w:i/>
          <w:iCs/>
          <w:color w:val="000000" w:themeColor="text1"/>
          <w:sz w:val="22"/>
          <w:szCs w:val="22"/>
          <w:u w:val="single"/>
          <w:shd w:val="clear" w:color="auto" w:fill="FFFFFF"/>
        </w:rPr>
      </w:pPr>
    </w:p>
    <w:p w:rsidR="00E10BDE" w:rsidRPr="008B1E41" w:rsidP="00E10BDE">
      <w:pPr>
        <w:jc w:val="both"/>
        <w:rPr>
          <w:rFonts w:ascii="Palatino" w:hAnsi="Palatino" w:cs="Arial"/>
          <w:strike/>
        </w:rPr>
      </w:pPr>
    </w:p>
    <w:p w:rsidR="000D7870" w:rsidRPr="000D7870" w:rsidP="00E10BDE">
      <w:pPr>
        <w:jc w:val="both"/>
        <w:rPr>
          <w:rFonts w:ascii="Palatino" w:hAnsi="Palatino" w:cs="Arial"/>
          <w:b/>
          <w:bCs/>
          <w:u w:val="single"/>
        </w:rPr>
      </w:pPr>
      <w:r w:rsidRPr="000D7870">
        <w:rPr>
          <w:rFonts w:ascii="Palatino" w:hAnsi="Palatino" w:cs="Arial"/>
          <w:b/>
          <w:bCs/>
          <w:u w:val="single"/>
        </w:rPr>
        <w:t>Introduction</w:t>
      </w:r>
    </w:p>
    <w:p w:rsidR="00E10BDE" w:rsidRPr="00E10BDE" w:rsidP="00E10BDE">
      <w:pPr>
        <w:jc w:val="both"/>
        <w:rPr>
          <w:rFonts w:ascii="Palatino" w:hAnsi="Palatino" w:cs="Arial"/>
        </w:rPr>
      </w:pPr>
    </w:p>
    <w:p w:rsidR="00E10BDE" w:rsidRPr="00412B0B" w:rsidP="00412B0B">
      <w:pPr>
        <w:jc w:val="both"/>
        <w:rPr>
          <w:rStyle w:val="normaltextrun"/>
          <w:rFonts w:ascii="Palatino" w:hAnsi="Palatino" w:eastAsiaTheme="majorEastAsia" w:cs="Arial"/>
        </w:rPr>
      </w:pPr>
      <w:r w:rsidRPr="00412B0B">
        <w:rPr>
          <w:rFonts w:ascii="Palatino" w:hAnsi="Palatino" w:cs="Arial"/>
          <w:color w:val="000000"/>
          <w:shd w:val="clear" w:color="auto" w:fill="FFFFFF"/>
        </w:rPr>
        <w:t>The International Centre of Justice for Palestinians (ICJP)</w:t>
      </w:r>
      <w:r>
        <w:rPr>
          <w:rStyle w:val="FootnoteReference"/>
          <w:rFonts w:ascii="Palatino" w:hAnsi="Palatino" w:eastAsiaTheme="majorEastAsia" w:cs="Arial"/>
          <w:color w:val="000000"/>
          <w:shd w:val="clear" w:color="auto" w:fill="FFFFFF"/>
        </w:rPr>
        <w:footnoteReference w:id="2"/>
      </w:r>
      <w:r w:rsidRPr="00412B0B">
        <w:rPr>
          <w:rFonts w:ascii="Palatino" w:hAnsi="Palatino" w:cs="Arial"/>
          <w:color w:val="000000"/>
          <w:shd w:val="clear" w:color="auto" w:fill="FFFFFF"/>
        </w:rPr>
        <w:t xml:space="preserve"> is an independent organisation of lawyers, academics and politicians that works to protect and support the rights of Palestinians. ICJP was established with the objective of seeking justice and accountability for Israel’s longstanding, systematic violations of the rights of Palestinians under international law, including </w:t>
      </w:r>
      <w:r w:rsidRPr="00412B0B">
        <w:rPr>
          <w:rFonts w:ascii="Palatino" w:hAnsi="Palatino" w:cs="Arial"/>
          <w:color w:val="000000"/>
          <w:shd w:val="clear" w:color="auto" w:fill="FFFFFF"/>
        </w:rPr>
        <w:t>those which amount</w:t>
      </w:r>
      <w:r w:rsidRPr="00412B0B">
        <w:rPr>
          <w:rFonts w:ascii="Palatino" w:hAnsi="Palatino" w:cs="Arial"/>
          <w:color w:val="000000"/>
          <w:shd w:val="clear" w:color="auto" w:fill="FFFFFF"/>
        </w:rPr>
        <w:t xml:space="preserve"> to international crimes.</w:t>
      </w:r>
    </w:p>
    <w:p w:rsidR="00E10BDE" w:rsidRPr="00E10BDE" w:rsidP="00E10BDE">
      <w:pPr>
        <w:pStyle w:val="ListParagraph"/>
        <w:jc w:val="both"/>
        <w:rPr>
          <w:rStyle w:val="normaltextrun"/>
          <w:rFonts w:ascii="Palatino" w:hAnsi="Palatino" w:eastAsiaTheme="majorEastAsia" w:cs="Arial"/>
        </w:rPr>
      </w:pPr>
    </w:p>
    <w:p w:rsidR="00E10BDE" w:rsidRPr="00412B0B" w:rsidP="00412B0B">
      <w:pPr>
        <w:jc w:val="both"/>
        <w:rPr>
          <w:rFonts w:ascii="Palatino" w:hAnsi="Palatino" w:eastAsiaTheme="majorEastAsia" w:cs="Arial"/>
        </w:rPr>
      </w:pPr>
      <w:r w:rsidRPr="00412B0B">
        <w:rPr>
          <w:rStyle w:val="normaltextrun"/>
          <w:rFonts w:ascii="Palatino" w:hAnsi="Palatino" w:eastAsiaTheme="majorEastAsia" w:cs="Arial"/>
          <w:color w:val="000000"/>
          <w:shd w:val="clear" w:color="auto" w:fill="FFFFFF"/>
        </w:rPr>
        <w:t>ICJP wishes to submit evidence</w:t>
      </w:r>
      <w:r w:rsidRPr="00412B0B">
        <w:rPr>
          <w:rFonts w:ascii="Palatino" w:hAnsi="Palatino" w:cs="Arial"/>
        </w:rPr>
        <w:t xml:space="preserve"> in respect to the Call for Evidence issued by the International Development Committee on: “</w:t>
      </w:r>
      <w:r w:rsidRPr="00412B0B">
        <w:rPr>
          <w:rFonts w:ascii="Palatino" w:hAnsi="Palatino" w:cs="Arial"/>
          <w:i/>
          <w:iCs/>
        </w:rPr>
        <w:t xml:space="preserve">Humanitarian access and adherence to international humanitarian law – written evidence”. </w:t>
      </w:r>
      <w:r w:rsidRPr="00412B0B">
        <w:rPr>
          <w:rFonts w:ascii="Palatino" w:hAnsi="Palatino" w:cs="Arial"/>
        </w:rPr>
        <w:t xml:space="preserve">This submission will make special reference to the humanitarian and international humanitarian law </w:t>
      </w:r>
      <w:r w:rsidRPr="00412B0B" w:rsidR="006B0D1A">
        <w:rPr>
          <w:rFonts w:ascii="Palatino" w:hAnsi="Palatino" w:cs="Arial"/>
        </w:rPr>
        <w:t xml:space="preserve">(IHL) </w:t>
      </w:r>
      <w:r w:rsidRPr="00412B0B">
        <w:rPr>
          <w:rFonts w:ascii="Palatino" w:hAnsi="Palatino" w:cs="Arial"/>
        </w:rPr>
        <w:t xml:space="preserve">considerations arising from the Palestinian context, which hold – in our estimation – cautionary relevance for humanitarian and </w:t>
      </w:r>
      <w:r w:rsidRPr="00412B0B" w:rsidR="006B0D1A">
        <w:rPr>
          <w:rFonts w:ascii="Palatino" w:hAnsi="Palatino" w:cs="Arial"/>
        </w:rPr>
        <w:t>IHL</w:t>
      </w:r>
      <w:r w:rsidRPr="00412B0B">
        <w:rPr>
          <w:rFonts w:ascii="Palatino" w:hAnsi="Palatino" w:cs="Arial"/>
        </w:rPr>
        <w:t xml:space="preserve"> systems writ large.</w:t>
      </w:r>
    </w:p>
    <w:p w:rsidR="00E10BDE" w:rsidRPr="00E10BDE" w:rsidP="00E10BDE">
      <w:pPr>
        <w:pStyle w:val="ListParagraph"/>
        <w:rPr>
          <w:rStyle w:val="normaltextrun"/>
          <w:rFonts w:ascii="Palatino" w:hAnsi="Palatino" w:eastAsiaTheme="majorEastAsia" w:cs="Arial"/>
        </w:rPr>
      </w:pPr>
    </w:p>
    <w:p w:rsidR="00E10BDE" w:rsidRPr="009576F9" w:rsidP="00E10BDE">
      <w:pPr>
        <w:jc w:val="both"/>
        <w:rPr>
          <w:rFonts w:ascii="Palatino" w:hAnsi="Palatino" w:cs="Arial"/>
          <w:b/>
          <w:bCs/>
        </w:rPr>
      </w:pPr>
      <w:r w:rsidRPr="009576F9">
        <w:rPr>
          <w:rFonts w:ascii="Palatino" w:hAnsi="Palatino" w:cs="Arial"/>
          <w:b/>
          <w:bCs/>
        </w:rPr>
        <w:t>What are the current trends in adherence to international humanitarian law in conflicts, particularly regarding the safe delivery of humanitarian assistance?</w:t>
      </w:r>
      <w:r w:rsidRPr="009576F9">
        <w:rPr>
          <w:rFonts w:ascii="Palatino" w:hAnsi="Palatino" w:cs="Arial"/>
          <w:b/>
          <w:bCs/>
        </w:rPr>
        <w:br/>
      </w:r>
    </w:p>
    <w:p w:rsidR="00E10BDE" w:rsidRPr="00E10BDE" w:rsidP="00E10BDE">
      <w:pPr>
        <w:pStyle w:val="ListParagraph"/>
        <w:numPr>
          <w:ilvl w:val="0"/>
          <w:numId w:val="2"/>
        </w:numPr>
        <w:jc w:val="both"/>
        <w:rPr>
          <w:rFonts w:ascii="Palatino" w:hAnsi="Palatino" w:cs="Arial"/>
        </w:rPr>
      </w:pPr>
      <w:r w:rsidRPr="00E10BDE">
        <w:rPr>
          <w:rFonts w:ascii="Palatino" w:hAnsi="Palatino" w:cs="Arial"/>
        </w:rPr>
        <w:t xml:space="preserve">Adherence to established norms of </w:t>
      </w:r>
      <w:r w:rsidR="006B0D1A">
        <w:rPr>
          <w:rFonts w:ascii="Palatino" w:hAnsi="Palatino" w:cs="Arial"/>
        </w:rPr>
        <w:t>IHL</w:t>
      </w:r>
      <w:r w:rsidRPr="00E10BDE">
        <w:rPr>
          <w:rFonts w:ascii="Palatino" w:hAnsi="Palatino" w:cs="Arial"/>
        </w:rPr>
        <w:t xml:space="preserve"> in conflict, particularly as regards the safety of humanitarian workers, is sharply trending downwards.</w:t>
      </w:r>
      <w:r>
        <w:rPr>
          <w:rFonts w:ascii="Palatino" w:hAnsi="Palatino" w:cs="Arial"/>
        </w:rPr>
        <w:t xml:space="preserve"> </w:t>
      </w:r>
      <w:r w:rsidRPr="00E10BDE">
        <w:rPr>
          <w:rFonts w:ascii="Palatino" w:hAnsi="Palatino" w:cs="Arial"/>
        </w:rPr>
        <w:t>Excluding figures for the occupied Palestinian territory (oPt), 2023 saw 91 humanitarian workers killed, 120 wounded.</w:t>
      </w:r>
      <w:r>
        <w:rPr>
          <w:rStyle w:val="FootnoteReference"/>
          <w:rFonts w:ascii="Palatino" w:hAnsi="Palatino" w:cs="Arial"/>
        </w:rPr>
        <w:footnoteReference w:id="3"/>
      </w:r>
      <w:r w:rsidRPr="00E10BDE">
        <w:rPr>
          <w:rFonts w:ascii="Palatino" w:hAnsi="Palatino" w:cs="Arial"/>
        </w:rPr>
        <w:t xml:space="preserve"> </w:t>
      </w:r>
      <w:r>
        <w:rPr>
          <w:rFonts w:ascii="Palatino" w:hAnsi="Palatino" w:cs="Arial"/>
        </w:rPr>
        <w:t>T</w:t>
      </w:r>
      <w:r w:rsidRPr="00E10BDE">
        <w:rPr>
          <w:rFonts w:ascii="Palatino" w:hAnsi="Palatino" w:cs="Arial"/>
        </w:rPr>
        <w:t>hose individuals</w:t>
      </w:r>
      <w:r>
        <w:rPr>
          <w:rFonts w:ascii="Palatino" w:hAnsi="Palatino" w:cs="Arial"/>
        </w:rPr>
        <w:t xml:space="preserve"> were</w:t>
      </w:r>
      <w:r w:rsidRPr="00E10BDE">
        <w:rPr>
          <w:rFonts w:ascii="Palatino" w:hAnsi="Palatino" w:cs="Arial"/>
        </w:rPr>
        <w:t xml:space="preserve"> killed across 14 conflicts in Sudan, Ukraine, the Democratic Republic of Congo, and elsewhere. </w:t>
      </w:r>
    </w:p>
    <w:p w:rsidR="00E10BDE" w:rsidRPr="00E10BDE" w:rsidP="00E10BDE">
      <w:pPr>
        <w:jc w:val="both"/>
        <w:rPr>
          <w:rFonts w:ascii="Palatino" w:hAnsi="Palatino" w:cs="Arial"/>
        </w:rPr>
      </w:pPr>
    </w:p>
    <w:p w:rsidR="00F30459" w:rsidRPr="00F30459" w:rsidP="00E10BDE">
      <w:pPr>
        <w:pStyle w:val="ListParagraph"/>
        <w:numPr>
          <w:ilvl w:val="0"/>
          <w:numId w:val="2"/>
        </w:numPr>
        <w:jc w:val="both"/>
        <w:rPr>
          <w:rFonts w:ascii="Palatino" w:hAnsi="Palatino" w:eastAsiaTheme="majorEastAsia" w:cs="Arial"/>
        </w:rPr>
      </w:pPr>
      <w:r w:rsidRPr="00F30459">
        <w:rPr>
          <w:rFonts w:ascii="Palatino" w:hAnsi="Palatino" w:cs="Arial"/>
        </w:rPr>
        <w:t>In the first two months of Israel’s war on Gaza, October-December 2023, 142 staff members were killed from one UN agency alone – the United Nations Relief and Works Agency for Palestine Refugees (UNRWA).</w:t>
      </w:r>
      <w:r>
        <w:rPr>
          <w:rStyle w:val="FootnoteReference"/>
          <w:rFonts w:ascii="Palatino" w:hAnsi="Palatino" w:cs="Arial"/>
        </w:rPr>
        <w:footnoteReference w:id="4"/>
      </w:r>
      <w:r w:rsidRPr="00F30459">
        <w:rPr>
          <w:rFonts w:ascii="Palatino" w:hAnsi="Palatino" w:cs="Arial"/>
        </w:rPr>
        <w:t xml:space="preserve"> Within two months, the number of aid workers killed in Gaza exceeded the total annual number of aid workers killed globally for each year of the preceding decade.</w:t>
      </w:r>
      <w:r>
        <w:rPr>
          <w:rStyle w:val="FootnoteReference"/>
          <w:rFonts w:ascii="Palatino" w:hAnsi="Palatino" w:cs="Arial"/>
        </w:rPr>
        <w:footnoteReference w:id="5"/>
      </w:r>
      <w:r w:rsidRPr="00F30459">
        <w:rPr>
          <w:rFonts w:ascii="Palatino" w:hAnsi="Palatino" w:cs="Arial"/>
        </w:rPr>
        <w:t xml:space="preserve"> Attacks on humanitarian staff continued at pace throughout 2024, with at least 178 humanitarian workers killed in Palestine from January to November, driving a record-breaking year for aid worker killings which the UN aid chief described as marking the “era of impunity”.</w:t>
      </w:r>
      <w:r>
        <w:rPr>
          <w:rStyle w:val="FootnoteReference"/>
          <w:rFonts w:ascii="Palatino" w:hAnsi="Palatino" w:cs="Arial"/>
        </w:rPr>
        <w:footnoteReference w:id="6"/>
      </w:r>
      <w:r w:rsidRPr="00F30459">
        <w:rPr>
          <w:rFonts w:ascii="Palatino" w:hAnsi="Palatino" w:cs="Arial"/>
        </w:rPr>
        <w:t xml:space="preserve"> </w:t>
      </w:r>
    </w:p>
    <w:p w:rsidR="00F30459" w:rsidRPr="00F30459" w:rsidP="00F30459">
      <w:pPr>
        <w:pStyle w:val="ListParagraph"/>
        <w:rPr>
          <w:rFonts w:ascii="Palatino" w:hAnsi="Palatino" w:cs="Arial"/>
        </w:rPr>
      </w:pPr>
    </w:p>
    <w:p w:rsidR="009F27F5" w:rsidP="009F27F5">
      <w:pPr>
        <w:pStyle w:val="ListParagraph"/>
        <w:numPr>
          <w:ilvl w:val="0"/>
          <w:numId w:val="2"/>
        </w:numPr>
        <w:jc w:val="both"/>
        <w:rPr>
          <w:rFonts w:ascii="Palatino" w:hAnsi="Palatino" w:eastAsiaTheme="majorEastAsia" w:cs="Arial"/>
        </w:rPr>
      </w:pPr>
      <w:r>
        <w:rPr>
          <w:rFonts w:ascii="Palatino" w:hAnsi="Palatino" w:cs="Arial"/>
        </w:rPr>
        <w:t xml:space="preserve">The impunity thus described operates as an enabler of the growing trend of non-compliance with </w:t>
      </w:r>
      <w:r w:rsidR="006B0D1A">
        <w:rPr>
          <w:rFonts w:ascii="Palatino" w:hAnsi="Palatino" w:cs="Arial"/>
        </w:rPr>
        <w:t>IHL.</w:t>
      </w:r>
      <w:r>
        <w:rPr>
          <w:rFonts w:ascii="Palatino" w:hAnsi="Palatino" w:cs="Arial"/>
        </w:rPr>
        <w:t xml:space="preserve"> Early this year (2025), the Executive Director of the Global Interagency Security Forum remarked that the biggest development of </w:t>
      </w:r>
      <w:r>
        <w:rPr>
          <w:rFonts w:ascii="Palatino" w:hAnsi="Palatino" w:cs="Arial"/>
        </w:rPr>
        <w:t>the last 12 months affecting the aid sector is “without a doubt non-compliance with IHL”</w:t>
      </w:r>
      <w:r>
        <w:rPr>
          <w:rFonts w:ascii="Palatino" w:hAnsi="Palatino" w:cs="Arial"/>
        </w:rPr>
        <w:t>,</w:t>
      </w:r>
      <w:r>
        <w:rPr>
          <w:rStyle w:val="FootnoteReference"/>
          <w:rFonts w:ascii="Palatino" w:hAnsi="Palatino" w:cs="Arial"/>
        </w:rPr>
        <w:footnoteReference w:id="7"/>
      </w:r>
      <w:r>
        <w:rPr>
          <w:rFonts w:ascii="Palatino" w:hAnsi="Palatino" w:cs="Arial"/>
        </w:rPr>
        <w:t xml:space="preserve"> noting specifically direct attacks on aid workers, failures to protect aid personnel, and attempts to criminalise humanitarian aid. </w:t>
      </w:r>
      <w:r w:rsidRPr="009F27F5">
        <w:rPr>
          <w:rFonts w:ascii="Palatino" w:hAnsi="Palatino" w:eastAsiaTheme="majorEastAsia" w:cs="Arial"/>
        </w:rPr>
        <w:t>These stated concerns aptly describe developments since 2023 in Gaza, where ‘wanton destruction’ of civilian infrastructure</w:t>
      </w:r>
      <w:r>
        <w:rPr>
          <w:rStyle w:val="FootnoteReference"/>
          <w:rFonts w:ascii="Palatino" w:hAnsi="Palatino" w:cs="Arial"/>
        </w:rPr>
        <w:footnoteReference w:id="8"/>
      </w:r>
      <w:r w:rsidRPr="009F27F5">
        <w:rPr>
          <w:rFonts w:ascii="Palatino" w:hAnsi="Palatino" w:eastAsiaTheme="majorEastAsia" w:cs="Arial"/>
        </w:rPr>
        <w:t xml:space="preserve"> has been accompanied by direct and deliberate targeting of humanitarian </w:t>
      </w:r>
      <w:r>
        <w:rPr>
          <w:rFonts w:ascii="Palatino" w:hAnsi="Palatino" w:eastAsiaTheme="majorEastAsia" w:cs="Arial"/>
        </w:rPr>
        <w:t xml:space="preserve">and medical </w:t>
      </w:r>
      <w:r w:rsidRPr="009F27F5">
        <w:rPr>
          <w:rFonts w:ascii="Palatino" w:hAnsi="Palatino" w:eastAsiaTheme="majorEastAsia" w:cs="Arial"/>
        </w:rPr>
        <w:t>personnel</w:t>
      </w:r>
      <w:r>
        <w:rPr>
          <w:rStyle w:val="FootnoteReference"/>
          <w:rFonts w:ascii="Palatino" w:hAnsi="Palatino" w:eastAsiaTheme="majorEastAsia" w:cs="Arial"/>
        </w:rPr>
        <w:footnoteReference w:id="9"/>
      </w:r>
      <w:r>
        <w:rPr>
          <w:rStyle w:val="FootnoteReference"/>
          <w:rFonts w:ascii="Palatino" w:hAnsi="Palatino" w:eastAsiaTheme="majorEastAsia" w:cs="Arial"/>
        </w:rPr>
        <w:footnoteReference w:id="10"/>
      </w:r>
      <w:r w:rsidR="005A04AF">
        <w:rPr>
          <w:rFonts w:ascii="Palatino" w:hAnsi="Palatino" w:eastAsiaTheme="majorEastAsia" w:cs="Arial"/>
        </w:rPr>
        <w:t xml:space="preserve"> and the misuse of medical emblems protected under the Geneva Conventions for the purposes of military raids and operations.</w:t>
      </w:r>
      <w:r>
        <w:rPr>
          <w:rStyle w:val="FootnoteReference"/>
          <w:rFonts w:ascii="Palatino" w:hAnsi="Palatino" w:eastAsiaTheme="majorEastAsia" w:cs="Arial"/>
        </w:rPr>
        <w:footnoteReference w:id="11"/>
      </w:r>
    </w:p>
    <w:p w:rsidR="006226E0" w:rsidRPr="006226E0" w:rsidP="006226E0">
      <w:pPr>
        <w:pStyle w:val="ListParagraph"/>
        <w:rPr>
          <w:rFonts w:ascii="Palatino" w:hAnsi="Palatino" w:eastAsiaTheme="majorEastAsia" w:cs="Arial"/>
        </w:rPr>
      </w:pPr>
    </w:p>
    <w:p w:rsidR="006226E0" w:rsidRPr="00C73706" w:rsidP="006226E0">
      <w:pPr>
        <w:jc w:val="both"/>
        <w:rPr>
          <w:rFonts w:ascii="Palatino" w:hAnsi="Palatino" w:cs="Arial"/>
          <w:b/>
        </w:rPr>
      </w:pPr>
      <w:r w:rsidRPr="00C73706">
        <w:rPr>
          <w:rFonts w:ascii="Palatino" w:hAnsi="Palatino" w:cs="Arial"/>
          <w:b/>
        </w:rPr>
        <w:t>What impact does lack of adherence have to both the physical access to humanitarian supplies and the safe operation of aid workers?</w:t>
      </w:r>
      <w:r>
        <w:rPr>
          <w:rFonts w:ascii="Palatino" w:hAnsi="Palatino" w:cs="Arial"/>
          <w:b/>
        </w:rPr>
        <w:br/>
      </w:r>
    </w:p>
    <w:p w:rsidR="006226E0" w:rsidRPr="00412B0B" w:rsidP="00412B0B">
      <w:pPr>
        <w:pStyle w:val="ListParagraph"/>
        <w:numPr>
          <w:ilvl w:val="0"/>
          <w:numId w:val="2"/>
        </w:numPr>
        <w:jc w:val="both"/>
        <w:rPr>
          <w:rFonts w:ascii="Palatino" w:hAnsi="Palatino" w:eastAsiaTheme="majorEastAsia" w:cs="Arial"/>
          <w:b/>
          <w:bCs/>
        </w:rPr>
      </w:pPr>
      <w:r w:rsidRPr="003135D4">
        <w:rPr>
          <w:rFonts w:ascii="Palatino" w:hAnsi="Palatino" w:eastAsiaTheme="majorEastAsia" w:cs="Arial"/>
        </w:rPr>
        <w:t>Non-compliance with IHL imperils the lives and safety of aid workers, as established [paras. 1-2], while furthermore endangering the population whom their operations intend to serve.</w:t>
      </w:r>
      <w:r w:rsidRPr="003135D4" w:rsidR="003135D4">
        <w:rPr>
          <w:rFonts w:ascii="Palatino" w:hAnsi="Palatino" w:eastAsiaTheme="majorEastAsia" w:cs="Arial"/>
        </w:rPr>
        <w:t xml:space="preserve"> Following incidents of attacks on humanitarian workers and facilities, </w:t>
      </w:r>
      <w:r w:rsidRPr="003135D4" w:rsidR="003135D4">
        <w:rPr>
          <w:rFonts w:ascii="Palatino" w:hAnsi="Palatino" w:eastAsiaTheme="majorEastAsia" w:cs="Arial"/>
        </w:rPr>
        <w:t>a number of</w:t>
      </w:r>
      <w:r w:rsidRPr="003135D4" w:rsidR="003135D4">
        <w:rPr>
          <w:rFonts w:ascii="Palatino" w:hAnsi="Palatino" w:eastAsiaTheme="majorEastAsia" w:cs="Arial"/>
        </w:rPr>
        <w:t xml:space="preserve"> aid organisations have suspended their operations</w:t>
      </w:r>
      <w:r>
        <w:rPr>
          <w:rStyle w:val="FootnoteReference"/>
          <w:rFonts w:ascii="Palatino" w:hAnsi="Palatino" w:eastAsiaTheme="majorEastAsia" w:cs="Arial"/>
        </w:rPr>
        <w:footnoteReference w:id="12"/>
      </w:r>
      <w:r w:rsidRPr="003135D4" w:rsidR="003135D4">
        <w:rPr>
          <w:rFonts w:ascii="Palatino" w:hAnsi="Palatino" w:eastAsiaTheme="majorEastAsia" w:cs="Arial"/>
        </w:rPr>
        <w:t xml:space="preserve"> – with the International Criminal Court’s Chief Prosecutor concluding that Israel’s</w:t>
      </w:r>
      <w:r w:rsidRPr="003135D4" w:rsidR="006563F3">
        <w:rPr>
          <w:rFonts w:ascii="Palatino" w:hAnsi="Palatino" w:cs="Arial"/>
          <w:i/>
        </w:rPr>
        <w:t xml:space="preserve"> </w:t>
      </w:r>
      <w:r w:rsidR="003135D4">
        <w:rPr>
          <w:rFonts w:ascii="Palatino" w:hAnsi="Palatino" w:cs="Arial"/>
          <w:i/>
        </w:rPr>
        <w:t>“</w:t>
      </w:r>
      <w:r w:rsidRPr="003135D4" w:rsidR="006563F3">
        <w:rPr>
          <w:rFonts w:ascii="Palatino" w:hAnsi="Palatino" w:cs="Arial"/>
          <w:i/>
        </w:rPr>
        <w:t>attacks on and killing of aid workers, which forced many agencies to cease or limit their operations in Gaza</w:t>
      </w:r>
      <w:r w:rsidRPr="003135D4" w:rsidR="006563F3">
        <w:rPr>
          <w:rFonts w:ascii="Palatino" w:hAnsi="Palatino" w:cs="Arial"/>
        </w:rPr>
        <w:t>” were committed as part of a common plan to enact violence against Gaza’s civilian population.</w:t>
      </w:r>
      <w:r>
        <w:rPr>
          <w:rStyle w:val="FootnoteReference"/>
          <w:rFonts w:ascii="Palatino" w:hAnsi="Palatino" w:cs="Arial"/>
        </w:rPr>
        <w:footnoteReference w:id="13"/>
      </w:r>
      <w:r w:rsidRPr="00412B0B" w:rsidR="00191BE5">
        <w:rPr>
          <w:rFonts w:ascii="Palatino" w:hAnsi="Palatino" w:eastAsiaTheme="majorEastAsia" w:cs="Arial"/>
          <w:b/>
          <w:bCs/>
        </w:rPr>
        <w:br/>
      </w:r>
    </w:p>
    <w:p w:rsidR="00412B0B" w:rsidRPr="00412B0B" w:rsidP="006563F3">
      <w:pPr>
        <w:pStyle w:val="ListParagraph"/>
        <w:numPr>
          <w:ilvl w:val="0"/>
          <w:numId w:val="2"/>
        </w:numPr>
        <w:jc w:val="both"/>
        <w:rPr>
          <w:rFonts w:ascii="Palatino" w:hAnsi="Palatino" w:eastAsiaTheme="majorEastAsia" w:cs="Arial"/>
        </w:rPr>
      </w:pPr>
      <w:r>
        <w:rPr>
          <w:rFonts w:ascii="Palatino" w:hAnsi="Palatino" w:eastAsiaTheme="majorEastAsia" w:cs="Arial"/>
        </w:rPr>
        <w:t>The impacts upon medical staff, including Palestinian medical professionals and international medical humanitarians, is of central concern. Over 1000 Palestinian healthcare workers have been killed within Gaza since October 2023</w:t>
      </w:r>
      <w:r>
        <w:rPr>
          <w:rStyle w:val="FootnoteReference"/>
          <w:rFonts w:ascii="Palatino" w:hAnsi="Palatino" w:cs="Arial"/>
        </w:rPr>
        <w:footnoteReference w:id="14"/>
      </w:r>
      <w:r>
        <w:rPr>
          <w:rFonts w:ascii="Palatino" w:hAnsi="Palatino" w:eastAsiaTheme="majorEastAsia" w:cs="Arial"/>
        </w:rPr>
        <w:t>, while international delegations have been subject to attacks and raids.</w:t>
      </w:r>
      <w:r>
        <w:rPr>
          <w:rStyle w:val="FootnoteReference"/>
          <w:rFonts w:ascii="Palatino" w:hAnsi="Palatino" w:eastAsiaTheme="majorEastAsia" w:cs="Arial"/>
        </w:rPr>
        <w:footnoteReference w:id="15"/>
      </w:r>
      <w:r w:rsidR="006563F3">
        <w:rPr>
          <w:rFonts w:ascii="Palatino" w:hAnsi="Palatino" w:eastAsiaTheme="majorEastAsia" w:cs="Arial"/>
        </w:rPr>
        <w:t xml:space="preserve"> The ICC’s Pre-Trial Chamber concluded that these attacks on healthcare </w:t>
      </w:r>
      <w:r w:rsidR="006563F3">
        <w:rPr>
          <w:rFonts w:ascii="Palatino" w:hAnsi="Palatino" w:eastAsiaTheme="majorEastAsia" w:cs="Arial"/>
        </w:rPr>
        <w:t>facilities and workers intended to deprive the population of Gaza of objects indispensable to their survival.</w:t>
      </w:r>
      <w:r w:rsidRPr="006563F3" w:rsidR="006563F3">
        <w:rPr>
          <w:rFonts w:ascii="Palatino" w:hAnsi="Palatino" w:cs="Arial"/>
        </w:rPr>
        <w:t xml:space="preserve"> </w:t>
      </w:r>
      <w:r>
        <w:rPr>
          <w:rStyle w:val="FootnoteReference"/>
          <w:rFonts w:ascii="Palatino" w:hAnsi="Palatino" w:cs="Arial"/>
        </w:rPr>
        <w:footnoteReference w:id="16"/>
      </w:r>
    </w:p>
    <w:p w:rsidR="006563F3" w:rsidRPr="00412B0B" w:rsidP="00412B0B">
      <w:pPr>
        <w:pStyle w:val="ListParagraph"/>
        <w:jc w:val="both"/>
        <w:rPr>
          <w:rFonts w:ascii="Palatino" w:hAnsi="Palatino" w:eastAsiaTheme="majorEastAsia" w:cs="Arial"/>
        </w:rPr>
      </w:pPr>
      <w:r w:rsidRPr="00412B0B">
        <w:rPr>
          <w:rFonts w:ascii="Palatino" w:hAnsi="Palatino" w:cs="Arial"/>
        </w:rPr>
        <w:br/>
      </w:r>
    </w:p>
    <w:p w:rsidR="006563F3" w:rsidRPr="00C73706" w:rsidP="006563F3">
      <w:pPr>
        <w:jc w:val="both"/>
        <w:rPr>
          <w:rFonts w:ascii="Palatino" w:eastAsia="Palatino Linotype" w:hAnsi="Palatino" w:cs="Palatino Linotype"/>
          <w:b/>
          <w:color w:val="000000" w:themeColor="text1"/>
        </w:rPr>
      </w:pPr>
      <w:r w:rsidRPr="00C73706">
        <w:rPr>
          <w:rFonts w:ascii="Palatino" w:eastAsia="Palatino Linotype" w:hAnsi="Palatino" w:cs="Palatino Linotype"/>
          <w:b/>
          <w:color w:val="000000" w:themeColor="text1"/>
        </w:rPr>
        <w:t>How has the level of risk for aid workers changed in recent years and where does responsibility for their protection lie? What protections are available and are they adequate?</w:t>
      </w:r>
    </w:p>
    <w:p w:rsidR="006563F3" w:rsidRPr="009576F9" w:rsidP="006563F3">
      <w:pPr>
        <w:jc w:val="both"/>
        <w:rPr>
          <w:rFonts w:ascii="Palatino" w:eastAsia="Palatino Linotype" w:hAnsi="Palatino" w:cs="Palatino Linotype"/>
          <w:b/>
          <w:bCs/>
          <w:color w:val="000000" w:themeColor="text1"/>
        </w:rPr>
      </w:pPr>
    </w:p>
    <w:p w:rsidR="006563F3" w:rsidRPr="006563F3" w:rsidP="006563F3">
      <w:pPr>
        <w:pStyle w:val="ListParagraph"/>
        <w:numPr>
          <w:ilvl w:val="0"/>
          <w:numId w:val="2"/>
        </w:numPr>
        <w:jc w:val="both"/>
        <w:rPr>
          <w:rFonts w:ascii="Palatino" w:eastAsia="Palatino Linotype" w:hAnsi="Palatino" w:cs="Palatino Linotype"/>
          <w:color w:val="000000" w:themeColor="text1"/>
        </w:rPr>
      </w:pPr>
      <w:r w:rsidRPr="006563F3">
        <w:rPr>
          <w:rFonts w:ascii="Palatino" w:eastAsia="Palatino Linotype" w:hAnsi="Palatino" w:cs="Palatino Linotype"/>
          <w:color w:val="000000" w:themeColor="text1"/>
        </w:rPr>
        <w:t xml:space="preserve">As stated, </w:t>
      </w:r>
      <w:r w:rsidR="00412B0B">
        <w:rPr>
          <w:rFonts w:ascii="Palatino" w:eastAsia="Palatino Linotype" w:hAnsi="Palatino" w:cs="Palatino Linotype"/>
          <w:color w:val="000000" w:themeColor="text1"/>
        </w:rPr>
        <w:t xml:space="preserve">in the context under consideration </w:t>
      </w:r>
      <w:r w:rsidRPr="006563F3">
        <w:rPr>
          <w:rFonts w:ascii="Palatino" w:eastAsia="Palatino Linotype" w:hAnsi="Palatino" w:cs="Palatino Linotype"/>
          <w:color w:val="000000" w:themeColor="text1"/>
        </w:rPr>
        <w:t>the level of risk for aid workers has changed principally because Israel’s military practices include the deliberate targeting of medical and humanitarian staff, and the deliberate deprivation of equipment and supplies necessary for their safe and effective operation. Where an occupying state is failing to adhere to these responsibilities (or</w:t>
      </w:r>
      <w:r w:rsidR="00412B0B">
        <w:rPr>
          <w:rFonts w:ascii="Palatino" w:eastAsia="Palatino Linotype" w:hAnsi="Palatino" w:cs="Palatino Linotype"/>
          <w:color w:val="000000" w:themeColor="text1"/>
        </w:rPr>
        <w:t xml:space="preserve"> </w:t>
      </w:r>
      <w:r w:rsidRPr="006563F3">
        <w:rPr>
          <w:rFonts w:ascii="Palatino" w:eastAsia="Palatino Linotype" w:hAnsi="Palatino" w:cs="Palatino Linotype"/>
          <w:color w:val="000000" w:themeColor="text1"/>
        </w:rPr>
        <w:t xml:space="preserve">deliberately violating them in service of </w:t>
      </w:r>
      <w:r w:rsidR="00412B0B">
        <w:rPr>
          <w:rFonts w:ascii="Palatino" w:eastAsia="Palatino Linotype" w:hAnsi="Palatino" w:cs="Palatino Linotype"/>
          <w:color w:val="000000" w:themeColor="text1"/>
        </w:rPr>
        <w:t xml:space="preserve">alleged </w:t>
      </w:r>
      <w:r w:rsidRPr="006563F3">
        <w:rPr>
          <w:rFonts w:ascii="Palatino" w:eastAsia="Palatino Linotype" w:hAnsi="Palatino" w:cs="Palatino Linotype"/>
          <w:color w:val="000000" w:themeColor="text1"/>
        </w:rPr>
        <w:t>military practices of genocide,</w:t>
      </w:r>
      <w:r>
        <w:rPr>
          <w:rFonts w:eastAsia="Palatino Linotype"/>
          <w:vertAlign w:val="superscript"/>
        </w:rPr>
        <w:footnoteReference w:id="17"/>
      </w:r>
      <w:r w:rsidRPr="006563F3">
        <w:rPr>
          <w:rFonts w:ascii="Palatino" w:eastAsia="Palatino Linotype" w:hAnsi="Palatino" w:cs="Palatino Linotype"/>
          <w:color w:val="000000" w:themeColor="text1"/>
        </w:rPr>
        <w:t xml:space="preserve"> extermination</w:t>
      </w:r>
      <w:r>
        <w:rPr>
          <w:rFonts w:eastAsia="Palatino Linotype"/>
          <w:vertAlign w:val="superscript"/>
        </w:rPr>
        <w:footnoteReference w:id="18"/>
      </w:r>
      <w:r w:rsidRPr="006563F3">
        <w:rPr>
          <w:rFonts w:ascii="Palatino" w:eastAsia="Palatino Linotype" w:hAnsi="Palatino" w:cs="Palatino Linotype"/>
          <w:color w:val="000000" w:themeColor="text1"/>
        </w:rPr>
        <w:t>, and collective punishment</w:t>
      </w:r>
      <w:r>
        <w:rPr>
          <w:rFonts w:eastAsia="Palatino Linotype"/>
          <w:vertAlign w:val="superscript"/>
        </w:rPr>
        <w:footnoteReference w:id="19"/>
      </w:r>
      <w:r w:rsidRPr="006563F3">
        <w:rPr>
          <w:rFonts w:ascii="Palatino" w:eastAsia="Palatino Linotype" w:hAnsi="Palatino" w:cs="Palatino Linotype"/>
          <w:color w:val="000000" w:themeColor="text1"/>
        </w:rPr>
        <w:t xml:space="preserve">), there is an evident responsibility on the part of the international community to prevent such acts. The United Kingdom has a binding responsibility under Common Article 1 of the Geneva Conventions to prevent </w:t>
      </w:r>
      <w:r w:rsidR="006B0D1A">
        <w:rPr>
          <w:rFonts w:ascii="Palatino" w:eastAsia="Palatino Linotype" w:hAnsi="Palatino" w:cs="Palatino Linotype"/>
          <w:color w:val="000000" w:themeColor="text1"/>
        </w:rPr>
        <w:t>IHL</w:t>
      </w:r>
      <w:r w:rsidRPr="006563F3">
        <w:rPr>
          <w:rFonts w:ascii="Palatino" w:eastAsia="Palatino Linotype" w:hAnsi="Palatino" w:cs="Palatino Linotype"/>
          <w:color w:val="000000" w:themeColor="text1"/>
        </w:rPr>
        <w:t xml:space="preserve"> violations, which cannot be said to have been considered with due weight throughout Israel’s war on Gaza. </w:t>
      </w:r>
    </w:p>
    <w:p w:rsidR="006563F3" w:rsidRPr="009576F9" w:rsidP="006563F3">
      <w:pPr>
        <w:jc w:val="both"/>
        <w:rPr>
          <w:rFonts w:ascii="Palatino" w:eastAsia="Palatino Linotype" w:hAnsi="Palatino" w:cs="Palatino Linotype"/>
          <w:color w:val="000000" w:themeColor="text1"/>
        </w:rPr>
      </w:pPr>
    </w:p>
    <w:p w:rsidR="006563F3" w:rsidRPr="00C73706" w:rsidP="006563F3">
      <w:pPr>
        <w:pStyle w:val="ListParagraph"/>
        <w:numPr>
          <w:ilvl w:val="0"/>
          <w:numId w:val="2"/>
        </w:numPr>
        <w:jc w:val="both"/>
        <w:rPr>
          <w:rFonts w:ascii="Palatino" w:eastAsia="Palatino Linotype" w:hAnsi="Palatino" w:cs="Palatino Linotype"/>
          <w:color w:val="000000" w:themeColor="text1"/>
        </w:rPr>
      </w:pPr>
      <w:r w:rsidRPr="00C73706">
        <w:rPr>
          <w:rFonts w:ascii="Palatino" w:eastAsia="Palatino Linotype" w:hAnsi="Palatino" w:cs="Palatino Linotype"/>
          <w:color w:val="000000" w:themeColor="text1"/>
        </w:rPr>
        <w:t>Failures in the pursuit of accountability for IHL violations – even where British citizens are concerned– increasingly threatens a future in which</w:t>
      </w:r>
      <w:r w:rsidR="006B0D1A">
        <w:rPr>
          <w:rFonts w:ascii="Palatino" w:eastAsia="Palatino Linotype" w:hAnsi="Palatino" w:cs="Palatino Linotype"/>
          <w:color w:val="000000" w:themeColor="text1"/>
        </w:rPr>
        <w:t xml:space="preserve"> IHL</w:t>
      </w:r>
      <w:r w:rsidRPr="00C73706">
        <w:rPr>
          <w:rFonts w:ascii="Palatino" w:eastAsia="Palatino Linotype" w:hAnsi="Palatino" w:cs="Palatino Linotype"/>
          <w:color w:val="000000" w:themeColor="text1"/>
        </w:rPr>
        <w:t xml:space="preserve"> is discretionary, and its obligations are varied depending on whether perpetrator is ally or foe.</w:t>
      </w:r>
      <w:r>
        <w:rPr>
          <w:rFonts w:ascii="Palatino" w:eastAsia="Palatino Linotype" w:hAnsi="Palatino" w:cs="Palatino Linotype"/>
          <w:color w:val="000000" w:themeColor="text1"/>
        </w:rPr>
        <w:t xml:space="preserve"> </w:t>
      </w:r>
      <w:r w:rsidRPr="00C73706">
        <w:rPr>
          <w:rFonts w:ascii="Palatino" w:eastAsia="Palatino Linotype" w:hAnsi="Palatino" w:cs="Palatino Linotype"/>
          <w:color w:val="000000" w:themeColor="text1"/>
        </w:rPr>
        <w:t xml:space="preserve">The customary norms of </w:t>
      </w:r>
      <w:r w:rsidR="006B0D1A">
        <w:rPr>
          <w:rFonts w:ascii="Palatino" w:eastAsia="Palatino Linotype" w:hAnsi="Palatino" w:cs="Palatino Linotype"/>
          <w:color w:val="000000" w:themeColor="text1"/>
        </w:rPr>
        <w:t>IHL</w:t>
      </w:r>
      <w:r w:rsidRPr="00C73706">
        <w:rPr>
          <w:rFonts w:ascii="Palatino" w:eastAsia="Palatino Linotype" w:hAnsi="Palatino" w:cs="Palatino Linotype"/>
          <w:color w:val="000000" w:themeColor="text1"/>
        </w:rPr>
        <w:t>, and the treaties to which the UK is signatory</w:t>
      </w:r>
      <w:r>
        <w:rPr>
          <w:rFonts w:ascii="Palatino" w:eastAsia="Palatino Linotype" w:hAnsi="Palatino" w:cs="Palatino Linotype"/>
          <w:color w:val="000000" w:themeColor="text1"/>
        </w:rPr>
        <w:t xml:space="preserve"> ought to provide</w:t>
      </w:r>
      <w:r w:rsidRPr="00C73706">
        <w:rPr>
          <w:rFonts w:ascii="Palatino" w:eastAsia="Palatino Linotype" w:hAnsi="Palatino" w:cs="Palatino Linotype"/>
          <w:color w:val="000000" w:themeColor="text1"/>
        </w:rPr>
        <w:t xml:space="preserve"> a sufficient basis for the prevention of atrocity crimes and the protection of aid workers. The question remains as to why and </w:t>
      </w:r>
      <w:r w:rsidR="00C45A5D">
        <w:rPr>
          <w:rFonts w:ascii="Palatino" w:eastAsia="Palatino Linotype" w:hAnsi="Palatino" w:cs="Palatino Linotype"/>
          <w:color w:val="000000" w:themeColor="text1"/>
        </w:rPr>
        <w:t>how</w:t>
      </w:r>
      <w:r w:rsidRPr="00C73706">
        <w:rPr>
          <w:rFonts w:ascii="Palatino" w:eastAsia="Palatino Linotype" w:hAnsi="Palatino" w:cs="Palatino Linotype"/>
          <w:color w:val="000000" w:themeColor="text1"/>
        </w:rPr>
        <w:t xml:space="preserve"> the UK </w:t>
      </w:r>
      <w:r w:rsidR="00C45A5D">
        <w:rPr>
          <w:rFonts w:ascii="Palatino" w:eastAsia="Palatino Linotype" w:hAnsi="Palatino" w:cs="Palatino Linotype"/>
          <w:color w:val="000000" w:themeColor="text1"/>
        </w:rPr>
        <w:t xml:space="preserve">and other States have </w:t>
      </w:r>
      <w:r w:rsidRPr="00C73706">
        <w:rPr>
          <w:rFonts w:ascii="Palatino" w:eastAsia="Palatino Linotype" w:hAnsi="Palatino" w:cs="Palatino Linotype"/>
          <w:color w:val="000000" w:themeColor="text1"/>
        </w:rPr>
        <w:t xml:space="preserve">failed to ensure </w:t>
      </w:r>
      <w:r w:rsidR="00C45A5D">
        <w:rPr>
          <w:rFonts w:ascii="Palatino" w:eastAsia="Palatino Linotype" w:hAnsi="Palatino" w:cs="Palatino Linotype"/>
          <w:color w:val="000000" w:themeColor="text1"/>
        </w:rPr>
        <w:t>compliance, and why and how a sense of impunity exists for such violations.</w:t>
      </w:r>
    </w:p>
    <w:p w:rsidR="006563F3" w:rsidRPr="001547B2" w:rsidP="006563F3">
      <w:pPr>
        <w:pStyle w:val="ListParagraph"/>
        <w:jc w:val="both"/>
        <w:rPr>
          <w:rFonts w:ascii="Palatino" w:eastAsia="Palatino Linotype" w:hAnsi="Palatino" w:cs="Palatino Linotype"/>
          <w:color w:val="000000" w:themeColor="text1"/>
        </w:rPr>
      </w:pPr>
    </w:p>
    <w:p w:rsidR="006563F3" w:rsidP="006563F3">
      <w:pPr>
        <w:jc w:val="both"/>
        <w:rPr>
          <w:rFonts w:ascii="Palatino" w:eastAsia="Palatino Linotype" w:hAnsi="Palatino" w:cs="Palatino Linotype"/>
          <w:b/>
          <w:color w:val="000000" w:themeColor="text1"/>
        </w:rPr>
      </w:pPr>
      <w:r w:rsidRPr="00C73706">
        <w:rPr>
          <w:rFonts w:ascii="Palatino" w:eastAsia="Palatino Linotype" w:hAnsi="Palatino" w:cs="Palatino Linotype"/>
          <w:b/>
          <w:color w:val="000000" w:themeColor="text1"/>
        </w:rPr>
        <w:t>What is the FCDO’s record of using its diplomatic levers to promote access to aid, protection of aid workers? How might its approach be improved?</w:t>
      </w:r>
    </w:p>
    <w:p w:rsidR="00D6399B" w:rsidP="006563F3">
      <w:pPr>
        <w:jc w:val="both"/>
        <w:rPr>
          <w:rFonts w:ascii="Palatino" w:eastAsia="Palatino Linotype" w:hAnsi="Palatino" w:cs="Palatino Linotype"/>
          <w:b/>
          <w:color w:val="000000" w:themeColor="text1"/>
        </w:rPr>
      </w:pPr>
    </w:p>
    <w:p w:rsidR="00D6399B" w:rsidRPr="00A700D0" w:rsidP="00D6399B">
      <w:pPr>
        <w:pStyle w:val="ListParagraph"/>
        <w:numPr>
          <w:ilvl w:val="0"/>
          <w:numId w:val="2"/>
        </w:numPr>
        <w:jc w:val="both"/>
        <w:rPr>
          <w:rFonts w:ascii="Palatino" w:eastAsia="Palatino Linotype" w:hAnsi="Palatino" w:cs="Palatino Linotype"/>
          <w:bCs/>
          <w:color w:val="000000" w:themeColor="text1"/>
        </w:rPr>
      </w:pPr>
      <w:r>
        <w:rPr>
          <w:rFonts w:ascii="Palatino" w:eastAsia="Palatino Linotype" w:hAnsi="Palatino" w:cs="Palatino Linotype"/>
          <w:bCs/>
          <w:color w:val="000000" w:themeColor="text1"/>
        </w:rPr>
        <w:t xml:space="preserve">FCDO’s record, within the context of humanitarian aid access and safety in Gaza 2023-25, must be scrutinised, with improvements suggested in relation to how it safeguards its support for life-saving aid. </w:t>
      </w:r>
      <w:r w:rsidRPr="00C73706">
        <w:rPr>
          <w:rFonts w:ascii="Palatino" w:hAnsi="Palatino" w:cs="Arial"/>
        </w:rPr>
        <w:t>FCDO must ensure that it promotes aid organisations that are crucial in the delivery of aid.</w:t>
      </w:r>
      <w:r>
        <w:rPr>
          <w:rFonts w:ascii="Palatino" w:hAnsi="Palatino" w:cs="Arial"/>
        </w:rPr>
        <w:t xml:space="preserve"> Within Palestine and countries within the surrounding region where Palestinians have been made refugees, the principle operating aid agency is </w:t>
      </w:r>
      <w:r w:rsidRPr="00C73706">
        <w:rPr>
          <w:rFonts w:ascii="Palatino" w:hAnsi="Palatino" w:cs="Arial"/>
        </w:rPr>
        <w:t>UN Relief and Works Agency for Palestine Refugees in the Near East (UNRWA)</w:t>
      </w:r>
      <w:r>
        <w:rPr>
          <w:rFonts w:ascii="Palatino" w:hAnsi="Palatino" w:cs="Arial"/>
        </w:rPr>
        <w:t>. Within Gaza specifically, all aid operations are reliant upon UNRWA</w:t>
      </w:r>
      <w:r w:rsidR="00A700D0">
        <w:rPr>
          <w:rFonts w:ascii="Palatino" w:hAnsi="Palatino" w:cs="Arial"/>
        </w:rPr>
        <w:t xml:space="preserve"> at all levels. </w:t>
      </w:r>
    </w:p>
    <w:p w:rsidR="00A700D0" w:rsidP="00A700D0">
      <w:pPr>
        <w:jc w:val="both"/>
        <w:rPr>
          <w:rFonts w:ascii="Palatino" w:eastAsia="Palatino Linotype" w:hAnsi="Palatino" w:cs="Palatino Linotype"/>
          <w:bCs/>
          <w:color w:val="000000" w:themeColor="text1"/>
        </w:rPr>
      </w:pPr>
    </w:p>
    <w:p w:rsidR="00A700D0" w:rsidP="00A700D0">
      <w:pPr>
        <w:pStyle w:val="ListParagraph"/>
        <w:numPr>
          <w:ilvl w:val="0"/>
          <w:numId w:val="2"/>
        </w:numPr>
        <w:jc w:val="both"/>
        <w:rPr>
          <w:rFonts w:ascii="Palatino" w:eastAsia="Palatino Linotype" w:hAnsi="Palatino" w:cs="Palatino Linotype"/>
          <w:bCs/>
          <w:color w:val="000000" w:themeColor="text1"/>
        </w:rPr>
      </w:pPr>
      <w:r>
        <w:rPr>
          <w:rFonts w:ascii="Palatino" w:eastAsia="Palatino Linotype" w:hAnsi="Palatino" w:cs="Palatino Linotype"/>
          <w:bCs/>
          <w:color w:val="000000" w:themeColor="text1"/>
        </w:rPr>
        <w:t>In mid-2023, UNRWA was already reporting major shortfalls in funding and its ability to provide food security for people in Gaza,</w:t>
      </w:r>
      <w:r>
        <w:rPr>
          <w:rStyle w:val="FootnoteReference"/>
          <w:rFonts w:ascii="Palatino" w:hAnsi="Palatino" w:cs="Arial"/>
        </w:rPr>
        <w:footnoteReference w:id="20"/>
      </w:r>
      <w:r>
        <w:rPr>
          <w:rFonts w:ascii="Palatino" w:eastAsia="Palatino Linotype" w:hAnsi="Palatino" w:cs="Palatino Linotype"/>
          <w:bCs/>
          <w:color w:val="000000" w:themeColor="text1"/>
        </w:rPr>
        <w:t xml:space="preserve"> with UN Secretary General Guterres reporting that UNRWA was on “the verge of financial collapse”.</w:t>
      </w:r>
      <w:r>
        <w:rPr>
          <w:rStyle w:val="FootnoteReference"/>
          <w:rFonts w:ascii="Palatino" w:hAnsi="Palatino" w:cs="Arial"/>
          <w:color w:val="333333"/>
          <w:shd w:val="clear" w:color="auto" w:fill="FFFFFF"/>
        </w:rPr>
        <w:footnoteReference w:id="21"/>
      </w:r>
    </w:p>
    <w:p w:rsidR="003521F4" w:rsidRPr="003521F4" w:rsidP="003521F4">
      <w:pPr>
        <w:pStyle w:val="ListParagraph"/>
        <w:rPr>
          <w:rFonts w:ascii="Palatino" w:eastAsia="Palatino Linotype" w:hAnsi="Palatino" w:cs="Palatino Linotype"/>
          <w:bCs/>
          <w:color w:val="000000" w:themeColor="text1"/>
        </w:rPr>
      </w:pPr>
    </w:p>
    <w:p w:rsidR="003521F4" w:rsidRPr="009A120E" w:rsidP="009A120E">
      <w:pPr>
        <w:pStyle w:val="ListParagraph"/>
        <w:numPr>
          <w:ilvl w:val="0"/>
          <w:numId w:val="2"/>
        </w:numPr>
        <w:jc w:val="both"/>
        <w:rPr>
          <w:rFonts w:ascii="Palatino" w:eastAsia="Aptos" w:hAnsi="Palatino" w:cs="Arial"/>
        </w:rPr>
      </w:pPr>
      <w:r>
        <w:rPr>
          <w:rFonts w:ascii="Palatino" w:eastAsia="Aptos" w:hAnsi="Palatino" w:cs="Arial"/>
        </w:rPr>
        <w:t>T</w:t>
      </w:r>
      <w:r w:rsidRPr="00C73706">
        <w:rPr>
          <w:rFonts w:ascii="Palatino" w:eastAsia="Aptos" w:hAnsi="Palatino" w:cs="Arial"/>
        </w:rPr>
        <w:t xml:space="preserve">he UK government halted </w:t>
      </w:r>
      <w:r w:rsidR="009A120E">
        <w:rPr>
          <w:rFonts w:ascii="Palatino" w:eastAsia="Aptos" w:hAnsi="Palatino" w:cs="Arial"/>
        </w:rPr>
        <w:t>to UNRWA on 27</w:t>
      </w:r>
      <w:r w:rsidRPr="009A120E" w:rsidR="009A120E">
        <w:rPr>
          <w:rFonts w:ascii="Palatino" w:eastAsia="Aptos" w:hAnsi="Palatino" w:cs="Arial"/>
          <w:vertAlign w:val="superscript"/>
        </w:rPr>
        <w:t>th</w:t>
      </w:r>
      <w:r w:rsidR="009A120E">
        <w:rPr>
          <w:rFonts w:ascii="Palatino" w:eastAsia="Aptos" w:hAnsi="Palatino" w:cs="Arial"/>
        </w:rPr>
        <w:t xml:space="preserve"> January 2024</w:t>
      </w:r>
      <w:r w:rsidR="006B0D1A">
        <w:rPr>
          <w:rFonts w:ascii="Palatino" w:eastAsia="Aptos" w:hAnsi="Palatino" w:cs="Arial"/>
        </w:rPr>
        <w:t xml:space="preserve">, the same day that the International Court of Justice (ICJ) first issued provisional measures (including facilitating the entry of aid) in the Genocide Convention case </w:t>
      </w:r>
      <w:r w:rsidR="006B0D1A">
        <w:rPr>
          <w:rFonts w:ascii="Palatino" w:eastAsia="Aptos" w:hAnsi="Palatino" w:cs="Arial"/>
          <w:i/>
          <w:iCs/>
        </w:rPr>
        <w:t>South Africa v Israel</w:t>
      </w:r>
      <w:r w:rsidR="009A120E">
        <w:rPr>
          <w:rFonts w:ascii="Palatino" w:eastAsia="Aptos" w:hAnsi="Palatino" w:cs="Arial"/>
        </w:rPr>
        <w:t>. The UK’s decision was</w:t>
      </w:r>
      <w:r w:rsidRPr="009A120E">
        <w:rPr>
          <w:rFonts w:ascii="Palatino" w:eastAsia="Aptos" w:hAnsi="Palatino" w:cs="Arial"/>
        </w:rPr>
        <w:t xml:space="preserve"> based on unsubstantiated Israeli claims that </w:t>
      </w:r>
      <w:r w:rsidRPr="009A120E">
        <w:rPr>
          <w:rFonts w:ascii="Palatino" w:hAnsi="Palatino" w:cs="Arial"/>
          <w:shd w:val="clear" w:color="auto" w:fill="FFFFFF"/>
        </w:rPr>
        <w:t>12 UNRWA employees had participated in the 7</w:t>
      </w:r>
      <w:r w:rsidRPr="009A120E">
        <w:rPr>
          <w:rFonts w:ascii="Palatino" w:hAnsi="Palatino" w:cs="Arial"/>
          <w:shd w:val="clear" w:color="auto" w:fill="FFFFFF"/>
          <w:vertAlign w:val="superscript"/>
        </w:rPr>
        <w:t>th</w:t>
      </w:r>
      <w:r w:rsidRPr="009A120E">
        <w:rPr>
          <w:rFonts w:ascii="Palatino" w:hAnsi="Palatino" w:cs="Arial"/>
          <w:shd w:val="clear" w:color="auto" w:fill="FFFFFF"/>
        </w:rPr>
        <w:t xml:space="preserve"> October attacks.</w:t>
      </w:r>
      <w:r>
        <w:rPr>
          <w:rStyle w:val="FootnoteReference"/>
          <w:rFonts w:ascii="Palatino" w:hAnsi="Palatino" w:cs="Arial"/>
          <w:shd w:val="clear" w:color="auto" w:fill="FFFFFF"/>
        </w:rPr>
        <w:footnoteReference w:id="22"/>
      </w:r>
      <w:r w:rsidRPr="009A120E">
        <w:rPr>
          <w:rFonts w:ascii="Palatino" w:hAnsi="Palatino" w:cs="Arial"/>
          <w:shd w:val="clear" w:color="auto" w:fill="FFFFFF"/>
        </w:rPr>
        <w:t xml:space="preserve"> On the 22</w:t>
      </w:r>
      <w:r w:rsidRPr="009A120E">
        <w:rPr>
          <w:rFonts w:ascii="Palatino" w:hAnsi="Palatino" w:cs="Arial"/>
          <w:shd w:val="clear" w:color="auto" w:fill="FFFFFF"/>
          <w:vertAlign w:val="superscript"/>
        </w:rPr>
        <w:t>nd</w:t>
      </w:r>
      <w:r w:rsidRPr="009A120E">
        <w:rPr>
          <w:rFonts w:ascii="Palatino" w:hAnsi="Palatino" w:cs="Arial"/>
          <w:shd w:val="clear" w:color="auto" w:fill="FFFFFF"/>
        </w:rPr>
        <w:t xml:space="preserve"> February 2024, US intelligence reports </w:t>
      </w:r>
      <w:r w:rsidR="006B0D1A">
        <w:rPr>
          <w:rFonts w:ascii="Palatino" w:hAnsi="Palatino" w:cs="Arial"/>
          <w:shd w:val="clear" w:color="auto" w:fill="FFFFFF"/>
        </w:rPr>
        <w:t>stated that Israel’s claims</w:t>
      </w:r>
      <w:r w:rsidRPr="009A120E">
        <w:rPr>
          <w:rFonts w:ascii="Palatino" w:hAnsi="Palatino" w:cs="Arial"/>
          <w:shd w:val="clear" w:color="auto" w:fill="FFFFFF"/>
        </w:rPr>
        <w:t xml:space="preserve"> could not be independently verified</w:t>
      </w:r>
      <w:r w:rsidR="009A120E">
        <w:rPr>
          <w:rFonts w:ascii="Palatino" w:hAnsi="Palatino" w:cs="Arial"/>
          <w:shd w:val="clear" w:color="auto" w:fill="FFFFFF"/>
        </w:rPr>
        <w:t>.</w:t>
      </w:r>
      <w:r>
        <w:rPr>
          <w:rStyle w:val="FootnoteReference"/>
          <w:rFonts w:ascii="Palatino" w:hAnsi="Palatino" w:cs="Arial"/>
          <w:shd w:val="clear" w:color="auto" w:fill="FFFFFF"/>
        </w:rPr>
        <w:footnoteReference w:id="23"/>
      </w:r>
      <w:r w:rsidRPr="009A120E">
        <w:rPr>
          <w:rFonts w:ascii="Palatino" w:hAnsi="Palatino" w:cs="Arial"/>
          <w:shd w:val="clear" w:color="auto" w:fill="FFFFFF"/>
        </w:rPr>
        <w:t xml:space="preserve"> </w:t>
      </w:r>
      <w:r w:rsidR="009A120E">
        <w:rPr>
          <w:rFonts w:ascii="Palatino" w:hAnsi="Palatino" w:cs="Arial"/>
          <w:shd w:val="clear" w:color="auto" w:fill="FFFFFF"/>
        </w:rPr>
        <w:t>O</w:t>
      </w:r>
      <w:r w:rsidRPr="009A120E">
        <w:rPr>
          <w:rFonts w:ascii="Palatino" w:hAnsi="Palatino" w:cs="Arial"/>
          <w:shd w:val="clear" w:color="auto" w:fill="FFFFFF"/>
        </w:rPr>
        <w:t>n the 20</w:t>
      </w:r>
      <w:r w:rsidRPr="009A120E">
        <w:rPr>
          <w:rFonts w:ascii="Palatino" w:hAnsi="Palatino" w:cs="Arial"/>
          <w:shd w:val="clear" w:color="auto" w:fill="FFFFFF"/>
          <w:vertAlign w:val="superscript"/>
        </w:rPr>
        <w:t xml:space="preserve">th </w:t>
      </w:r>
      <w:r w:rsidRPr="009A120E">
        <w:rPr>
          <w:rFonts w:ascii="Palatino" w:hAnsi="Palatino" w:cs="Arial"/>
          <w:shd w:val="clear" w:color="auto" w:fill="FFFFFF"/>
        </w:rPr>
        <w:t>April 2024, the independent UN-commissioned ‘Colonna report’ into UNRWA was released</w:t>
      </w:r>
      <w:r w:rsidR="009A120E">
        <w:rPr>
          <w:rFonts w:ascii="Palatino" w:hAnsi="Palatino" w:cs="Arial"/>
          <w:shd w:val="clear" w:color="auto" w:fill="FFFFFF"/>
        </w:rPr>
        <w:t xml:space="preserve">, finding </w:t>
      </w:r>
      <w:r w:rsidRPr="009A120E">
        <w:rPr>
          <w:rFonts w:ascii="Palatino" w:hAnsi="Palatino" w:cs="Arial"/>
          <w:shd w:val="clear" w:color="auto" w:fill="FFFFFF"/>
        </w:rPr>
        <w:t>that UNRWA has ‘robust’ frameworks to ensure compliance with the humanitarian principle of neutrality</w:t>
      </w:r>
      <w:r w:rsidR="006B0D1A">
        <w:rPr>
          <w:rFonts w:ascii="Palatino" w:hAnsi="Palatino" w:cs="Arial"/>
          <w:shd w:val="clear" w:color="auto" w:fill="FFFFFF"/>
        </w:rPr>
        <w:t xml:space="preserve"> and that</w:t>
      </w:r>
      <w:r w:rsidRPr="009A120E">
        <w:rPr>
          <w:rFonts w:ascii="Palatino" w:hAnsi="Palatino" w:cs="Arial"/>
          <w:shd w:val="clear" w:color="auto" w:fill="FFFFFF"/>
        </w:rPr>
        <w:t xml:space="preserve"> the Israeli government failed to provide evidence for it</w:t>
      </w:r>
      <w:r w:rsidR="006B0D1A">
        <w:rPr>
          <w:rFonts w:ascii="Palatino" w:hAnsi="Palatino" w:cs="Arial"/>
          <w:shd w:val="clear" w:color="auto" w:fill="FFFFFF"/>
        </w:rPr>
        <w:t xml:space="preserve">s allegations </w:t>
      </w:r>
      <w:r w:rsidRPr="009A120E">
        <w:rPr>
          <w:rFonts w:ascii="Palatino" w:hAnsi="Palatino" w:cs="Arial"/>
          <w:shd w:val="clear" w:color="auto" w:fill="FFFFFF"/>
        </w:rPr>
        <w:t>against UNRWA.</w:t>
      </w:r>
      <w:r>
        <w:rPr>
          <w:rStyle w:val="FootnoteReference"/>
          <w:rFonts w:ascii="Palatino" w:hAnsi="Palatino" w:cs="Arial"/>
          <w:shd w:val="clear" w:color="auto" w:fill="FFFFFF"/>
        </w:rPr>
        <w:footnoteReference w:id="24"/>
      </w:r>
      <w:r w:rsidRPr="009A120E">
        <w:rPr>
          <w:rFonts w:ascii="Palatino" w:hAnsi="Palatino" w:cs="Arial"/>
          <w:shd w:val="clear" w:color="auto" w:fill="FFFFFF"/>
        </w:rPr>
        <w:t xml:space="preserve"> </w:t>
      </w:r>
      <w:r w:rsidRPr="009A120E">
        <w:rPr>
          <w:rFonts w:ascii="Palatino" w:eastAsia="Aptos" w:hAnsi="Palatino" w:cs="Arial"/>
        </w:rPr>
        <w:t>On the 19</w:t>
      </w:r>
      <w:r w:rsidRPr="009A120E">
        <w:rPr>
          <w:rFonts w:ascii="Palatino" w:eastAsia="Aptos" w:hAnsi="Palatino" w:cs="Arial"/>
          <w:vertAlign w:val="superscript"/>
        </w:rPr>
        <w:t>th</w:t>
      </w:r>
      <w:r w:rsidRPr="009A120E">
        <w:rPr>
          <w:rFonts w:ascii="Palatino" w:eastAsia="Aptos" w:hAnsi="Palatino" w:cs="Arial"/>
        </w:rPr>
        <w:t xml:space="preserve"> July 2024, UK Foreign Secretary David Lammy announced that he was planning on resuming funding to UNRWA</w:t>
      </w:r>
      <w:r w:rsidR="006B0D1A">
        <w:rPr>
          <w:rFonts w:ascii="Palatino" w:eastAsia="Aptos" w:hAnsi="Palatino" w:cs="Arial"/>
        </w:rPr>
        <w:t xml:space="preserve"> – making the UK</w:t>
      </w:r>
      <w:r w:rsidRPr="009A120E">
        <w:rPr>
          <w:rFonts w:ascii="Palatino" w:eastAsia="Aptos" w:hAnsi="Palatino" w:cs="Arial"/>
        </w:rPr>
        <w:t xml:space="preserve"> one of the last countries to restore funding.</w:t>
      </w:r>
    </w:p>
    <w:p w:rsidR="003521F4" w:rsidRPr="003521F4" w:rsidP="003521F4">
      <w:pPr>
        <w:pStyle w:val="ListParagraph"/>
        <w:rPr>
          <w:rFonts w:ascii="Palatino" w:hAnsi="Palatino" w:cs="Arial"/>
          <w:shd w:val="clear" w:color="auto" w:fill="FFFFFF"/>
        </w:rPr>
      </w:pPr>
    </w:p>
    <w:p w:rsidR="003521F4" w:rsidRPr="006D6007" w:rsidP="003521F4">
      <w:pPr>
        <w:pStyle w:val="ListParagraph"/>
        <w:numPr>
          <w:ilvl w:val="0"/>
          <w:numId w:val="2"/>
        </w:numPr>
        <w:jc w:val="both"/>
        <w:rPr>
          <w:rFonts w:ascii="Palatino" w:hAnsi="Palatino" w:cs="Arial"/>
          <w:shd w:val="clear" w:color="auto" w:fill="FFFFFF"/>
        </w:rPr>
      </w:pPr>
      <w:r w:rsidRPr="00C73706">
        <w:rPr>
          <w:rFonts w:ascii="Palatino" w:hAnsi="Palatino" w:cs="Arial"/>
          <w:shd w:val="clear" w:color="auto" w:fill="FFFFFF"/>
        </w:rPr>
        <w:t>On 30 October 2024, the Israeli Knesset passed the Law for the Cessation of UNRWA Activities in the State of Israel, and the Law for the Cessation of UNRWA Activities</w:t>
      </w:r>
      <w:r>
        <w:rPr>
          <w:rFonts w:ascii="Palatino" w:hAnsi="Palatino" w:cs="Arial"/>
          <w:shd w:val="clear" w:color="auto" w:fill="FFFFFF"/>
        </w:rPr>
        <w:t>. This legislation will prohibit contact between any Israeli state authority and UNRWA, a prohibition of UNRWA activities in East Jerusalem, provisions to bring criminal proceedings against UNRWA staff, and the termination of previous arrangements between Israel and UNRWA dating back to 14 June 1967.</w:t>
      </w:r>
      <w:r>
        <w:rPr>
          <w:rStyle w:val="FootnoteReference"/>
          <w:rFonts w:ascii="Palatino" w:hAnsi="Palatino" w:cs="Arial"/>
          <w:shd w:val="clear" w:color="auto" w:fill="FFFFFF"/>
        </w:rPr>
        <w:footnoteReference w:id="25"/>
      </w:r>
      <w:r>
        <w:rPr>
          <w:rFonts w:ascii="Palatino" w:hAnsi="Palatino" w:cs="Arial"/>
          <w:shd w:val="clear" w:color="auto" w:fill="FFFFFF"/>
        </w:rPr>
        <w:t xml:space="preserve"> </w:t>
      </w:r>
      <w:r w:rsidRPr="00C73706">
        <w:rPr>
          <w:rFonts w:ascii="Palatino" w:hAnsi="Palatino"/>
        </w:rPr>
        <w:t xml:space="preserve">This course of </w:t>
      </w:r>
      <w:r w:rsidR="006B0D1A">
        <w:rPr>
          <w:rFonts w:ascii="Palatino" w:hAnsi="Palatino"/>
        </w:rPr>
        <w:t>action</w:t>
      </w:r>
      <w:r w:rsidRPr="00C73706">
        <w:rPr>
          <w:rFonts w:ascii="Palatino" w:hAnsi="Palatino"/>
        </w:rPr>
        <w:t xml:space="preserve"> violates the principles of the UN Charter </w:t>
      </w:r>
      <w:r>
        <w:rPr>
          <w:rStyle w:val="FootnoteReference"/>
          <w:rFonts w:ascii="Palatino" w:hAnsi="Palatino"/>
        </w:rPr>
        <w:footnoteReference w:id="26"/>
      </w:r>
      <w:r w:rsidRPr="00C73706">
        <w:rPr>
          <w:rFonts w:ascii="Palatino" w:hAnsi="Palatino"/>
        </w:rPr>
        <w:t xml:space="preserve"> and obligations under </w:t>
      </w:r>
      <w:r w:rsidR="006B0D1A">
        <w:rPr>
          <w:rFonts w:ascii="Palatino" w:hAnsi="Palatino"/>
        </w:rPr>
        <w:t>IHL</w:t>
      </w:r>
      <w:r w:rsidRPr="00C73706">
        <w:rPr>
          <w:rFonts w:ascii="Palatino" w:hAnsi="Palatino"/>
        </w:rPr>
        <w:t>. A UK government statement on 28 January 2025 acknowledged the disruptive impact of Israel’s UNRWA legislation but failed to elaborate beyond rhetoric of ‘urging’ Israel to ensure that UNRWA can continue its work.</w:t>
      </w:r>
      <w:r>
        <w:rPr>
          <w:rStyle w:val="FootnoteReference"/>
          <w:rFonts w:ascii="Palatino" w:hAnsi="Palatino"/>
        </w:rPr>
        <w:footnoteReference w:id="27"/>
      </w:r>
    </w:p>
    <w:p w:rsidR="006D6007" w:rsidRPr="006D6007" w:rsidP="006D6007">
      <w:pPr>
        <w:pStyle w:val="ListParagraph"/>
        <w:rPr>
          <w:rFonts w:ascii="Palatino" w:hAnsi="Palatino" w:cs="Arial"/>
          <w:shd w:val="clear" w:color="auto" w:fill="FFFFFF"/>
        </w:rPr>
      </w:pPr>
    </w:p>
    <w:p w:rsidR="006D6007" w:rsidRPr="00F729F2" w:rsidP="003521F4">
      <w:pPr>
        <w:pStyle w:val="ListParagraph"/>
        <w:numPr>
          <w:ilvl w:val="0"/>
          <w:numId w:val="2"/>
        </w:numPr>
        <w:jc w:val="both"/>
        <w:rPr>
          <w:rFonts w:ascii="Palatino" w:hAnsi="Palatino" w:cs="Arial"/>
          <w:shd w:val="clear" w:color="auto" w:fill="FFFFFF"/>
        </w:rPr>
      </w:pPr>
      <w:r>
        <w:rPr>
          <w:rFonts w:ascii="Palatino" w:hAnsi="Palatino" w:cs="Arial"/>
          <w:shd w:val="clear" w:color="auto" w:fill="FFFFFF"/>
        </w:rPr>
        <w:t xml:space="preserve">The UK cannot be said to have used its diplomatic levers to promote access for humanitarian aid, in the case of Gaza 2023-2025 where, as noted, all aid operations are reliant on UNRWA. The diplomatic tools available include the use of sanctions – namely comprehensive economic and diplomatic sanctions against Israeli government officials </w:t>
      </w:r>
      <w:r w:rsidR="00F729F2">
        <w:rPr>
          <w:rFonts w:ascii="Palatino" w:hAnsi="Palatino" w:cs="Arial"/>
          <w:shd w:val="clear" w:color="auto" w:fill="FFFFFF"/>
        </w:rPr>
        <w:t>for having legislated and subsequently implemented this ban, or against police and military officials undertaking raids on UNRWA premises or disruption to aid delivery</w:t>
      </w:r>
      <w:r w:rsidR="00412B0B">
        <w:rPr>
          <w:rFonts w:ascii="Palatino" w:hAnsi="Palatino" w:cs="Arial"/>
          <w:shd w:val="clear" w:color="auto" w:fill="FFFFFF"/>
        </w:rPr>
        <w:t xml:space="preserve"> [para. 20]</w:t>
      </w:r>
      <w:r w:rsidR="00F729F2">
        <w:rPr>
          <w:rFonts w:ascii="Palatino" w:hAnsi="Palatino" w:cs="Arial"/>
          <w:shd w:val="clear" w:color="auto" w:fill="FFFFFF"/>
        </w:rPr>
        <w:t xml:space="preserve">. It is notable that there were two months between legislation and implementation, in which </w:t>
      </w:r>
      <w:r w:rsidR="00412B0B">
        <w:rPr>
          <w:rFonts w:ascii="Palatino" w:hAnsi="Palatino" w:cs="Arial"/>
          <w:shd w:val="clear" w:color="auto" w:fill="FFFFFF"/>
        </w:rPr>
        <w:t>the</w:t>
      </w:r>
      <w:r w:rsidR="00F729F2">
        <w:rPr>
          <w:rFonts w:ascii="Palatino" w:hAnsi="Palatino" w:cs="Arial"/>
          <w:shd w:val="clear" w:color="auto" w:fill="FFFFFF"/>
        </w:rPr>
        <w:t xml:space="preserve"> </w:t>
      </w:r>
      <w:r w:rsidR="00F729F2">
        <w:rPr>
          <w:rFonts w:ascii="Palatino" w:hAnsi="Palatino" w:cs="Arial"/>
          <w:shd w:val="clear" w:color="auto" w:fill="FFFFFF"/>
        </w:rPr>
        <w:t>corrective action taken by the UK</w:t>
      </w:r>
      <w:r w:rsidR="00412B0B">
        <w:rPr>
          <w:rFonts w:ascii="Palatino" w:hAnsi="Palatino" w:cs="Arial"/>
          <w:shd w:val="clear" w:color="auto" w:fill="FFFFFF"/>
        </w:rPr>
        <w:t xml:space="preserve"> was limited, in public at least, to the</w:t>
      </w:r>
      <w:r w:rsidR="00F729F2">
        <w:rPr>
          <w:rFonts w:ascii="Palatino" w:hAnsi="Palatino" w:cs="Arial"/>
          <w:shd w:val="clear" w:color="auto" w:fill="FFFFFF"/>
        </w:rPr>
        <w:t xml:space="preserve"> issuing of statements of concern</w:t>
      </w:r>
      <w:r w:rsidR="00412B0B">
        <w:rPr>
          <w:rFonts w:ascii="Palatino" w:hAnsi="Palatino" w:cs="Arial"/>
          <w:shd w:val="clear" w:color="auto" w:fill="FFFFFF"/>
        </w:rPr>
        <w:t>.</w:t>
      </w:r>
      <w:r w:rsidR="00F729F2">
        <w:rPr>
          <w:rFonts w:ascii="Palatino" w:hAnsi="Palatino" w:cs="Arial"/>
          <w:shd w:val="clear" w:color="auto" w:fill="FFFFFF"/>
        </w:rPr>
        <w:t xml:space="preserve"> </w:t>
      </w:r>
      <w:r w:rsidR="00F729F2">
        <w:rPr>
          <w:rFonts w:ascii="Palatino" w:hAnsi="Palatino"/>
        </w:rPr>
        <w:t xml:space="preserve">More concrete </w:t>
      </w:r>
      <w:r w:rsidRPr="00C73706" w:rsidR="00F729F2">
        <w:rPr>
          <w:rFonts w:ascii="Palatino" w:hAnsi="Palatino"/>
        </w:rPr>
        <w:t>measures would instil a sense of accountability which may mitigate further Israeli war crimes before they happen, including the targeted of aid workers and medical professionals.</w:t>
      </w:r>
    </w:p>
    <w:p w:rsidR="00F729F2" w:rsidP="00F729F2">
      <w:pPr>
        <w:pStyle w:val="ListParagraph"/>
        <w:rPr>
          <w:rFonts w:ascii="Palatino" w:hAnsi="Palatino" w:cs="Arial"/>
          <w:shd w:val="clear" w:color="auto" w:fill="FFFFFF"/>
        </w:rPr>
      </w:pPr>
    </w:p>
    <w:p w:rsidR="00F729F2" w:rsidRPr="00C73706" w:rsidP="00F729F2">
      <w:pPr>
        <w:jc w:val="both"/>
        <w:rPr>
          <w:rFonts w:ascii="Palatino" w:eastAsia="Palatino Linotype" w:hAnsi="Palatino" w:cs="Palatino Linotype"/>
          <w:b/>
        </w:rPr>
      </w:pPr>
      <w:r w:rsidRPr="00C73706">
        <w:rPr>
          <w:rFonts w:ascii="Palatino" w:eastAsia="Palatino Linotype" w:hAnsi="Palatino" w:cs="Palatino Linotype"/>
          <w:b/>
        </w:rPr>
        <w:t>What are the gaps in international humanitarian law when it comes to humanitarian access and what could be the UK Government’s role in addressing this?</w:t>
      </w:r>
    </w:p>
    <w:p w:rsidR="00F729F2" w:rsidRPr="00F729F2" w:rsidP="00F729F2">
      <w:pPr>
        <w:pStyle w:val="ListParagraph"/>
        <w:rPr>
          <w:rFonts w:ascii="Palatino" w:hAnsi="Palatino" w:cs="Arial"/>
          <w:shd w:val="clear" w:color="auto" w:fill="FFFFFF"/>
        </w:rPr>
      </w:pPr>
    </w:p>
    <w:p w:rsidR="00412B0B" w:rsidP="00412B0B">
      <w:pPr>
        <w:pStyle w:val="ListParagraph"/>
        <w:numPr>
          <w:ilvl w:val="0"/>
          <w:numId w:val="2"/>
        </w:numPr>
        <w:spacing w:line="278" w:lineRule="auto"/>
        <w:jc w:val="both"/>
        <w:rPr>
          <w:rFonts w:ascii="Palatino" w:eastAsia="Palatino Linotype" w:hAnsi="Palatino" w:cs="Palatino Linotype"/>
        </w:rPr>
      </w:pPr>
      <w:r w:rsidRPr="00F729F2">
        <w:rPr>
          <w:rFonts w:ascii="Palatino" w:eastAsia="Palatino Linotype" w:hAnsi="Palatino" w:cs="Palatino Linotype"/>
        </w:rPr>
        <w:t xml:space="preserve">The main gaps that can be identified in relation to </w:t>
      </w:r>
      <w:r>
        <w:rPr>
          <w:rFonts w:ascii="Palatino" w:eastAsia="Palatino Linotype" w:hAnsi="Palatino" w:cs="Palatino Linotype"/>
        </w:rPr>
        <w:t>IHL</w:t>
      </w:r>
      <w:r w:rsidRPr="00F729F2">
        <w:rPr>
          <w:rFonts w:ascii="Palatino" w:eastAsia="Palatino Linotype" w:hAnsi="Palatino" w:cs="Palatino Linotype"/>
        </w:rPr>
        <w:t xml:space="preserve"> are ones that revolve around compliance and enforceability. First, while the provisions on humanitarian access under IHL are clear, Israel has met little to no real repercussions when it has refused to comply. For example, the Fourth Geneva Convention 1949 explicitly applies to situations of occupation, as affirmed by </w:t>
      </w:r>
      <w:r w:rsidRPr="00F729F2">
        <w:rPr>
          <w:rFonts w:ascii="Palatino" w:eastAsia="Palatino Linotype" w:hAnsi="Palatino" w:cs="Palatino Linotype"/>
          <w:b/>
          <w:bCs/>
        </w:rPr>
        <w:t>Article 2,</w:t>
      </w:r>
      <w:r>
        <w:rPr>
          <w:rStyle w:val="FootnoteReference"/>
          <w:rFonts w:ascii="Palatino" w:eastAsia="Palatino Linotype" w:hAnsi="Palatino" w:cs="Palatino Linotype"/>
        </w:rPr>
        <w:footnoteReference w:id="28"/>
      </w:r>
      <w:r w:rsidRPr="00F729F2">
        <w:rPr>
          <w:rFonts w:ascii="Palatino" w:eastAsia="Palatino Linotype" w:hAnsi="Palatino" w:cs="Palatino Linotype"/>
        </w:rPr>
        <w:t xml:space="preserve"> and requires occupying powers to ensure the provision of adequate humanitarian aid under </w:t>
      </w:r>
      <w:r w:rsidRPr="00F729F2">
        <w:rPr>
          <w:rFonts w:ascii="Palatino" w:eastAsia="Palatino Linotype" w:hAnsi="Palatino" w:cs="Palatino Linotype"/>
          <w:b/>
          <w:bCs/>
        </w:rPr>
        <w:t>Article 55</w:t>
      </w:r>
      <w:r>
        <w:rPr>
          <w:rStyle w:val="FootnoteReference"/>
          <w:rFonts w:ascii="Palatino" w:eastAsia="Palatino Linotype" w:hAnsi="Palatino" w:cs="Palatino Linotype"/>
        </w:rPr>
        <w:footnoteReference w:id="29"/>
      </w:r>
      <w:r w:rsidRPr="00F729F2">
        <w:rPr>
          <w:rFonts w:ascii="Palatino" w:eastAsia="Palatino Linotype" w:hAnsi="Palatino" w:cs="Palatino Linotype"/>
        </w:rPr>
        <w:t xml:space="preserve"> and to facilitate relief consignments under </w:t>
      </w:r>
      <w:r w:rsidRPr="00F729F2">
        <w:rPr>
          <w:rFonts w:ascii="Palatino" w:eastAsia="Palatino Linotype" w:hAnsi="Palatino" w:cs="Palatino Linotype"/>
          <w:b/>
          <w:bCs/>
        </w:rPr>
        <w:t>Article 59.</w:t>
      </w:r>
      <w:r>
        <w:rPr>
          <w:rStyle w:val="FootnoteReference"/>
          <w:rFonts w:ascii="Palatino" w:eastAsia="Palatino Linotype" w:hAnsi="Palatino" w:cs="Palatino Linotype"/>
          <w:b/>
          <w:bCs/>
        </w:rPr>
        <w:footnoteReference w:id="30"/>
      </w:r>
      <w:r w:rsidRPr="00F729F2">
        <w:rPr>
          <w:rFonts w:ascii="Palatino" w:eastAsia="Palatino Linotype" w:hAnsi="Palatino" w:cs="Palatino Linotype"/>
        </w:rPr>
        <w:t xml:space="preserve"> This legal obligation has been consistently affirmed by the United Nations Security Council (UNSC)</w:t>
      </w:r>
      <w:r>
        <w:rPr>
          <w:rStyle w:val="FootnoteReference"/>
          <w:rFonts w:ascii="Palatino" w:eastAsia="Palatino Linotype" w:hAnsi="Palatino" w:cs="Palatino Linotype"/>
        </w:rPr>
        <w:footnoteReference w:id="31"/>
      </w:r>
      <w:r w:rsidRPr="00F729F2">
        <w:rPr>
          <w:rFonts w:ascii="Palatino" w:eastAsia="Palatino Linotype" w:hAnsi="Palatino" w:cs="Palatino Linotype"/>
        </w:rPr>
        <w:t xml:space="preserve"> the International Criminal Court (ICC),</w:t>
      </w:r>
      <w:r>
        <w:rPr>
          <w:rStyle w:val="FootnoteReference"/>
          <w:rFonts w:ascii="Palatino" w:eastAsia="Palatino Linotype" w:hAnsi="Palatino" w:cs="Palatino Linotype"/>
        </w:rPr>
        <w:footnoteReference w:id="32"/>
      </w:r>
      <w:r w:rsidRPr="00F729F2">
        <w:rPr>
          <w:rFonts w:ascii="Palatino" w:eastAsia="Palatino Linotype" w:hAnsi="Palatino" w:cs="Palatino Linotype"/>
        </w:rPr>
        <w:t xml:space="preserve"> and the International Court of Justice (ICJ).</w:t>
      </w:r>
      <w:r>
        <w:rPr>
          <w:rStyle w:val="FootnoteReference"/>
          <w:rFonts w:ascii="Palatino" w:eastAsia="Palatino Linotype" w:hAnsi="Palatino" w:cs="Palatino Linotype"/>
        </w:rPr>
        <w:footnoteReference w:id="33"/>
      </w:r>
      <w:r w:rsidRPr="00F729F2">
        <w:rPr>
          <w:rFonts w:ascii="Palatino" w:eastAsia="Palatino Linotype" w:hAnsi="Palatino" w:cs="Palatino Linotype"/>
        </w:rPr>
        <w:t xml:space="preserve"> Despite this, Israel has consistently denied the applicability of the Fourth Geneva Convention to the oPt, contradicting the determination of the international community and its institutions. This refusal has allowed Israel to circumvent its obligations under IHL, including ensuring unimpeded humanitarian access to the Palestinian population, accompanied with a lack of protection afforded for those who work in humanitarian relief.</w:t>
      </w:r>
    </w:p>
    <w:p w:rsidR="00F729F2" w:rsidRPr="00412B0B" w:rsidP="00412B0B">
      <w:pPr>
        <w:pStyle w:val="ListParagraph"/>
        <w:spacing w:line="278" w:lineRule="auto"/>
        <w:jc w:val="both"/>
        <w:rPr>
          <w:rFonts w:ascii="Palatino" w:eastAsia="Palatino Linotype" w:hAnsi="Palatino" w:cs="Palatino Linotype"/>
        </w:rPr>
      </w:pPr>
    </w:p>
    <w:p w:rsidR="00F729F2" w:rsidP="00F729F2">
      <w:pPr>
        <w:pStyle w:val="ListParagraph"/>
        <w:numPr>
          <w:ilvl w:val="0"/>
          <w:numId w:val="2"/>
        </w:numPr>
        <w:spacing w:line="278" w:lineRule="auto"/>
        <w:jc w:val="both"/>
        <w:rPr>
          <w:rFonts w:ascii="Palatino" w:eastAsia="Palatino Linotype" w:hAnsi="Palatino" w:cs="Palatino Linotype"/>
        </w:rPr>
      </w:pPr>
      <w:r w:rsidRPr="009576F9">
        <w:rPr>
          <w:rFonts w:ascii="Palatino" w:eastAsia="Palatino Linotype" w:hAnsi="Palatino" w:cs="Palatino Linotype"/>
        </w:rPr>
        <w:t>Second, even when Israel acts in contravention of IHL—such as imposing restrictions that hinder humanitarian access and targeting aid workers—there are no robust enforcement mechanisms to ensure compliance. As we have seen over the past 15 months, Israeli authorities have repeatedly abandoned their IHL obligations with regards to the civilian population in Gaza</w:t>
      </w:r>
      <w:r>
        <w:rPr>
          <w:rFonts w:ascii="Palatino" w:eastAsia="Palatino Linotype" w:hAnsi="Palatino" w:cs="Palatino Linotype"/>
        </w:rPr>
        <w:t xml:space="preserve">. </w:t>
      </w:r>
      <w:r w:rsidRPr="009576F9">
        <w:rPr>
          <w:rFonts w:ascii="Palatino" w:eastAsia="Palatino Linotype" w:hAnsi="Palatino" w:cs="Palatino Linotype"/>
        </w:rPr>
        <w:t>This has resulted in exacerbated humanitarian crisis, with more than 1.1 million Palestinians facing catastrophic food insecurity</w:t>
      </w:r>
      <w:r>
        <w:rPr>
          <w:rFonts w:ascii="Palatino" w:eastAsia="Palatino Linotype" w:hAnsi="Palatino" w:cs="Palatino Linotype"/>
        </w:rPr>
        <w:t>,</w:t>
      </w:r>
      <w:r>
        <w:rPr>
          <w:rStyle w:val="FootnoteReference"/>
          <w:rFonts w:ascii="Palatino" w:eastAsia="Palatino Linotype" w:hAnsi="Palatino" w:cs="Palatino Linotype"/>
        </w:rPr>
        <w:footnoteReference w:id="34"/>
      </w:r>
      <w:r>
        <w:rPr>
          <w:rFonts w:ascii="Palatino" w:eastAsia="Palatino Linotype" w:hAnsi="Palatino" w:cs="Palatino Linotype"/>
        </w:rPr>
        <w:t xml:space="preserve"> and has been concluded to </w:t>
      </w:r>
      <w:r>
        <w:rPr>
          <w:rFonts w:ascii="Palatino" w:eastAsia="Palatino Linotype" w:hAnsi="Palatino" w:cs="Palatino Linotype"/>
        </w:rPr>
        <w:t xml:space="preserve">amount to the war crime of the use of starvation as a weapon of war by the ICC’s Pre-Trial Chamber. </w:t>
      </w:r>
      <w:r>
        <w:rPr>
          <w:rFonts w:ascii="Palatino" w:eastAsia="Palatino Linotype" w:hAnsi="Palatino" w:cs="Palatino Linotype"/>
        </w:rPr>
        <w:t>As of yet</w:t>
      </w:r>
      <w:r>
        <w:rPr>
          <w:rFonts w:ascii="Palatino" w:eastAsia="Palatino Linotype" w:hAnsi="Palatino" w:cs="Palatino Linotype"/>
        </w:rPr>
        <w:t>, there has been no action forthcoming from States Party to the Rome Statute or the Geneva Convention, including the UK, to ensure prosecution or extradition of those responsible as per the Statute’s Article 59 or the Convention’s Article 146.</w:t>
      </w:r>
      <w:r>
        <w:rPr>
          <w:rFonts w:ascii="Palatino" w:eastAsia="Palatino Linotype" w:hAnsi="Palatino" w:cs="Palatino Linotype"/>
        </w:rPr>
        <w:br/>
      </w:r>
    </w:p>
    <w:p w:rsidR="00F729F2" w:rsidRPr="00C73706" w:rsidP="00F729F2">
      <w:pPr>
        <w:pStyle w:val="ListParagraph"/>
        <w:numPr>
          <w:ilvl w:val="0"/>
          <w:numId w:val="2"/>
        </w:numPr>
        <w:jc w:val="both"/>
        <w:rPr>
          <w:rFonts w:ascii="Palatino" w:eastAsia="Palatino Linotype" w:hAnsi="Palatino" w:cs="Palatino Linotype"/>
        </w:rPr>
      </w:pPr>
      <w:r w:rsidRPr="00C73706">
        <w:rPr>
          <w:rFonts w:ascii="Palatino" w:eastAsia="Palatino Linotype" w:hAnsi="Palatino" w:cs="Palatino Linotype"/>
          <w:u w:val="single"/>
        </w:rPr>
        <w:t>What could the UK government be doing to address this?</w:t>
      </w:r>
      <w:r>
        <w:rPr>
          <w:rFonts w:ascii="Palatino" w:eastAsia="Palatino Linotype" w:hAnsi="Palatino" w:cs="Palatino Linotype"/>
          <w:u w:val="single"/>
        </w:rPr>
        <w:br/>
      </w:r>
      <w:r w:rsidRPr="00F729F2">
        <w:rPr>
          <w:rFonts w:ascii="Palatino" w:eastAsia="Palatino Linotype" w:hAnsi="Palatino" w:cs="Palatino Linotype"/>
        </w:rPr>
        <w:t>The UK has a significant role to play in addressing non-compliance with IHL, particularly concerning the lack of enforcement of humanitarian access provisions.</w:t>
      </w:r>
      <w:r>
        <w:rPr>
          <w:rFonts w:ascii="Palatino" w:eastAsia="Palatino Linotype" w:hAnsi="Palatino" w:cs="Palatino Linotype"/>
        </w:rPr>
        <w:t xml:space="preserve"> </w:t>
      </w:r>
      <w:r w:rsidRPr="00C73706">
        <w:rPr>
          <w:rFonts w:ascii="Palatino" w:eastAsia="Palatino Linotype" w:hAnsi="Palatino" w:cs="Palatino Linotype"/>
        </w:rPr>
        <w:t xml:space="preserve">First, as a High Contracting Party to the Geneva Conventions, the UK has a legal obligation under </w:t>
      </w:r>
      <w:r w:rsidRPr="00C73706">
        <w:rPr>
          <w:rFonts w:ascii="Palatino" w:eastAsia="Palatino Linotype" w:hAnsi="Palatino" w:cs="Palatino Linotype"/>
          <w:b/>
        </w:rPr>
        <w:t>Common Article 1</w:t>
      </w:r>
      <w:r w:rsidRPr="00C73706">
        <w:rPr>
          <w:rFonts w:ascii="Palatino" w:eastAsia="Palatino Linotype" w:hAnsi="Palatino" w:cs="Palatino Linotype"/>
        </w:rPr>
        <w:t xml:space="preserve"> to </w:t>
      </w:r>
      <w:r w:rsidRPr="00C73706">
        <w:rPr>
          <w:rFonts w:ascii="Palatino" w:eastAsia="Palatino Linotype" w:hAnsi="Palatino" w:cs="Palatino Linotype"/>
          <w:i/>
        </w:rPr>
        <w:t>"respect and ensure respect"</w:t>
      </w:r>
      <w:r>
        <w:rPr>
          <w:rStyle w:val="FootnoteReference"/>
          <w:rFonts w:ascii="Palatino" w:eastAsia="Palatino Linotype" w:hAnsi="Palatino" w:cs="Palatino Linotype"/>
          <w:i/>
          <w:iCs/>
        </w:rPr>
        <w:footnoteReference w:id="35"/>
      </w:r>
      <w:r w:rsidRPr="00C73706">
        <w:rPr>
          <w:rFonts w:ascii="Palatino" w:eastAsia="Palatino Linotype" w:hAnsi="Palatino" w:cs="Palatino Linotype"/>
          <w:i/>
        </w:rPr>
        <w:t xml:space="preserve"> </w:t>
      </w:r>
      <w:r w:rsidRPr="00C73706">
        <w:rPr>
          <w:rFonts w:ascii="Palatino" w:eastAsia="Palatino Linotype" w:hAnsi="Palatino" w:cs="Palatino Linotype"/>
        </w:rPr>
        <w:t xml:space="preserve">for IHL. This includes taking proactive measures to challenge states that refuse to recognise the applicability of IHL, such as Israel's denial of the Fourth Geneva Convention's applicability to the </w:t>
      </w:r>
      <w:r w:rsidRPr="00C73706">
        <w:rPr>
          <w:rFonts w:ascii="Palatino" w:eastAsia="Palatino Linotype" w:hAnsi="Palatino" w:cs="Palatino Linotype"/>
        </w:rPr>
        <w:t>oPt.</w:t>
      </w:r>
      <w:r w:rsidRPr="00C73706">
        <w:rPr>
          <w:rFonts w:ascii="Palatino" w:eastAsia="Palatino Linotype" w:hAnsi="Palatino" w:cs="Palatino Linotype"/>
        </w:rPr>
        <w:t xml:space="preserve"> The UK should use its diplomatic influence to advocate for adherence to IHL and consistently raise non-compliance issues in international forums like the UNSC, where it is a permanent member.</w:t>
      </w:r>
    </w:p>
    <w:p w:rsidR="00F729F2" w:rsidP="00F729F2">
      <w:pPr>
        <w:jc w:val="both"/>
        <w:rPr>
          <w:rFonts w:ascii="Palatino" w:eastAsia="Palatino Linotype" w:hAnsi="Palatino" w:cs="Palatino Linotype"/>
          <w:u w:val="single"/>
        </w:rPr>
      </w:pPr>
    </w:p>
    <w:p w:rsidR="00F729F2" w:rsidRPr="006B0D1A" w:rsidP="006B0D1A">
      <w:pPr>
        <w:pStyle w:val="ListParagraph"/>
        <w:numPr>
          <w:ilvl w:val="0"/>
          <w:numId w:val="2"/>
        </w:numPr>
        <w:jc w:val="both"/>
        <w:rPr>
          <w:rFonts w:ascii="Palatino" w:eastAsia="Palatino Linotype" w:hAnsi="Palatino" w:cs="Palatino Linotype"/>
        </w:rPr>
      </w:pPr>
      <w:r w:rsidRPr="006B0D1A">
        <w:rPr>
          <w:rFonts w:ascii="Palatino" w:eastAsia="Palatino Linotype" w:hAnsi="Palatino" w:cs="Palatino Linotype"/>
        </w:rPr>
        <w:t xml:space="preserve">Second, the UK has a duty to protect its nationals, including humanitarian workers, when they are targeted in violation of IHL. The UK, regrettably, continued to provide military assistance despite </w:t>
      </w:r>
      <w:r w:rsidRPr="006B0D1A" w:rsidR="003135D4">
        <w:rPr>
          <w:rFonts w:ascii="Palatino" w:eastAsia="Palatino Linotype" w:hAnsi="Palatino" w:cs="Palatino Linotype"/>
        </w:rPr>
        <w:t xml:space="preserve">the </w:t>
      </w:r>
      <w:r w:rsidRPr="006B0D1A">
        <w:rPr>
          <w:rFonts w:ascii="Palatino" w:eastAsia="Palatino Linotype" w:hAnsi="Palatino" w:cs="Palatino Linotype"/>
        </w:rPr>
        <w:t xml:space="preserve">April 2024 killing </w:t>
      </w:r>
      <w:r w:rsidRPr="006B0D1A" w:rsidR="003135D4">
        <w:rPr>
          <w:rFonts w:ascii="Palatino" w:eastAsia="Palatino Linotype" w:hAnsi="Palatino" w:cs="Palatino Linotype"/>
        </w:rPr>
        <w:t xml:space="preserve">of </w:t>
      </w:r>
      <w:r w:rsidRPr="006B0D1A">
        <w:rPr>
          <w:rFonts w:ascii="Palatino" w:eastAsia="Palatino Linotype" w:hAnsi="Palatino" w:cs="Palatino Linotype"/>
        </w:rPr>
        <w:t>three British nationals—John Chapman, James Henderson and James Kirby— who volunteered as aid workers with the World Central Kitchen in Gaza,</w:t>
      </w:r>
      <w:r>
        <w:rPr>
          <w:rStyle w:val="FootnoteReference"/>
          <w:rFonts w:ascii="Palatino" w:eastAsia="Palatino Linotype" w:hAnsi="Palatino" w:cs="Palatino Linotype"/>
        </w:rPr>
        <w:footnoteReference w:id="36"/>
      </w:r>
      <w:r w:rsidRPr="006B0D1A">
        <w:rPr>
          <w:rFonts w:ascii="Palatino" w:eastAsia="Palatino Linotype" w:hAnsi="Palatino" w:cs="Palatino Linotype"/>
        </w:rPr>
        <w:t xml:space="preserve"> and the attack on four British nationals in the bombing of the Medical Aid for Palestinians compound in Al </w:t>
      </w:r>
      <w:r w:rsidRPr="006B0D1A">
        <w:rPr>
          <w:rFonts w:ascii="Palatino" w:eastAsia="Palatino Linotype" w:hAnsi="Palatino" w:cs="Palatino Linotype"/>
        </w:rPr>
        <w:t>Mawasi</w:t>
      </w:r>
      <w:r w:rsidRPr="006B0D1A">
        <w:rPr>
          <w:rFonts w:ascii="Palatino" w:eastAsia="Palatino Linotype" w:hAnsi="Palatino" w:cs="Palatino Linotype"/>
        </w:rPr>
        <w:t xml:space="preserve"> in January 2024.</w:t>
      </w:r>
      <w:r>
        <w:rPr>
          <w:rStyle w:val="FootnoteReference"/>
          <w:rFonts w:ascii="Palatino" w:eastAsia="Palatino Linotype" w:hAnsi="Palatino" w:cs="Palatino Linotype"/>
        </w:rPr>
        <w:footnoteReference w:id="37"/>
      </w:r>
      <w:r w:rsidRPr="006B0D1A" w:rsidR="002C0289">
        <w:rPr>
          <w:rFonts w:ascii="Palatino" w:eastAsia="Palatino Linotype" w:hAnsi="Palatino" w:cs="Palatino Linotype"/>
        </w:rPr>
        <w:t xml:space="preserve"> </w:t>
      </w:r>
      <w:r w:rsidRPr="006B0D1A" w:rsidR="0002687B">
        <w:rPr>
          <w:rFonts w:ascii="Palatino" w:eastAsia="Palatino Linotype" w:hAnsi="Palatino" w:cs="Palatino Linotype"/>
        </w:rPr>
        <w:t>One British doctor present at the site of the latter attack has stated that he has seen no indication of concern or condemnation from the UK government following the incident</w:t>
      </w:r>
      <w:r>
        <w:rPr>
          <w:rStyle w:val="FootnoteReference"/>
          <w:rFonts w:ascii="Palatino" w:eastAsia="Palatino Linotype" w:hAnsi="Palatino" w:cs="Palatino Linotype"/>
        </w:rPr>
        <w:footnoteReference w:id="38"/>
      </w:r>
      <w:r w:rsidRPr="006B0D1A" w:rsidR="006B0D1A">
        <w:rPr>
          <w:rFonts w:ascii="Palatino" w:eastAsia="Palatino Linotype" w:hAnsi="Palatino" w:cs="Palatino Linotype"/>
        </w:rPr>
        <w:t xml:space="preserve"> - despite an independent </w:t>
      </w:r>
      <w:r w:rsidRPr="006B0D1A" w:rsidR="006B0D1A">
        <w:rPr>
          <w:rFonts w:ascii="Palatino" w:eastAsia="Palatino Linotype" w:hAnsi="Palatino" w:cs="Palatino Linotype"/>
          <w:color w:val="000000" w:themeColor="text1"/>
        </w:rPr>
        <w:t>UN Mines Action Service (UNMAS) investigation,</w:t>
      </w:r>
      <w:r>
        <w:rPr>
          <w:rStyle w:val="FootnoteReference"/>
          <w:rFonts w:ascii="Palatino" w:eastAsia="Palatino Linotype" w:hAnsi="Palatino" w:cs="Palatino Linotype"/>
          <w:color w:val="000000" w:themeColor="text1"/>
        </w:rPr>
        <w:footnoteReference w:id="39"/>
      </w:r>
      <w:r w:rsidRPr="006B0D1A" w:rsidR="006B0D1A">
        <w:rPr>
          <w:rFonts w:ascii="Palatino" w:eastAsia="Palatino Linotype" w:hAnsi="Palatino" w:cs="Palatino Linotype"/>
          <w:color w:val="000000" w:themeColor="text1"/>
        </w:rPr>
        <w:t xml:space="preserve"> finding Israel culpable for the bombing.</w:t>
      </w:r>
      <w:r w:rsidRPr="006B0D1A" w:rsidR="0002687B">
        <w:rPr>
          <w:rFonts w:ascii="Palatino" w:eastAsia="Palatino Linotype" w:hAnsi="Palatino" w:cs="Palatino Linotype"/>
        </w:rPr>
        <w:t xml:space="preserve"> </w:t>
      </w:r>
      <w:r w:rsidRPr="006B0D1A" w:rsidR="002C0289">
        <w:rPr>
          <w:rFonts w:ascii="Palatino" w:eastAsia="Palatino Linotype" w:hAnsi="Palatino" w:cs="Palatino Linotype"/>
        </w:rPr>
        <w:t>The UK should strongly condemn these and other attacks on humanitarian workers,</w:t>
      </w:r>
      <w:r w:rsidRPr="006B0D1A" w:rsidR="0002687B">
        <w:rPr>
          <w:rFonts w:ascii="Palatino" w:eastAsia="Palatino Linotype" w:hAnsi="Palatino" w:cs="Palatino Linotype"/>
        </w:rPr>
        <w:t xml:space="preserve"> emphasising the protections afforded to them under </w:t>
      </w:r>
      <w:r w:rsidRPr="006B0D1A" w:rsidR="0002687B">
        <w:rPr>
          <w:rFonts w:ascii="Palatino" w:eastAsia="Palatino Linotype" w:hAnsi="Palatino" w:cs="Palatino Linotype"/>
          <w:b/>
        </w:rPr>
        <w:t>Article 71 of Additional Protocol I</w:t>
      </w:r>
      <w:r>
        <w:rPr>
          <w:rStyle w:val="FootnoteReference"/>
          <w:rFonts w:ascii="Palatino" w:eastAsia="Palatino Linotype" w:hAnsi="Palatino" w:cs="Palatino Linotype"/>
          <w:b/>
          <w:bCs/>
        </w:rPr>
        <w:footnoteReference w:id="40"/>
      </w:r>
      <w:r w:rsidRPr="006B0D1A" w:rsidR="0002687B">
        <w:rPr>
          <w:rFonts w:ascii="Palatino" w:eastAsia="Palatino Linotype" w:hAnsi="Palatino" w:cs="Palatino Linotype"/>
          <w:b/>
        </w:rPr>
        <w:t xml:space="preserve"> </w:t>
      </w:r>
      <w:r w:rsidRPr="006B0D1A" w:rsidR="0002687B">
        <w:rPr>
          <w:rFonts w:ascii="Palatino" w:eastAsia="Palatino Linotype" w:hAnsi="Palatino" w:cs="Palatino Linotype"/>
        </w:rPr>
        <w:t xml:space="preserve">and </w:t>
      </w:r>
      <w:r w:rsidRPr="006B0D1A" w:rsidR="0002687B">
        <w:rPr>
          <w:rFonts w:ascii="Palatino" w:eastAsia="Palatino Linotype" w:hAnsi="Palatino" w:cs="Palatino Linotype"/>
          <w:b/>
        </w:rPr>
        <w:t>Article 8 of the Rome Statute</w:t>
      </w:r>
      <w:r>
        <w:rPr>
          <w:rStyle w:val="FootnoteReference"/>
          <w:rFonts w:ascii="Palatino" w:eastAsia="Palatino Linotype" w:hAnsi="Palatino" w:cs="Palatino Linotype"/>
          <w:b/>
          <w:bCs/>
        </w:rPr>
        <w:footnoteReference w:id="41"/>
      </w:r>
      <w:r w:rsidRPr="006B0D1A" w:rsidR="0002687B">
        <w:rPr>
          <w:rFonts w:ascii="Palatino" w:eastAsia="Palatino Linotype" w:hAnsi="Palatino" w:cs="Palatino Linotype"/>
        </w:rPr>
        <w:t xml:space="preserve"> which classify such attacks as war crimes. </w:t>
      </w:r>
      <w:r w:rsidRPr="006B0D1A" w:rsidR="003135D4">
        <w:rPr>
          <w:rFonts w:ascii="Palatino" w:eastAsia="Palatino Linotype" w:hAnsi="Palatino" w:cs="Palatino Linotype"/>
        </w:rPr>
        <w:t>In ensuring accountability, t</w:t>
      </w:r>
      <w:r w:rsidRPr="006B0D1A" w:rsidR="0002687B">
        <w:rPr>
          <w:rFonts w:ascii="Palatino" w:eastAsia="Palatino Linotype" w:hAnsi="Palatino" w:cs="Palatino Linotype"/>
        </w:rPr>
        <w:t xml:space="preserve">he UK must </w:t>
      </w:r>
      <w:r w:rsidRPr="006B0D1A" w:rsidR="003135D4">
        <w:rPr>
          <w:rFonts w:ascii="Palatino" w:eastAsia="Palatino Linotype" w:hAnsi="Palatino" w:cs="Palatino Linotype"/>
        </w:rPr>
        <w:t>pursue</w:t>
      </w:r>
      <w:r w:rsidRPr="006B0D1A" w:rsidR="0002687B">
        <w:rPr>
          <w:rFonts w:ascii="Palatino" w:eastAsia="Palatino Linotype" w:hAnsi="Palatino" w:cs="Palatino Linotype"/>
        </w:rPr>
        <w:t xml:space="preserve"> thorough investigations into incidents involving its nationals and accountability through diplomatic channels and international forums including the </w:t>
      </w:r>
      <w:r w:rsidRPr="006B0D1A" w:rsidR="0002687B">
        <w:rPr>
          <w:rFonts w:ascii="Palatino" w:eastAsia="Palatino Linotype" w:hAnsi="Palatino" w:cs="Palatino Linotype"/>
        </w:rPr>
        <w:t>ICC, and</w:t>
      </w:r>
      <w:r w:rsidRPr="006B0D1A" w:rsidR="0002687B">
        <w:rPr>
          <w:rFonts w:ascii="Palatino" w:eastAsia="Palatino Linotype" w:hAnsi="Palatino" w:cs="Palatino Linotype"/>
        </w:rPr>
        <w:t xml:space="preserve"> provid</w:t>
      </w:r>
      <w:r w:rsidRPr="006B0D1A" w:rsidR="003135D4">
        <w:rPr>
          <w:rFonts w:ascii="Palatino" w:eastAsia="Palatino Linotype" w:hAnsi="Palatino" w:cs="Palatino Linotype"/>
        </w:rPr>
        <w:t>e</w:t>
      </w:r>
      <w:r w:rsidRPr="006B0D1A" w:rsidR="0002687B">
        <w:rPr>
          <w:rFonts w:ascii="Palatino" w:eastAsia="Palatino Linotype" w:hAnsi="Palatino" w:cs="Palatino Linotype"/>
        </w:rPr>
        <w:t xml:space="preserve"> consular support and legal assistance to affected aid workers.</w:t>
      </w:r>
    </w:p>
    <w:p w:rsidR="00F729F2" w:rsidP="00F729F2">
      <w:pPr>
        <w:ind w:left="360"/>
        <w:jc w:val="both"/>
        <w:rPr>
          <w:rFonts w:ascii="Palatino" w:eastAsia="Palatino Linotype" w:hAnsi="Palatino" w:cs="Palatino Linotype"/>
          <w:u w:val="single"/>
        </w:rPr>
      </w:pPr>
    </w:p>
    <w:p w:rsidR="0002687B" w:rsidP="00F729F2">
      <w:pPr>
        <w:pStyle w:val="ListParagraph"/>
        <w:numPr>
          <w:ilvl w:val="0"/>
          <w:numId w:val="2"/>
        </w:numPr>
        <w:jc w:val="both"/>
        <w:rPr>
          <w:rFonts w:ascii="Palatino" w:eastAsia="Palatino Linotype" w:hAnsi="Palatino" w:cs="Palatino Linotype"/>
        </w:rPr>
      </w:pPr>
      <w:r w:rsidRPr="0002687B">
        <w:rPr>
          <w:rFonts w:ascii="Palatino" w:eastAsia="Palatino Linotype" w:hAnsi="Palatino" w:cs="Palatino Linotype"/>
        </w:rPr>
        <w:t>The</w:t>
      </w:r>
      <w:r>
        <w:rPr>
          <w:rFonts w:ascii="Palatino" w:eastAsia="Palatino Linotype" w:hAnsi="Palatino" w:cs="Palatino Linotype"/>
        </w:rPr>
        <w:t>se issues of non-compliance and limited enforceability stem not from the system of IHL itself by-nature, but from gaps in the willingness of states to implement their international obligations to ensure that IHL is respected and applied. Favour and impunity are therefore the greatest such ‘gaps’, leading to limits on enforcement, accountability, and injustice.</w:t>
      </w:r>
    </w:p>
    <w:p w:rsidR="0002687B" w:rsidRPr="0002687B" w:rsidP="0002687B">
      <w:pPr>
        <w:pStyle w:val="ListParagraph"/>
        <w:rPr>
          <w:rFonts w:ascii="Palatino" w:eastAsia="Palatino Linotype" w:hAnsi="Palatino" w:cs="Palatino Linotype"/>
        </w:rPr>
      </w:pPr>
    </w:p>
    <w:p w:rsidR="0002687B" w:rsidRPr="00C73706" w:rsidP="0002687B">
      <w:pPr>
        <w:jc w:val="both"/>
        <w:rPr>
          <w:rFonts w:ascii="Palatino" w:eastAsia="Palatino Linotype" w:hAnsi="Palatino" w:cs="Palatino Linotype"/>
          <w:b/>
          <w:color w:val="000000" w:themeColor="text1"/>
        </w:rPr>
      </w:pPr>
      <w:r w:rsidRPr="00C73706">
        <w:rPr>
          <w:rFonts w:ascii="Palatino" w:eastAsia="Palatino Linotype" w:hAnsi="Palatino" w:cs="Palatino Linotype"/>
          <w:b/>
          <w:color w:val="000000" w:themeColor="text1"/>
        </w:rPr>
        <w:t>What more could the Government do, with or without partners, to hold perpetrators of attacks and abuse against aid workers to account and encouraging adherence to international humanitarian law on these issues?</w:t>
      </w:r>
    </w:p>
    <w:p w:rsidR="0002687B" w:rsidP="0002687B">
      <w:pPr>
        <w:jc w:val="both"/>
        <w:rPr>
          <w:rFonts w:ascii="Palatino" w:eastAsia="Palatino Linotype" w:hAnsi="Palatino" w:cs="Palatino Linotype"/>
        </w:rPr>
      </w:pPr>
    </w:p>
    <w:p w:rsidR="003E62B5" w:rsidRPr="003E62B5" w:rsidP="003E62B5">
      <w:pPr>
        <w:pStyle w:val="ListParagraph"/>
        <w:numPr>
          <w:ilvl w:val="0"/>
          <w:numId w:val="2"/>
        </w:numPr>
        <w:jc w:val="both"/>
        <w:rPr>
          <w:rFonts w:ascii="Palatino" w:eastAsia="Palatino Linotype" w:hAnsi="Palatino" w:cs="Palatino Linotype"/>
          <w:shd w:val="clear" w:color="auto" w:fill="FFFFFF"/>
        </w:rPr>
      </w:pPr>
      <w:r w:rsidRPr="003E62B5">
        <w:rPr>
          <w:rFonts w:ascii="Palatino" w:eastAsia="Palatino Linotype" w:hAnsi="Palatino" w:cs="Palatino Linotype"/>
        </w:rPr>
        <w:t>The avenues for accountability which the UK government ought to advance are summarised in paragraphs 1</w:t>
      </w:r>
      <w:r w:rsidR="00412B0B">
        <w:rPr>
          <w:rFonts w:ascii="Palatino" w:eastAsia="Palatino Linotype" w:hAnsi="Palatino" w:cs="Palatino Linotype"/>
        </w:rPr>
        <w:t>2</w:t>
      </w:r>
      <w:r w:rsidRPr="003E62B5">
        <w:rPr>
          <w:rFonts w:ascii="Palatino" w:eastAsia="Palatino Linotype" w:hAnsi="Palatino" w:cs="Palatino Linotype"/>
        </w:rPr>
        <w:t xml:space="preserve"> and 1</w:t>
      </w:r>
      <w:r w:rsidR="00412B0B">
        <w:rPr>
          <w:rFonts w:ascii="Palatino" w:eastAsia="Palatino Linotype" w:hAnsi="Palatino" w:cs="Palatino Linotype"/>
        </w:rPr>
        <w:t>4</w:t>
      </w:r>
      <w:r w:rsidRPr="003E62B5">
        <w:rPr>
          <w:rFonts w:ascii="Palatino" w:eastAsia="Palatino Linotype" w:hAnsi="Palatino" w:cs="Palatino Linotype"/>
        </w:rPr>
        <w:t>-1</w:t>
      </w:r>
      <w:r w:rsidR="00412B0B">
        <w:rPr>
          <w:rFonts w:ascii="Palatino" w:eastAsia="Palatino Linotype" w:hAnsi="Palatino" w:cs="Palatino Linotype"/>
        </w:rPr>
        <w:t>6</w:t>
      </w:r>
      <w:r w:rsidRPr="003E62B5">
        <w:rPr>
          <w:rFonts w:ascii="Palatino" w:eastAsia="Palatino Linotype" w:hAnsi="Palatino" w:cs="Palatino Linotype"/>
        </w:rPr>
        <w:t>. Most importantly, the UK must offer its total support for the investigations of the ICC and the independence and authority of the ICJ. Regarding the former, the UK’s decision to object and delay ICC arrest warrant application throughout mid-2024 processes were most regrettable,</w:t>
      </w:r>
      <w:r>
        <w:rPr>
          <w:rStyle w:val="FootnoteReference"/>
          <w:rFonts w:ascii="Palatino" w:eastAsia="Palatino Linotype" w:hAnsi="Palatino" w:cs="Palatino Linotype"/>
          <w:shd w:val="clear" w:color="auto" w:fill="FFFFFF"/>
        </w:rPr>
        <w:footnoteReference w:id="42"/>
      </w:r>
      <w:r w:rsidRPr="003E62B5">
        <w:rPr>
          <w:rFonts w:ascii="Palatino" w:eastAsia="Palatino Linotype" w:hAnsi="Palatino" w:cs="Palatino Linotype"/>
        </w:rPr>
        <w:t xml:space="preserve"> and the UK must now ensure that it complies fully with any request for arrest of ICC suspects and collaborate with investigations including through the sharing of information. </w:t>
      </w:r>
    </w:p>
    <w:p w:rsidR="003E62B5" w:rsidRPr="003E62B5" w:rsidP="003E62B5">
      <w:pPr>
        <w:pStyle w:val="ListParagraph"/>
        <w:jc w:val="both"/>
        <w:rPr>
          <w:rFonts w:ascii="Palatino" w:eastAsia="Palatino Linotype" w:hAnsi="Palatino" w:cs="Palatino Linotype"/>
          <w:shd w:val="clear" w:color="auto" w:fill="FFFFFF"/>
        </w:rPr>
      </w:pPr>
    </w:p>
    <w:p w:rsidR="003E62B5" w:rsidRPr="00C73706" w:rsidP="003E62B5">
      <w:pPr>
        <w:pStyle w:val="ListParagraph"/>
        <w:numPr>
          <w:ilvl w:val="0"/>
          <w:numId w:val="2"/>
        </w:numPr>
        <w:jc w:val="both"/>
        <w:rPr>
          <w:rFonts w:ascii="Palatino" w:eastAsia="Palatino Linotype" w:hAnsi="Palatino" w:cs="Palatino Linotype"/>
          <w:shd w:val="clear" w:color="auto" w:fill="FFFFFF"/>
        </w:rPr>
      </w:pPr>
      <w:r>
        <w:rPr>
          <w:rFonts w:ascii="Palatino" w:eastAsia="Palatino Linotype" w:hAnsi="Palatino" w:cs="Palatino Linotype"/>
        </w:rPr>
        <w:t xml:space="preserve">Regarding the latter, the ICJ, accountability requires </w:t>
      </w:r>
      <w:r w:rsidRPr="00C73706">
        <w:rPr>
          <w:rFonts w:ascii="Palatino" w:eastAsia="Palatino Linotype" w:hAnsi="Palatino" w:cs="Palatino Linotype"/>
          <w:shd w:val="clear" w:color="auto" w:fill="FFFFFF"/>
        </w:rPr>
        <w:t>total and unequivocable support for the South Africa v. Israel genocide case at the International Court of Justice. FCDO should heed the advice of the International Development Committee that: “</w:t>
      </w:r>
      <w:r w:rsidRPr="003E62B5">
        <w:rPr>
          <w:rFonts w:ascii="Palatino" w:eastAsia="Palatino Linotype" w:hAnsi="Palatino" w:cs="Palatino Linotype"/>
          <w:i/>
          <w:iCs/>
          <w:shd w:val="clear" w:color="auto" w:fill="FFFFFF"/>
        </w:rPr>
        <w:t>There is a danger that delays in applying full diplomatic pressure until the International Court of Justice has adjudicated on whether Israel’s actions in Gaza are genocidal or not may mean that many more civilians will die in the interim</w:t>
      </w:r>
      <w:r w:rsidRPr="00C73706">
        <w:rPr>
          <w:rFonts w:ascii="Palatino" w:eastAsia="Palatino Linotype" w:hAnsi="Palatino" w:cs="Palatino Linotype"/>
          <w:shd w:val="clear" w:color="auto" w:fill="FFFFFF"/>
        </w:rPr>
        <w:t>."</w:t>
      </w:r>
      <w:r>
        <w:rPr>
          <w:rStyle w:val="FootnoteReference"/>
          <w:rFonts w:ascii="Palatino" w:eastAsia="Palatino Linotype" w:hAnsi="Palatino" w:cs="Palatino Linotype"/>
          <w:shd w:val="clear" w:color="auto" w:fill="FFFFFF"/>
        </w:rPr>
        <w:footnoteReference w:id="43"/>
      </w:r>
      <w:r w:rsidRPr="00C73706">
        <w:rPr>
          <w:rFonts w:ascii="Palatino" w:eastAsia="Palatino Linotype" w:hAnsi="Palatino" w:cs="Palatino Linotype"/>
          <w:shd w:val="clear" w:color="auto" w:fill="FFFFFF"/>
        </w:rPr>
        <w:t xml:space="preserve"> The UK must take a proactive approach to its positive obligations to prevent genocide when there is a risk of genocide taking place, as is the UK’s duty under Article 1 of the Genocide Convention, to which it is a State Party.</w:t>
      </w:r>
      <w:r>
        <w:rPr>
          <w:rStyle w:val="FootnoteReference"/>
          <w:rFonts w:ascii="Palatino" w:eastAsia="Palatino Linotype" w:hAnsi="Palatino" w:cs="Palatino Linotype"/>
          <w:shd w:val="clear" w:color="auto" w:fill="FFFFFF"/>
        </w:rPr>
        <w:footnoteReference w:id="44"/>
      </w:r>
    </w:p>
    <w:p w:rsidR="00F729F2" w:rsidP="003E62B5">
      <w:pPr>
        <w:pStyle w:val="ListParagraph"/>
        <w:jc w:val="both"/>
        <w:rPr>
          <w:rFonts w:ascii="Palatino" w:eastAsia="Palatino Linotype" w:hAnsi="Palatino" w:cs="Palatino Linotype"/>
        </w:rPr>
      </w:pPr>
    </w:p>
    <w:p w:rsidR="003135D4" w:rsidRPr="003135D4" w:rsidP="003135D4">
      <w:pPr>
        <w:pStyle w:val="ListParagraph"/>
        <w:numPr>
          <w:ilvl w:val="0"/>
          <w:numId w:val="2"/>
        </w:numPr>
        <w:jc w:val="both"/>
        <w:rPr>
          <w:rFonts w:ascii="Palatino" w:eastAsia="Palatino Linotype" w:hAnsi="Palatino" w:cs="Palatino Linotype"/>
        </w:rPr>
      </w:pPr>
      <w:r w:rsidRPr="003135D4">
        <w:rPr>
          <w:rFonts w:ascii="Palatino" w:eastAsia="Palatino Linotype" w:hAnsi="Palatino" w:cs="Palatino Linotype"/>
        </w:rPr>
        <w:t xml:space="preserve">There are additionally </w:t>
      </w:r>
      <w:r w:rsidRPr="003135D4">
        <w:rPr>
          <w:rFonts w:ascii="Palatino" w:eastAsia="Palatino Linotype" w:hAnsi="Palatino" w:cs="Palatino Linotype"/>
        </w:rPr>
        <w:t>a number of</w:t>
      </w:r>
      <w:r w:rsidRPr="003135D4">
        <w:rPr>
          <w:rFonts w:ascii="Palatino" w:eastAsia="Palatino Linotype" w:hAnsi="Palatino" w:cs="Palatino Linotype"/>
        </w:rPr>
        <w:t xml:space="preserve"> regulatory tools available to the UK government to ensure humanitarian aid access and prevent and punish aid’s obstruction which have thus far remained under-utilised. </w:t>
      </w:r>
      <w:r w:rsidRPr="00C73706">
        <w:rPr>
          <w:rFonts w:ascii="Palatino" w:eastAsia="Palatino Linotype" w:hAnsi="Palatino" w:cs="Palatino Linotype"/>
          <w:shd w:val="clear" w:color="auto" w:fill="FFFFFF"/>
        </w:rPr>
        <w:t>In February 2024, the UK announced sanctions on extremist Israeli settlers inducing violence against Palestinians</w:t>
      </w:r>
      <w:r>
        <w:rPr>
          <w:rFonts w:ascii="Palatino" w:eastAsia="Palatino Linotype" w:hAnsi="Palatino" w:cs="Palatino Linotype"/>
          <w:shd w:val="clear" w:color="auto" w:fill="FFFFFF"/>
        </w:rPr>
        <w:t>.</w:t>
      </w:r>
      <w:r>
        <w:rPr>
          <w:rStyle w:val="FootnoteReference"/>
          <w:rFonts w:ascii="Palatino" w:eastAsia="Palatino Linotype" w:hAnsi="Palatino" w:cs="Palatino Linotype"/>
          <w:shd w:val="clear" w:color="auto" w:fill="FFFFFF"/>
        </w:rPr>
        <w:footnoteReference w:id="45"/>
      </w:r>
      <w:r>
        <w:rPr>
          <w:rFonts w:ascii="Palatino" w:eastAsia="Palatino Linotype" w:hAnsi="Palatino" w:cs="Palatino Linotype"/>
          <w:shd w:val="clear" w:color="auto" w:fill="FFFFFF"/>
        </w:rPr>
        <w:t xml:space="preserve"> This must be expanded to respond to the expansion of settler violence generally and armed settler aid disruption specifically. </w:t>
      </w:r>
      <w:r w:rsidRPr="00C73706">
        <w:rPr>
          <w:rFonts w:ascii="Palatino" w:eastAsia="Palatino Linotype" w:hAnsi="Palatino" w:cs="Palatino Linotype"/>
        </w:rPr>
        <w:t>Israeli and international media outlets, including the BBC, have reported numerous instances of aid disruptions to Gaza, orchestrated by Israeli groups, such as Tzav 9</w:t>
      </w:r>
      <w:r>
        <w:rPr>
          <w:rFonts w:ascii="Palatino" w:eastAsia="Palatino Linotype" w:hAnsi="Palatino" w:cs="Palatino Linotype"/>
        </w:rPr>
        <w:t>,</w:t>
      </w:r>
      <w:r>
        <w:rPr>
          <w:rStyle w:val="FootnoteReference"/>
          <w:rFonts w:ascii="Palatino" w:eastAsia="Palatino Linotype" w:hAnsi="Palatino" w:cs="Palatino Linotype"/>
        </w:rPr>
        <w:footnoteReference w:id="46"/>
      </w:r>
      <w:r>
        <w:rPr>
          <w:rFonts w:ascii="Palatino" w:eastAsia="Palatino Linotype" w:hAnsi="Palatino" w:cs="Palatino Linotype"/>
        </w:rPr>
        <w:t xml:space="preserve"> in some instances apparently supported by the Israeli military and police</w:t>
      </w:r>
      <w:r w:rsidRPr="00C73706">
        <w:rPr>
          <w:rFonts w:ascii="Palatino" w:eastAsia="Palatino Linotype" w:hAnsi="Palatino" w:cs="Palatino Linotype"/>
        </w:rPr>
        <w:t>.</w:t>
      </w:r>
      <w:r w:rsidRPr="003135D4">
        <w:rPr>
          <w:rStyle w:val="FootnoteReference"/>
          <w:rFonts w:ascii="Palatino" w:eastAsia="Palatino Linotype" w:hAnsi="Palatino" w:cs="Palatino Linotype"/>
        </w:rPr>
        <w:t xml:space="preserve"> </w:t>
      </w:r>
      <w:r>
        <w:rPr>
          <w:rStyle w:val="FootnoteReference"/>
          <w:rFonts w:ascii="Palatino" w:eastAsia="Palatino Linotype" w:hAnsi="Palatino" w:cs="Palatino Linotype"/>
        </w:rPr>
        <w:footnoteReference w:id="47"/>
      </w:r>
      <w:r>
        <w:rPr>
          <w:rStyle w:val="FootnoteReference"/>
          <w:rFonts w:ascii="Palatino" w:eastAsia="Palatino Linotype" w:hAnsi="Palatino" w:cs="Palatino Linotype"/>
        </w:rPr>
        <w:footnoteReference w:id="48"/>
      </w:r>
      <w:r w:rsidRPr="003135D4">
        <w:rPr>
          <w:rFonts w:ascii="Palatino" w:eastAsia="Palatino Linotype" w:hAnsi="Palatino" w:cs="Palatino Linotype"/>
        </w:rPr>
        <w:t xml:space="preserve"> </w:t>
      </w:r>
      <w:r w:rsidRPr="00C73706">
        <w:rPr>
          <w:rFonts w:ascii="Palatino" w:eastAsia="Palatino Linotype" w:hAnsi="Palatino" w:cs="Palatino Linotype"/>
        </w:rPr>
        <w:t xml:space="preserve">It is well documented that UK registered charities have raised </w:t>
      </w:r>
      <w:r>
        <w:rPr>
          <w:rFonts w:ascii="Palatino" w:eastAsia="Palatino Linotype" w:hAnsi="Palatino" w:cs="Palatino Linotype"/>
        </w:rPr>
        <w:t xml:space="preserve">Gift Aid-backed </w:t>
      </w:r>
      <w:r w:rsidRPr="00C73706">
        <w:rPr>
          <w:rFonts w:ascii="Palatino" w:eastAsia="Palatino Linotype" w:hAnsi="Palatino" w:cs="Palatino Linotype"/>
        </w:rPr>
        <w:t>funds, for groups involved in aid disruption</w:t>
      </w:r>
      <w:r>
        <w:rPr>
          <w:rFonts w:ascii="Palatino" w:eastAsia="Palatino Linotype" w:hAnsi="Palatino" w:cs="Palatino Linotype"/>
        </w:rPr>
        <w:t>, including ‘</w:t>
      </w:r>
      <w:r w:rsidRPr="00C73706">
        <w:rPr>
          <w:rFonts w:ascii="Palatino" w:eastAsia="Palatino Linotype" w:hAnsi="Palatino" w:cs="Palatino Linotype"/>
        </w:rPr>
        <w:t xml:space="preserve">UK </w:t>
      </w:r>
      <w:r w:rsidRPr="00C73706">
        <w:rPr>
          <w:rFonts w:ascii="Palatino" w:eastAsia="Palatino Linotype" w:hAnsi="Palatino" w:cs="Palatino Linotype"/>
        </w:rPr>
        <w:t>Toremet</w:t>
      </w:r>
      <w:r>
        <w:rPr>
          <w:rFonts w:ascii="Palatino" w:eastAsia="Palatino Linotype" w:hAnsi="Palatino" w:cs="Palatino Linotype"/>
        </w:rPr>
        <w:t>’</w:t>
      </w:r>
      <w:r w:rsidRPr="00C73706">
        <w:rPr>
          <w:rFonts w:ascii="Palatino" w:eastAsia="Palatino Linotype" w:hAnsi="Palatino" w:cs="Palatino Linotype"/>
        </w:rPr>
        <w:t xml:space="preserve">, which has raised funds for </w:t>
      </w:r>
      <w:r w:rsidRPr="00C73706">
        <w:rPr>
          <w:rFonts w:ascii="Palatino" w:eastAsia="Palatino Linotype" w:hAnsi="Palatino" w:cs="Palatino Linotype"/>
        </w:rPr>
        <w:t>Im</w:t>
      </w:r>
      <w:r w:rsidRPr="00C73706">
        <w:rPr>
          <w:rFonts w:ascii="Palatino" w:eastAsia="Palatino Linotype" w:hAnsi="Palatino" w:cs="Palatino Linotype"/>
        </w:rPr>
        <w:t xml:space="preserve"> </w:t>
      </w:r>
      <w:r w:rsidRPr="00C73706">
        <w:rPr>
          <w:rFonts w:ascii="Palatino" w:eastAsia="Palatino Linotype" w:hAnsi="Palatino" w:cs="Palatino Linotype"/>
        </w:rPr>
        <w:t>Tirtzu</w:t>
      </w:r>
      <w:r w:rsidRPr="00C73706">
        <w:rPr>
          <w:rFonts w:ascii="Palatino" w:eastAsia="Palatino Linotype" w:hAnsi="Palatino" w:cs="Palatino Linotype"/>
        </w:rPr>
        <w:t xml:space="preserve">, Tzav 9 and </w:t>
      </w:r>
      <w:r w:rsidRPr="00C73706">
        <w:rPr>
          <w:rFonts w:ascii="Palatino" w:eastAsia="Palatino Linotype" w:hAnsi="Palatino" w:cs="Palatino Linotype"/>
        </w:rPr>
        <w:t>Torat</w:t>
      </w:r>
      <w:r w:rsidRPr="00C73706">
        <w:rPr>
          <w:rFonts w:ascii="Palatino" w:eastAsia="Palatino Linotype" w:hAnsi="Palatino" w:cs="Palatino Linotype"/>
        </w:rPr>
        <w:t xml:space="preserve"> </w:t>
      </w:r>
      <w:r w:rsidRPr="00C73706">
        <w:rPr>
          <w:rFonts w:ascii="Palatino" w:eastAsia="Palatino Linotype" w:hAnsi="Palatino" w:cs="Palatino Linotype"/>
        </w:rPr>
        <w:t>Lechima</w:t>
      </w:r>
      <w:r w:rsidRPr="00C73706">
        <w:rPr>
          <w:rFonts w:ascii="Palatino" w:eastAsia="Palatino Linotype" w:hAnsi="Palatino" w:cs="Palatino Linotype"/>
        </w:rPr>
        <w:t>.</w:t>
      </w:r>
      <w:r>
        <w:rPr>
          <w:rStyle w:val="FootnoteReference"/>
          <w:rFonts w:ascii="Palatino" w:eastAsia="Palatino Linotype" w:hAnsi="Palatino" w:cs="Palatino Linotype"/>
        </w:rPr>
        <w:footnoteReference w:id="49"/>
      </w:r>
      <w:r w:rsidRPr="00C73706">
        <w:rPr>
          <w:rFonts w:ascii="Palatino" w:eastAsia="Palatino Linotype" w:hAnsi="Palatino" w:cs="Palatino Linotype"/>
        </w:rPr>
        <w:t xml:space="preserve"> FCDO must liaise with the Charity Commission</w:t>
      </w:r>
      <w:r>
        <w:rPr>
          <w:rFonts w:ascii="Palatino" w:eastAsia="Palatino Linotype" w:hAnsi="Palatino" w:cs="Palatino Linotype"/>
        </w:rPr>
        <w:t>, to jointly ensure tha</w:t>
      </w:r>
      <w:r w:rsidRPr="00C73706">
        <w:rPr>
          <w:rFonts w:ascii="Palatino" w:eastAsia="Palatino Linotype" w:hAnsi="Palatino" w:cs="Palatino Linotype"/>
        </w:rPr>
        <w:t xml:space="preserve">t UK </w:t>
      </w:r>
      <w:r w:rsidRPr="00C73706">
        <w:rPr>
          <w:rFonts w:ascii="Palatino" w:eastAsia="Palatino Linotype" w:hAnsi="Palatino" w:cs="Palatino Linotype"/>
        </w:rPr>
        <w:t>charities are not facilitating organisations to block and destroy humanitarian aid.</w:t>
      </w:r>
      <w:r>
        <w:rPr>
          <w:rFonts w:ascii="Palatino" w:eastAsia="Palatino Linotype" w:hAnsi="Palatino" w:cs="Palatino Linotype"/>
        </w:rPr>
        <w:t xml:space="preserve"> The evidence available of military and police collusion with such groups </w:t>
      </w:r>
      <w:r w:rsidRPr="00C73706">
        <w:rPr>
          <w:rFonts w:ascii="Palatino" w:eastAsia="Palatino Linotype" w:hAnsi="Palatino" w:cs="Palatino Linotype"/>
        </w:rPr>
        <w:t>show the necessity for a root-and-branch approach to policymaking</w:t>
      </w:r>
      <w:r>
        <w:rPr>
          <w:rFonts w:ascii="Palatino" w:eastAsia="Palatino Linotype" w:hAnsi="Palatino" w:cs="Palatino Linotype"/>
        </w:rPr>
        <w:t>: targeting not just settler organisations</w:t>
      </w:r>
      <w:r w:rsidRPr="00C73706">
        <w:rPr>
          <w:rFonts w:ascii="Palatino" w:eastAsia="Palatino Linotype" w:hAnsi="Palatino" w:cs="Palatino Linotype"/>
        </w:rPr>
        <w:t xml:space="preserve"> </w:t>
      </w:r>
      <w:r>
        <w:rPr>
          <w:rFonts w:ascii="Palatino" w:eastAsia="Palatino Linotype" w:hAnsi="Palatino" w:cs="Palatino Linotype"/>
        </w:rPr>
        <w:t xml:space="preserve">but also officials </w:t>
      </w:r>
      <w:r w:rsidRPr="00C73706">
        <w:rPr>
          <w:rFonts w:ascii="Palatino" w:eastAsia="Palatino Linotype" w:hAnsi="Palatino" w:cs="Palatino Linotype"/>
        </w:rPr>
        <w:t xml:space="preserve">responsible for the disruption of </w:t>
      </w:r>
      <w:r w:rsidR="006B0D1A">
        <w:rPr>
          <w:rFonts w:ascii="Palatino" w:eastAsia="Palatino Linotype" w:hAnsi="Palatino" w:cs="Palatino Linotype"/>
        </w:rPr>
        <w:t>aid.</w:t>
      </w:r>
    </w:p>
    <w:p w:rsidR="003135D4" w:rsidP="003135D4">
      <w:pPr>
        <w:jc w:val="both"/>
        <w:rPr>
          <w:rFonts w:ascii="Palatino" w:eastAsia="Palatino Linotype" w:hAnsi="Palatino" w:cs="Palatino Linotype"/>
        </w:rPr>
      </w:pPr>
    </w:p>
    <w:p w:rsidR="003135D4" w:rsidRPr="003135D4" w:rsidP="003135D4">
      <w:pPr>
        <w:pStyle w:val="ListParagraph"/>
        <w:numPr>
          <w:ilvl w:val="0"/>
          <w:numId w:val="2"/>
        </w:numPr>
        <w:jc w:val="both"/>
        <w:rPr>
          <w:rFonts w:ascii="Palatino" w:eastAsia="Palatino Linotype" w:hAnsi="Palatino" w:cs="Palatino Linotype"/>
          <w:shd w:val="clear" w:color="auto" w:fill="FFFFFF"/>
        </w:rPr>
      </w:pPr>
      <w:r w:rsidRPr="00C73706">
        <w:rPr>
          <w:rFonts w:ascii="Palatino" w:eastAsia="Palatino Linotype" w:hAnsi="Palatino" w:cs="Palatino Linotype"/>
        </w:rPr>
        <w:t xml:space="preserve">It is incumbent upon Israel to allow the unimpeded flow of aid into Gaza, as dictated by Article 61 of the Geneva Convention Relative to the Protection of Civilians in Time of War (GCIV). </w:t>
      </w:r>
      <w:r w:rsidRPr="00C73706">
        <w:rPr>
          <w:rFonts w:ascii="Palatino" w:eastAsia="Palatino Linotype" w:hAnsi="Palatino" w:cs="Palatino Linotype"/>
          <w:shd w:val="clear" w:color="auto" w:fill="FFFFFF"/>
        </w:rPr>
        <w:t xml:space="preserve">Additional Protocol I </w:t>
      </w:r>
      <w:r w:rsidRPr="00C73706">
        <w:rPr>
          <w:rFonts w:ascii="Palatino" w:eastAsia="Palatino Linotype" w:hAnsi="Palatino" w:cs="Palatino Linotype"/>
        </w:rPr>
        <w:t>provides</w:t>
      </w:r>
      <w:r w:rsidRPr="00C73706">
        <w:rPr>
          <w:rFonts w:ascii="Palatino" w:eastAsia="Palatino Linotype" w:hAnsi="Palatino" w:cs="Palatino Linotype"/>
          <w:shd w:val="clear" w:color="auto" w:fill="FFFFFF"/>
        </w:rPr>
        <w:t xml:space="preserve"> a broader view of the obligations entailed in Article 61 of GCIV and extends it to cover the “</w:t>
      </w:r>
      <w:r w:rsidRPr="006B0D1A">
        <w:rPr>
          <w:rFonts w:ascii="Palatino" w:eastAsia="Palatino Linotype" w:hAnsi="Palatino" w:cs="Palatino Linotype"/>
          <w:i/>
          <w:iCs/>
          <w:shd w:val="clear" w:color="auto" w:fill="FFFFFF"/>
        </w:rPr>
        <w:t>rapid and unimpeded passage of all relief consignments, equipment, and personnel</w:t>
      </w:r>
      <w:r w:rsidRPr="00C73706">
        <w:rPr>
          <w:rFonts w:ascii="Palatino" w:eastAsia="Palatino Linotype" w:hAnsi="Palatino" w:cs="Palatino Linotype"/>
          <w:shd w:val="clear" w:color="auto" w:fill="FFFFFF"/>
        </w:rPr>
        <w:t>.”</w:t>
      </w:r>
      <w:r>
        <w:rPr>
          <w:rStyle w:val="FootnoteReference"/>
          <w:rFonts w:ascii="Palatino" w:eastAsia="Palatino Linotype" w:hAnsi="Palatino" w:cs="Palatino Linotype"/>
          <w:shd w:val="clear" w:color="auto" w:fill="FFFFFF"/>
        </w:rPr>
        <w:footnoteReference w:id="50"/>
      </w:r>
      <w:r w:rsidRPr="00C73706">
        <w:rPr>
          <w:rFonts w:ascii="Palatino" w:eastAsia="Palatino Linotype" w:hAnsi="Palatino" w:cs="Palatino Linotype"/>
          <w:color w:val="000000"/>
        </w:rPr>
        <w:t xml:space="preserve"> </w:t>
      </w:r>
      <w:r w:rsidRPr="00C73706">
        <w:rPr>
          <w:rFonts w:ascii="Palatino" w:eastAsia="Palatino Linotype" w:hAnsi="Palatino" w:cs="Palatino Linotype"/>
          <w:shd w:val="clear" w:color="auto" w:fill="FFFFFF"/>
        </w:rPr>
        <w:t>The obstruction of humanitarian aid is explicitly prohibited in Article 18(2) of the 1977 Additional Protocol II to the Geneva Conventions.</w:t>
      </w:r>
      <w:r>
        <w:rPr>
          <w:rStyle w:val="FootnoteReference"/>
          <w:rFonts w:ascii="Palatino" w:eastAsia="Palatino Linotype" w:hAnsi="Palatino" w:cs="Palatino Linotype"/>
          <w:shd w:val="clear" w:color="auto" w:fill="FFFFFF"/>
        </w:rPr>
        <w:footnoteReference w:id="51"/>
      </w:r>
      <w:r w:rsidRPr="00C73706">
        <w:rPr>
          <w:rFonts w:ascii="Palatino" w:eastAsia="Palatino Linotype" w:hAnsi="Palatino" w:cs="Palatino Linotype"/>
          <w:shd w:val="clear" w:color="auto" w:fill="FFFFFF"/>
        </w:rPr>
        <w:t xml:space="preserve"> Israel has violated its duties under international law by not </w:t>
      </w:r>
      <w:bookmarkStart w:id="0" w:name="_Int_O5wE9vNM"/>
      <w:r w:rsidRPr="00C73706">
        <w:rPr>
          <w:rFonts w:ascii="Palatino" w:eastAsia="Palatino Linotype" w:hAnsi="Palatino" w:cs="Palatino Linotype"/>
          <w:shd w:val="clear" w:color="auto" w:fill="FFFFFF"/>
        </w:rPr>
        <w:t>bringing an end</w:t>
      </w:r>
      <w:bookmarkEnd w:id="0"/>
      <w:r w:rsidRPr="00C73706">
        <w:rPr>
          <w:rFonts w:ascii="Palatino" w:eastAsia="Palatino Linotype" w:hAnsi="Palatino" w:cs="Palatino Linotype"/>
          <w:shd w:val="clear" w:color="auto" w:fill="FFFFFF"/>
        </w:rPr>
        <w:t xml:space="preserve"> to the practices of Israeli organisations disrupting and destroying aid in addition </w:t>
      </w:r>
      <w:r w:rsidRPr="00C73706">
        <w:rPr>
          <w:rFonts w:ascii="Palatino" w:eastAsia="Palatino Linotype" w:hAnsi="Palatino" w:cs="Palatino Linotype"/>
        </w:rPr>
        <w:t>to supplying</w:t>
      </w:r>
      <w:r w:rsidRPr="00C73706">
        <w:rPr>
          <w:rFonts w:ascii="Palatino" w:eastAsia="Palatino Linotype" w:hAnsi="Palatino" w:cs="Palatino Linotype"/>
          <w:shd w:val="clear" w:color="auto" w:fill="FFFFFF"/>
        </w:rPr>
        <w:t xml:space="preserve"> settlers with weaponry </w:t>
      </w:r>
      <w:r w:rsidR="006B0D1A">
        <w:rPr>
          <w:rFonts w:ascii="Palatino" w:eastAsia="Palatino Linotype" w:hAnsi="Palatino" w:cs="Palatino Linotype"/>
          <w:shd w:val="clear" w:color="auto" w:fill="FFFFFF"/>
        </w:rPr>
        <w:t xml:space="preserve">and intelligence </w:t>
      </w:r>
      <w:r w:rsidRPr="00C73706">
        <w:rPr>
          <w:rFonts w:ascii="Palatino" w:eastAsia="Palatino Linotype" w:hAnsi="Palatino" w:cs="Palatino Linotype"/>
          <w:shd w:val="clear" w:color="auto" w:fill="FFFFFF"/>
        </w:rPr>
        <w:t>to facilitate the blocking of aid. As well as sanctions on settler groups and state officials who aid and abet these groups in disrupting and destroying aid, the UK government should also support efforts to penalise Israeli officials who have violated the Geneva Conventions</w:t>
      </w:r>
      <w:r>
        <w:rPr>
          <w:rFonts w:ascii="Palatino" w:eastAsia="Palatino Linotype" w:hAnsi="Palatino" w:cs="Palatino Linotype"/>
          <w:shd w:val="clear" w:color="auto" w:fill="FFFFFF"/>
        </w:rPr>
        <w:t>.</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Palatino">
    <w:panose1 w:val="00000000000000000000"/>
    <w:charset w:val="4D"/>
    <w:family w:val="auto"/>
    <w:pitch w:val="variable"/>
    <w:sig w:usb0="A00002FF" w:usb1="7800205A" w:usb2="14600000" w:usb3="00000000" w:csb0="00000193" w:csb1="00000000"/>
  </w:font>
  <w:font w:name="Arial">
    <w:panose1 w:val="020B0604020202020204"/>
    <w:charset w:val="00"/>
    <w:family w:val="swiss"/>
    <w:pitch w:val="variable"/>
    <w:sig w:usb0="E0002A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ptos">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0E60D1" w:rsidP="00E10BDE">
      <w:r>
        <w:separator/>
      </w:r>
    </w:p>
  </w:footnote>
  <w:footnote w:type="continuationSeparator" w:id="1">
    <w:p w:rsidR="000E60D1" w:rsidP="00E10BDE">
      <w:r>
        <w:continuationSeparator/>
      </w:r>
    </w:p>
  </w:footnote>
  <w:footnote w:id="2">
    <w:p w:rsidR="00E10BDE" w:rsidRPr="00AD3788" w:rsidP="00E10BDE">
      <w:pPr>
        <w:pStyle w:val="FootnoteText"/>
        <w:rPr>
          <w:rFonts w:ascii="Palatino" w:hAnsi="Palatino" w:cs="Arial"/>
          <w:sz w:val="18"/>
          <w:szCs w:val="18"/>
        </w:rPr>
      </w:pPr>
      <w:r w:rsidRPr="00AD3788">
        <w:rPr>
          <w:rStyle w:val="FootnoteReference"/>
          <w:rFonts w:ascii="Palatino" w:hAnsi="Palatino" w:eastAsiaTheme="majorEastAsia" w:cs="Arial"/>
          <w:sz w:val="18"/>
          <w:szCs w:val="18"/>
        </w:rPr>
        <w:footnoteRef/>
      </w:r>
      <w:r w:rsidRPr="00AD3788">
        <w:rPr>
          <w:rFonts w:ascii="Palatino" w:hAnsi="Palatino" w:cs="Arial"/>
          <w:sz w:val="18"/>
          <w:szCs w:val="18"/>
        </w:rPr>
        <w:t xml:space="preserve"> </w:t>
      </w:r>
      <w:r>
        <w:fldChar w:fldCharType="begin"/>
      </w:r>
      <w:r>
        <w:instrText xml:space="preserve"> HYPERLINK "https://www.icjpalestine.com/" </w:instrText>
      </w:r>
      <w:r>
        <w:fldChar w:fldCharType="separate"/>
      </w:r>
      <w:r w:rsidRPr="00AD3788">
        <w:rPr>
          <w:rStyle w:val="Hyperlink"/>
          <w:rFonts w:ascii="Palatino" w:hAnsi="Palatino" w:eastAsiaTheme="majorEastAsia" w:cs="Arial"/>
          <w:sz w:val="18"/>
          <w:szCs w:val="18"/>
        </w:rPr>
        <w:t>https://www.icjpalestine.com/</w:t>
      </w:r>
      <w:r>
        <w:fldChar w:fldCharType="end"/>
      </w:r>
    </w:p>
  </w:footnote>
  <w:footnote w:id="3">
    <w:p w:rsidR="00E10BDE" w:rsidRPr="00AD3788" w:rsidP="00E10BDE">
      <w:pPr>
        <w:pStyle w:val="FootnoteText"/>
        <w:rPr>
          <w:rFonts w:ascii="Palatino" w:hAnsi="Palatino"/>
          <w:sz w:val="18"/>
          <w:szCs w:val="18"/>
        </w:rPr>
      </w:pPr>
      <w:r w:rsidRPr="00AD3788">
        <w:rPr>
          <w:rStyle w:val="FootnoteReference"/>
          <w:rFonts w:ascii="Palatino" w:hAnsi="Palatino"/>
          <w:sz w:val="18"/>
          <w:szCs w:val="18"/>
        </w:rPr>
        <w:footnoteRef/>
      </w:r>
      <w:r w:rsidRPr="00AD3788">
        <w:rPr>
          <w:rFonts w:ascii="Palatino" w:hAnsi="Palatino"/>
          <w:sz w:val="18"/>
          <w:szCs w:val="18"/>
        </w:rPr>
        <w:t xml:space="preserve"> </w:t>
      </w:r>
      <w:r>
        <w:fldChar w:fldCharType="begin"/>
      </w:r>
      <w:r>
        <w:instrText xml:space="preserve"> HYPERLINK "https://www.securitycouncilreport.org/atf/cf/%7B65BFCF9B-6D27-4E9C-8CD3-CF6E4FF96FF9%7D/N2411029.pdf" </w:instrText>
      </w:r>
      <w:r>
        <w:fldChar w:fldCharType="separate"/>
      </w:r>
      <w:r w:rsidRPr="00AD3788">
        <w:rPr>
          <w:rFonts w:ascii="Palatino" w:hAnsi="Palatino"/>
          <w:sz w:val="18"/>
          <w:szCs w:val="18"/>
        </w:rPr>
        <w:t xml:space="preserve"> United Nations Security Council (14th May 2024),</w:t>
      </w:r>
      <w:r w:rsidRPr="00AD3788">
        <w:rPr>
          <w:rStyle w:val="Hyperlink"/>
          <w:rFonts w:ascii="Palatino" w:hAnsi="Palatino"/>
          <w:sz w:val="18"/>
          <w:szCs w:val="18"/>
        </w:rPr>
        <w:t xml:space="preserve"> ‘Protection of civilians in armed conflict’</w:t>
      </w:r>
      <w:r>
        <w:fldChar w:fldCharType="end"/>
      </w:r>
      <w:r w:rsidRPr="00AD3788">
        <w:rPr>
          <w:rFonts w:ascii="Palatino" w:hAnsi="Palatino"/>
          <w:sz w:val="18"/>
          <w:szCs w:val="18"/>
        </w:rPr>
        <w:t xml:space="preserve">, p9 </w:t>
      </w:r>
    </w:p>
  </w:footnote>
  <w:footnote w:id="4">
    <w:p w:rsidR="00E10BDE" w:rsidRPr="00AD3788" w:rsidP="00E10BDE">
      <w:pPr>
        <w:pStyle w:val="FootnoteText"/>
        <w:rPr>
          <w:rFonts w:ascii="Palatino" w:hAnsi="Palatino"/>
          <w:sz w:val="18"/>
          <w:szCs w:val="18"/>
        </w:rPr>
      </w:pPr>
      <w:r w:rsidRPr="00AD3788">
        <w:rPr>
          <w:rStyle w:val="FootnoteReference"/>
          <w:rFonts w:ascii="Palatino" w:hAnsi="Palatino"/>
          <w:sz w:val="18"/>
          <w:szCs w:val="18"/>
        </w:rPr>
        <w:footnoteRef/>
      </w:r>
      <w:r w:rsidRPr="00AD3788">
        <w:rPr>
          <w:rFonts w:ascii="Palatino" w:hAnsi="Palatino"/>
          <w:sz w:val="18"/>
          <w:szCs w:val="18"/>
        </w:rPr>
        <w:t xml:space="preserve"> </w:t>
      </w:r>
      <w:r>
        <w:fldChar w:fldCharType="begin"/>
      </w:r>
      <w:r>
        <w:instrText xml:space="preserve"> HYPERLINK "https://www.securitycouncilreport.org/atf/cf/%7B65BFCF9B-6D27-4E9C-8CD3-CF6E4FF96FF9%7D/N2411029.pdf" </w:instrText>
      </w:r>
      <w:r>
        <w:fldChar w:fldCharType="separate"/>
      </w:r>
      <w:r w:rsidRPr="00AD3788">
        <w:rPr>
          <w:rFonts w:ascii="Palatino" w:hAnsi="Palatino"/>
          <w:sz w:val="18"/>
          <w:szCs w:val="18"/>
        </w:rPr>
        <w:t xml:space="preserve"> United Nations Security Council (14th May 2024),</w:t>
      </w:r>
      <w:r w:rsidRPr="00AD3788">
        <w:rPr>
          <w:rStyle w:val="Hyperlink"/>
          <w:rFonts w:ascii="Palatino" w:hAnsi="Palatino"/>
          <w:sz w:val="18"/>
          <w:szCs w:val="18"/>
        </w:rPr>
        <w:t xml:space="preserve"> ‘Protection of civilians in armed conflict’</w:t>
      </w:r>
      <w:r>
        <w:fldChar w:fldCharType="end"/>
      </w:r>
      <w:r w:rsidRPr="00AD3788">
        <w:rPr>
          <w:rFonts w:ascii="Palatino" w:hAnsi="Palatino"/>
          <w:sz w:val="18"/>
          <w:szCs w:val="18"/>
        </w:rPr>
        <w:t>, p9</w:t>
      </w:r>
    </w:p>
  </w:footnote>
  <w:footnote w:id="5">
    <w:p w:rsidR="00E10BDE" w:rsidRPr="00AD3788">
      <w:pPr>
        <w:pStyle w:val="FootnoteText"/>
        <w:rPr>
          <w:rFonts w:ascii="Palatino" w:hAnsi="Palatino"/>
          <w:sz w:val="18"/>
          <w:szCs w:val="18"/>
        </w:rPr>
      </w:pPr>
      <w:r w:rsidRPr="00AD3788">
        <w:rPr>
          <w:rStyle w:val="FootnoteReference"/>
          <w:rFonts w:ascii="Palatino" w:hAnsi="Palatino"/>
          <w:sz w:val="18"/>
          <w:szCs w:val="18"/>
        </w:rPr>
        <w:footnoteRef/>
      </w:r>
      <w:r w:rsidRPr="00AD3788">
        <w:rPr>
          <w:rFonts w:ascii="Palatino" w:hAnsi="Palatino"/>
          <w:sz w:val="18"/>
          <w:szCs w:val="18"/>
        </w:rPr>
        <w:t xml:space="preserve"> According to the Aid Worker Security Database, the number of aid workers killed yearly from 2014 up until 2023 ranged from 111 to 141. Aid Worker Security Database (19 December 2024), </w:t>
      </w:r>
      <w:r>
        <w:fldChar w:fldCharType="begin"/>
      </w:r>
      <w:r>
        <w:instrText xml:space="preserve"> HYPERLINK "https://www.aidworkersecurity.org/incidents/report" </w:instrText>
      </w:r>
      <w:r>
        <w:fldChar w:fldCharType="separate"/>
      </w:r>
      <w:r w:rsidRPr="00AD3788">
        <w:rPr>
          <w:rStyle w:val="Hyperlink"/>
          <w:rFonts w:ascii="Palatino" w:hAnsi="Palatino"/>
          <w:sz w:val="18"/>
          <w:szCs w:val="18"/>
        </w:rPr>
        <w:t>Major attacks on aid workers: summary statistics</w:t>
      </w:r>
      <w:r>
        <w:fldChar w:fldCharType="end"/>
      </w:r>
    </w:p>
  </w:footnote>
  <w:footnote w:id="6">
    <w:p w:rsidR="00E10BDE" w:rsidRPr="00AD3788" w:rsidP="00E10BDE">
      <w:pPr>
        <w:pStyle w:val="FootnoteText"/>
        <w:rPr>
          <w:rFonts w:ascii="Palatino" w:hAnsi="Palatino"/>
          <w:sz w:val="18"/>
          <w:szCs w:val="18"/>
        </w:rPr>
      </w:pPr>
      <w:r w:rsidRPr="00AD3788">
        <w:rPr>
          <w:rStyle w:val="FootnoteReference"/>
          <w:rFonts w:ascii="Palatino" w:hAnsi="Palatino"/>
          <w:sz w:val="18"/>
          <w:szCs w:val="18"/>
        </w:rPr>
        <w:footnoteRef/>
      </w:r>
      <w:r w:rsidRPr="00AD3788">
        <w:rPr>
          <w:rFonts w:ascii="Palatino" w:hAnsi="Palatino"/>
          <w:sz w:val="18"/>
          <w:szCs w:val="18"/>
        </w:rPr>
        <w:t xml:space="preserve"> </w:t>
      </w:r>
      <w:r>
        <w:fldChar w:fldCharType="begin"/>
      </w:r>
      <w:r>
        <w:instrText xml:space="preserve"> HYPERLINK "https://www.reuters.com/world/record-aid-worker-deaths-2024-era-impunity-un-says-2024-11-22/" </w:instrText>
      </w:r>
      <w:r>
        <w:fldChar w:fldCharType="separate"/>
      </w:r>
      <w:r w:rsidRPr="00AD3788">
        <w:rPr>
          <w:rFonts w:ascii="Palatino" w:hAnsi="Palatino"/>
          <w:sz w:val="18"/>
          <w:szCs w:val="18"/>
        </w:rPr>
        <w:t xml:space="preserve"> Reuters (22nd December 2024)</w:t>
      </w:r>
      <w:r w:rsidRPr="00AD3788">
        <w:rPr>
          <w:rStyle w:val="Hyperlink"/>
          <w:rFonts w:ascii="Palatino" w:hAnsi="Palatino"/>
          <w:sz w:val="18"/>
          <w:szCs w:val="18"/>
        </w:rPr>
        <w:t>, Record aid worker deaths in 2024 in 'era of impunity', UN says</w:t>
      </w:r>
      <w:r>
        <w:fldChar w:fldCharType="end"/>
      </w:r>
      <w:r w:rsidRPr="00AD3788">
        <w:rPr>
          <w:rFonts w:ascii="Palatino" w:hAnsi="Palatino"/>
          <w:sz w:val="18"/>
          <w:szCs w:val="18"/>
        </w:rPr>
        <w:t xml:space="preserve"> </w:t>
      </w:r>
    </w:p>
  </w:footnote>
  <w:footnote w:id="7">
    <w:p w:rsidR="00F30459" w:rsidRPr="00AD3788">
      <w:pPr>
        <w:pStyle w:val="FootnoteText"/>
        <w:rPr>
          <w:rFonts w:ascii="Palatino" w:hAnsi="Palatino"/>
          <w:sz w:val="18"/>
          <w:szCs w:val="18"/>
        </w:rPr>
      </w:pPr>
      <w:r w:rsidRPr="00AD3788">
        <w:rPr>
          <w:rStyle w:val="FootnoteReference"/>
          <w:rFonts w:ascii="Palatino" w:hAnsi="Palatino"/>
          <w:sz w:val="18"/>
          <w:szCs w:val="18"/>
        </w:rPr>
        <w:footnoteRef/>
      </w:r>
      <w:r w:rsidRPr="00AD3788">
        <w:rPr>
          <w:rFonts w:ascii="Palatino" w:hAnsi="Palatino"/>
          <w:sz w:val="18"/>
          <w:szCs w:val="18"/>
        </w:rPr>
        <w:t xml:space="preserve"> </w:t>
      </w:r>
      <w:r w:rsidRPr="00AD3788" w:rsidR="00E74EE4">
        <w:rPr>
          <w:rFonts w:ascii="Palatino" w:hAnsi="Palatino"/>
          <w:sz w:val="18"/>
          <w:szCs w:val="18"/>
        </w:rPr>
        <w:t>Isabelle Walker (3</w:t>
      </w:r>
      <w:r w:rsidRPr="00AD3788" w:rsidR="00E74EE4">
        <w:rPr>
          <w:rFonts w:ascii="Palatino" w:hAnsi="Palatino"/>
          <w:sz w:val="18"/>
          <w:szCs w:val="18"/>
          <w:vertAlign w:val="superscript"/>
        </w:rPr>
        <w:t>rd</w:t>
      </w:r>
      <w:r w:rsidRPr="00AD3788" w:rsidR="00E74EE4">
        <w:rPr>
          <w:rFonts w:ascii="Palatino" w:hAnsi="Palatino"/>
          <w:sz w:val="18"/>
          <w:szCs w:val="18"/>
        </w:rPr>
        <w:t xml:space="preserve"> February 2025)</w:t>
      </w:r>
      <w:r w:rsidRPr="00AD3788" w:rsidR="00425FE4">
        <w:rPr>
          <w:rFonts w:ascii="Palatino" w:hAnsi="Palatino"/>
          <w:sz w:val="18"/>
          <w:szCs w:val="18"/>
        </w:rPr>
        <w:t xml:space="preserve"> </w:t>
      </w:r>
      <w:r>
        <w:fldChar w:fldCharType="begin"/>
      </w:r>
      <w:r>
        <w:instrText xml:space="preserve"> HYPERLINK "https://www.ibanet.org/Aid-worker-deaths-prompt-calls-for-compliance-with-international-law" </w:instrText>
      </w:r>
      <w:r>
        <w:fldChar w:fldCharType="separate"/>
      </w:r>
      <w:r w:rsidRPr="00AD3788" w:rsidR="00425FE4">
        <w:rPr>
          <w:rStyle w:val="Hyperlink"/>
          <w:rFonts w:ascii="Palatino" w:hAnsi="Palatino"/>
          <w:sz w:val="18"/>
          <w:szCs w:val="18"/>
        </w:rPr>
        <w:t>Aid worker deaths prompt calls for compliance with international law.</w:t>
      </w:r>
      <w:r>
        <w:fldChar w:fldCharType="end"/>
      </w:r>
      <w:r w:rsidRPr="00AD3788" w:rsidR="00425FE4">
        <w:rPr>
          <w:rFonts w:ascii="Palatino" w:hAnsi="Palatino"/>
          <w:sz w:val="18"/>
          <w:szCs w:val="18"/>
        </w:rPr>
        <w:t xml:space="preserve"> International Bar Association.</w:t>
      </w:r>
    </w:p>
  </w:footnote>
  <w:footnote w:id="8">
    <w:p w:rsidR="005A04AF" w:rsidRPr="00AD3788" w:rsidP="005A04AF">
      <w:pPr>
        <w:pStyle w:val="FootnoteText"/>
        <w:rPr>
          <w:rFonts w:ascii="Palatino" w:hAnsi="Palatino"/>
          <w:sz w:val="18"/>
          <w:szCs w:val="18"/>
        </w:rPr>
      </w:pPr>
      <w:r w:rsidRPr="00AD3788">
        <w:rPr>
          <w:rStyle w:val="FootnoteReference"/>
          <w:rFonts w:ascii="Palatino" w:hAnsi="Palatino"/>
          <w:sz w:val="18"/>
          <w:szCs w:val="18"/>
        </w:rPr>
        <w:footnoteRef/>
      </w:r>
      <w:r w:rsidRPr="00AD3788">
        <w:rPr>
          <w:rFonts w:ascii="Palatino" w:hAnsi="Palatino"/>
          <w:sz w:val="18"/>
          <w:szCs w:val="18"/>
        </w:rPr>
        <w:t xml:space="preserve"> Amnesty International (5</w:t>
      </w:r>
      <w:r w:rsidRPr="00AD3788">
        <w:rPr>
          <w:rFonts w:ascii="Palatino" w:hAnsi="Palatino"/>
          <w:sz w:val="18"/>
          <w:szCs w:val="18"/>
          <w:vertAlign w:val="superscript"/>
        </w:rPr>
        <w:t>th</w:t>
      </w:r>
      <w:r w:rsidRPr="00AD3788">
        <w:rPr>
          <w:rFonts w:ascii="Palatino" w:hAnsi="Palatino"/>
          <w:sz w:val="18"/>
          <w:szCs w:val="18"/>
        </w:rPr>
        <w:t xml:space="preserve"> September 2024), </w:t>
      </w:r>
      <w:r>
        <w:fldChar w:fldCharType="begin"/>
      </w:r>
      <w:r>
        <w:instrText xml:space="preserve"> HYPERLINK "https://www.amnesty.org/en/latest/news/2024/09/israel-opt-israeli-military-must-be-investigated-for-war-crime-of-wanton-destruction-in-gaza-new-investigation/" </w:instrText>
      </w:r>
      <w:r>
        <w:fldChar w:fldCharType="separate"/>
      </w:r>
      <w:r w:rsidRPr="00AD3788">
        <w:rPr>
          <w:rStyle w:val="Hyperlink"/>
          <w:rFonts w:ascii="Palatino" w:hAnsi="Palatino"/>
          <w:sz w:val="18"/>
          <w:szCs w:val="18"/>
        </w:rPr>
        <w:t>Israel/OPT: Israeli military must be investigated for war crime of wanton destruction in Gaza – new investigation</w:t>
      </w:r>
      <w:r>
        <w:fldChar w:fldCharType="end"/>
      </w:r>
    </w:p>
  </w:footnote>
  <w:footnote w:id="9">
    <w:p w:rsidR="009F27F5" w:rsidRPr="00AD3788">
      <w:pPr>
        <w:pStyle w:val="FootnoteText"/>
        <w:rPr>
          <w:rFonts w:ascii="Palatino" w:hAnsi="Palatino"/>
          <w:sz w:val="18"/>
          <w:szCs w:val="18"/>
        </w:rPr>
      </w:pPr>
      <w:r w:rsidRPr="00AD3788">
        <w:rPr>
          <w:rStyle w:val="FootnoteReference"/>
          <w:rFonts w:ascii="Palatino" w:hAnsi="Palatino"/>
          <w:sz w:val="18"/>
          <w:szCs w:val="18"/>
        </w:rPr>
        <w:footnoteRef/>
      </w:r>
      <w:r w:rsidRPr="00AD3788">
        <w:rPr>
          <w:rFonts w:ascii="Palatino" w:hAnsi="Palatino"/>
          <w:sz w:val="18"/>
          <w:szCs w:val="18"/>
        </w:rPr>
        <w:t xml:space="preserve"> </w:t>
      </w:r>
      <w:r w:rsidRPr="00AD3788">
        <w:rPr>
          <w:rFonts w:ascii="Palatino" w:hAnsi="Palatino" w:cs="Arial"/>
          <w:sz w:val="18"/>
          <w:szCs w:val="18"/>
        </w:rPr>
        <w:t xml:space="preserve">In October, the United Nations Independent International Commission of Inquiry on the occupied Palestinian territory (oPt), including East Jerusalem, and Israel, found that Israel has perpetrated a concerted policy to destroy Gaza’s healthcare system – committing war crimes and the crime against humanity of extermination in the process – through deliberate attacks on medical personnel and facilities. </w:t>
      </w:r>
      <w:r w:rsidRPr="00AD3788">
        <w:rPr>
          <w:rFonts w:ascii="Palatino" w:hAnsi="Palatino" w:cs="Arial"/>
          <w:sz w:val="18"/>
          <w:szCs w:val="18"/>
        </w:rPr>
        <w:br/>
      </w:r>
      <w:r w:rsidRPr="00AD3788">
        <w:rPr>
          <w:rFonts w:ascii="Palatino" w:hAnsi="Palatino"/>
          <w:sz w:val="18"/>
          <w:szCs w:val="18"/>
        </w:rPr>
        <w:t>United Nations Human Rights Office of The High Commissioner (10</w:t>
      </w:r>
      <w:r w:rsidRPr="00AD3788">
        <w:rPr>
          <w:rFonts w:ascii="Palatino" w:hAnsi="Palatino"/>
          <w:sz w:val="18"/>
          <w:szCs w:val="18"/>
          <w:vertAlign w:val="superscript"/>
        </w:rPr>
        <w:t>th</w:t>
      </w:r>
      <w:r w:rsidRPr="00AD3788">
        <w:rPr>
          <w:rFonts w:ascii="Palatino" w:hAnsi="Palatino"/>
          <w:sz w:val="18"/>
          <w:szCs w:val="18"/>
        </w:rPr>
        <w:t xml:space="preserve"> October 2024) </w:t>
      </w:r>
      <w:r>
        <w:fldChar w:fldCharType="begin"/>
      </w:r>
      <w:r>
        <w:instrText xml:space="preserve"> HYPERLINK "https://www.ohchr.org/en/press-releases/2024/10/un-commission-finds-war-crimes-and-crimes-against-humanity-israeli-attacks" </w:instrText>
      </w:r>
      <w:r>
        <w:fldChar w:fldCharType="separate"/>
      </w:r>
      <w:r w:rsidRPr="00AD3788">
        <w:rPr>
          <w:rStyle w:val="Hyperlink"/>
          <w:rFonts w:ascii="Palatino" w:hAnsi="Palatino"/>
          <w:sz w:val="18"/>
          <w:szCs w:val="18"/>
        </w:rPr>
        <w:t>UN Commission finds war crimes and crimes against humanity in Israeli attacks on Gaza health facilities and treatment of detainees, hostages</w:t>
      </w:r>
      <w:r>
        <w:fldChar w:fldCharType="end"/>
      </w:r>
    </w:p>
  </w:footnote>
  <w:footnote w:id="10">
    <w:p w:rsidR="00A9724F" w:rsidRPr="00AD3788">
      <w:pPr>
        <w:pStyle w:val="FootnoteText"/>
        <w:rPr>
          <w:rFonts w:ascii="Palatino" w:hAnsi="Palatino"/>
          <w:color w:val="467886"/>
          <w:sz w:val="18"/>
          <w:szCs w:val="18"/>
          <w:u w:val="single"/>
        </w:rPr>
      </w:pPr>
      <w:r w:rsidRPr="00AD3788">
        <w:rPr>
          <w:rStyle w:val="FootnoteReference"/>
          <w:rFonts w:ascii="Palatino" w:hAnsi="Palatino"/>
          <w:sz w:val="18"/>
          <w:szCs w:val="18"/>
        </w:rPr>
        <w:footnoteRef/>
      </w:r>
      <w:r w:rsidRPr="00AD3788">
        <w:rPr>
          <w:rFonts w:ascii="Palatino" w:hAnsi="Palatino"/>
          <w:sz w:val="18"/>
          <w:szCs w:val="18"/>
        </w:rPr>
        <w:t xml:space="preserve"> </w:t>
      </w:r>
      <w:r w:rsidRPr="00AD3788">
        <w:rPr>
          <w:rFonts w:ascii="Palatino" w:hAnsi="Palatino" w:cs="Arial"/>
          <w:sz w:val="18"/>
          <w:szCs w:val="18"/>
        </w:rPr>
        <w:t>A report by the UN Special Committee to Investigate Israeli Practices Affecting the Human Rights of the Palestinian People and Other Arabs of the Occupied Territories in September 2024 identifies unlawful killing of humanitarian workers, along with “</w:t>
      </w:r>
      <w:r w:rsidRPr="00AD3788">
        <w:rPr>
          <w:rFonts w:ascii="Palatino" w:hAnsi="Palatino" w:cs="Arial"/>
          <w:i/>
          <w:sz w:val="18"/>
          <w:szCs w:val="18"/>
        </w:rPr>
        <w:t>attacks on civilians seeking humanitarian aid, as well as on humanitarian facilities, food distribution centres and convoys that had shared coordinates with the army</w:t>
      </w:r>
      <w:r w:rsidRPr="00AD3788">
        <w:rPr>
          <w:rFonts w:ascii="Palatino" w:hAnsi="Palatino" w:cs="Arial"/>
          <w:sz w:val="18"/>
          <w:szCs w:val="18"/>
        </w:rPr>
        <w:t xml:space="preserve">” as being of central importance when considering Israel’s violations of provisional measures issued by the International Court of Justice in the case </w:t>
      </w:r>
      <w:r w:rsidRPr="00AD3788">
        <w:rPr>
          <w:rFonts w:ascii="Palatino" w:hAnsi="Palatino" w:cs="Arial"/>
          <w:i/>
          <w:sz w:val="18"/>
          <w:szCs w:val="18"/>
        </w:rPr>
        <w:t>South Africa vs Israel</w:t>
      </w:r>
      <w:r w:rsidRPr="00AD3788">
        <w:rPr>
          <w:rFonts w:ascii="Palatino" w:hAnsi="Palatino" w:cs="Arial"/>
          <w:i/>
          <w:sz w:val="18"/>
          <w:szCs w:val="18"/>
        </w:rPr>
        <w:br/>
      </w:r>
      <w:r w:rsidRPr="00AD3788">
        <w:rPr>
          <w:rFonts w:ascii="Palatino" w:hAnsi="Palatino"/>
          <w:sz w:val="18"/>
          <w:szCs w:val="18"/>
        </w:rPr>
        <w:t>United Nations General Assembly (20</w:t>
      </w:r>
      <w:r w:rsidRPr="00AD3788">
        <w:rPr>
          <w:rFonts w:ascii="Palatino" w:hAnsi="Palatino"/>
          <w:sz w:val="18"/>
          <w:szCs w:val="18"/>
          <w:vertAlign w:val="superscript"/>
        </w:rPr>
        <w:t>th</w:t>
      </w:r>
      <w:r w:rsidRPr="00AD3788">
        <w:rPr>
          <w:rFonts w:ascii="Palatino" w:hAnsi="Palatino"/>
          <w:sz w:val="18"/>
          <w:szCs w:val="18"/>
        </w:rPr>
        <w:t xml:space="preserve"> September 2024) </w:t>
      </w:r>
      <w:r>
        <w:fldChar w:fldCharType="begin"/>
      </w:r>
      <w:r>
        <w:instrText xml:space="preserve"> HYPERLINK "https://documents.un.org/doc/undoc/gen/n24/271/19/pdf/n2427119.pdf" </w:instrText>
      </w:r>
      <w:r>
        <w:fldChar w:fldCharType="separate"/>
      </w:r>
      <w:r w:rsidRPr="00AD3788">
        <w:rPr>
          <w:rStyle w:val="Hyperlink"/>
          <w:rFonts w:ascii="Palatino" w:hAnsi="Palatino"/>
          <w:sz w:val="18"/>
          <w:szCs w:val="18"/>
        </w:rPr>
        <w:t>Report of the Special Committee to Investigate Israeli Practices Affecting the Human Rights of the Palestinian People and Other Arabs of the Occupied Territories</w:t>
      </w:r>
      <w:r>
        <w:fldChar w:fldCharType="end"/>
      </w:r>
      <w:r w:rsidRPr="00AD3788">
        <w:rPr>
          <w:rFonts w:ascii="Palatino" w:hAnsi="Palatino"/>
          <w:sz w:val="18"/>
          <w:szCs w:val="18"/>
        </w:rPr>
        <w:t xml:space="preserve"> ,pp 11-12</w:t>
      </w:r>
    </w:p>
  </w:footnote>
  <w:footnote w:id="11">
    <w:p w:rsidR="005A04AF" w:rsidRPr="00AD3788" w:rsidP="005A04AF">
      <w:pPr>
        <w:pStyle w:val="FootnoteText"/>
        <w:rPr>
          <w:rFonts w:ascii="Palatino" w:hAnsi="Palatino"/>
          <w:sz w:val="18"/>
          <w:szCs w:val="18"/>
        </w:rPr>
      </w:pPr>
      <w:r w:rsidRPr="00AD3788">
        <w:rPr>
          <w:rStyle w:val="FootnoteReference"/>
          <w:rFonts w:ascii="Palatino" w:hAnsi="Palatino"/>
          <w:sz w:val="18"/>
          <w:szCs w:val="18"/>
        </w:rPr>
        <w:footnoteRef/>
      </w:r>
      <w:r w:rsidRPr="00AD3788">
        <w:rPr>
          <w:rFonts w:ascii="Palatino" w:hAnsi="Palatino"/>
          <w:sz w:val="18"/>
          <w:szCs w:val="18"/>
        </w:rPr>
        <w:t xml:space="preserve"> Bethan McKernan (30</w:t>
      </w:r>
      <w:r w:rsidRPr="00AD3788">
        <w:rPr>
          <w:rFonts w:ascii="Palatino" w:hAnsi="Palatino"/>
          <w:sz w:val="18"/>
          <w:szCs w:val="18"/>
          <w:vertAlign w:val="superscript"/>
        </w:rPr>
        <w:t>th</w:t>
      </w:r>
      <w:r w:rsidRPr="00AD3788">
        <w:rPr>
          <w:rFonts w:ascii="Palatino" w:hAnsi="Palatino"/>
          <w:sz w:val="18"/>
          <w:szCs w:val="18"/>
        </w:rPr>
        <w:t xml:space="preserve"> January 2024) </w:t>
      </w:r>
      <w:r>
        <w:fldChar w:fldCharType="begin"/>
      </w:r>
      <w:r>
        <w:instrText xml:space="preserve"> HYPERLINK "https://www.theguardian.com/world/2024/jan/30/israel-forces-disguised-women-medics-storm-hospital-jenin-west-bank" </w:instrText>
      </w:r>
      <w:r>
        <w:fldChar w:fldCharType="separate"/>
      </w:r>
      <w:r w:rsidRPr="00AD3788">
        <w:rPr>
          <w:rStyle w:val="Hyperlink"/>
          <w:rFonts w:ascii="Palatino" w:hAnsi="Palatino"/>
          <w:sz w:val="18"/>
          <w:szCs w:val="18"/>
        </w:rPr>
        <w:t>Israeli special forces disguised as doctors kill three militants at West Bank hospital</w:t>
      </w:r>
      <w:r>
        <w:fldChar w:fldCharType="end"/>
      </w:r>
      <w:r w:rsidRPr="00AD3788">
        <w:rPr>
          <w:rFonts w:ascii="Palatino" w:hAnsi="Palatino"/>
          <w:sz w:val="18"/>
          <w:szCs w:val="18"/>
        </w:rPr>
        <w:t>, The Guardian; and Lorenzo Tondo (14</w:t>
      </w:r>
      <w:r w:rsidRPr="00AD3788">
        <w:rPr>
          <w:rFonts w:ascii="Palatino" w:hAnsi="Palatino"/>
          <w:sz w:val="18"/>
          <w:szCs w:val="18"/>
          <w:vertAlign w:val="superscript"/>
        </w:rPr>
        <w:t>th</w:t>
      </w:r>
      <w:r w:rsidRPr="00AD3788">
        <w:rPr>
          <w:rFonts w:ascii="Palatino" w:hAnsi="Palatino"/>
          <w:sz w:val="18"/>
          <w:szCs w:val="18"/>
        </w:rPr>
        <w:t xml:space="preserve"> January 2025) </w:t>
      </w:r>
      <w:r>
        <w:fldChar w:fldCharType="begin"/>
      </w:r>
      <w:r>
        <w:instrText xml:space="preserve"> HYPERLINK "https://www.theguardian.com/world/2025/jan/14/suddenly-there-was-a-car-of-men-the-day-israeli-soldiers-attacked-a-refugee-camp" </w:instrText>
      </w:r>
      <w:r>
        <w:fldChar w:fldCharType="separate"/>
      </w:r>
      <w:r w:rsidRPr="00AD3788">
        <w:rPr>
          <w:rStyle w:val="Hyperlink"/>
          <w:rFonts w:ascii="Palatino" w:hAnsi="Palatino"/>
          <w:sz w:val="18"/>
          <w:szCs w:val="18"/>
        </w:rPr>
        <w:t>Israel admits soldiers used ambulance in raid on refugee camp</w:t>
      </w:r>
      <w:r>
        <w:fldChar w:fldCharType="end"/>
      </w:r>
      <w:r w:rsidRPr="00AD3788">
        <w:rPr>
          <w:rFonts w:ascii="Palatino" w:hAnsi="Palatino"/>
          <w:sz w:val="18"/>
          <w:szCs w:val="18"/>
        </w:rPr>
        <w:t>, The Guardian</w:t>
      </w:r>
    </w:p>
  </w:footnote>
  <w:footnote w:id="12">
    <w:p w:rsidR="003135D4" w:rsidRPr="00AD3788">
      <w:pPr>
        <w:pStyle w:val="FootnoteText"/>
        <w:rPr>
          <w:rFonts w:ascii="Palatino" w:hAnsi="Palatino"/>
          <w:sz w:val="18"/>
          <w:szCs w:val="18"/>
        </w:rPr>
      </w:pPr>
      <w:r w:rsidRPr="00AD3788">
        <w:rPr>
          <w:rStyle w:val="FootnoteReference"/>
          <w:rFonts w:ascii="Palatino" w:hAnsi="Palatino"/>
          <w:sz w:val="18"/>
          <w:szCs w:val="18"/>
        </w:rPr>
        <w:footnoteRef/>
      </w:r>
      <w:r w:rsidRPr="00AD3788">
        <w:rPr>
          <w:rFonts w:ascii="Palatino" w:hAnsi="Palatino"/>
          <w:sz w:val="18"/>
          <w:szCs w:val="18"/>
        </w:rPr>
        <w:t xml:space="preserve"> BBC News (28</w:t>
      </w:r>
      <w:r w:rsidRPr="00AD3788">
        <w:rPr>
          <w:rFonts w:ascii="Palatino" w:hAnsi="Palatino"/>
          <w:sz w:val="18"/>
          <w:szCs w:val="18"/>
          <w:vertAlign w:val="superscript"/>
        </w:rPr>
        <w:t>th</w:t>
      </w:r>
      <w:r w:rsidRPr="00AD3788">
        <w:rPr>
          <w:rFonts w:ascii="Palatino" w:hAnsi="Palatino"/>
          <w:sz w:val="18"/>
          <w:szCs w:val="18"/>
        </w:rPr>
        <w:t xml:space="preserve"> August 2024) </w:t>
      </w:r>
      <w:r>
        <w:fldChar w:fldCharType="begin"/>
      </w:r>
      <w:r>
        <w:instrText xml:space="preserve"> HYPERLINK "https://www.bbc.co.uk/news/articles/clywnxj4dd8o" </w:instrText>
      </w:r>
      <w:r>
        <w:fldChar w:fldCharType="separate"/>
      </w:r>
      <w:r w:rsidRPr="00AD3788">
        <w:rPr>
          <w:rStyle w:val="Hyperlink"/>
          <w:rFonts w:ascii="Palatino" w:hAnsi="Palatino"/>
          <w:sz w:val="18"/>
          <w:szCs w:val="18"/>
        </w:rPr>
        <w:t>World Food Programme halts Gaza staff movements</w:t>
      </w:r>
      <w:r>
        <w:fldChar w:fldCharType="end"/>
      </w:r>
      <w:r w:rsidRPr="00AD3788">
        <w:rPr>
          <w:rFonts w:ascii="Palatino" w:hAnsi="Palatino"/>
          <w:sz w:val="18"/>
          <w:szCs w:val="18"/>
        </w:rPr>
        <w:t>; and AP News (2</w:t>
      </w:r>
      <w:r w:rsidRPr="00AD3788">
        <w:rPr>
          <w:rFonts w:ascii="Palatino" w:hAnsi="Palatino"/>
          <w:sz w:val="18"/>
          <w:szCs w:val="18"/>
          <w:vertAlign w:val="superscript"/>
        </w:rPr>
        <w:t>nd</w:t>
      </w:r>
      <w:r w:rsidRPr="00AD3788">
        <w:rPr>
          <w:rFonts w:ascii="Palatino" w:hAnsi="Palatino"/>
          <w:sz w:val="18"/>
          <w:szCs w:val="18"/>
        </w:rPr>
        <w:t xml:space="preserve"> April 2024) </w:t>
      </w:r>
      <w:r>
        <w:fldChar w:fldCharType="begin"/>
      </w:r>
      <w:r>
        <w:instrText xml:space="preserve"> HYPERLINK "https://apnews.com/article/world-central-kitchen-gaza-humanitarian-aid-suspension-4a2d5bfa131ccd9984fe47076880b6b9" </w:instrText>
      </w:r>
      <w:r>
        <w:fldChar w:fldCharType="separate"/>
      </w:r>
      <w:r w:rsidRPr="00AD3788">
        <w:rPr>
          <w:rStyle w:val="Hyperlink"/>
          <w:rFonts w:ascii="Palatino" w:hAnsi="Palatino"/>
          <w:sz w:val="18"/>
          <w:szCs w:val="18"/>
        </w:rPr>
        <w:t>Aid organizations suspend operations in Gaza after World Central Kitchen workers’ deaths</w:t>
      </w:r>
      <w:r>
        <w:fldChar w:fldCharType="end"/>
      </w:r>
    </w:p>
  </w:footnote>
  <w:footnote w:id="13">
    <w:p w:rsidR="006563F3" w:rsidRPr="00AD3788">
      <w:pPr>
        <w:pStyle w:val="FootnoteText"/>
        <w:rPr>
          <w:rFonts w:ascii="Palatino" w:hAnsi="Palatino"/>
          <w:sz w:val="18"/>
          <w:szCs w:val="18"/>
        </w:rPr>
      </w:pPr>
      <w:r w:rsidRPr="00AD3788">
        <w:rPr>
          <w:rStyle w:val="FootnoteReference"/>
          <w:rFonts w:ascii="Palatino" w:hAnsi="Palatino"/>
          <w:sz w:val="18"/>
          <w:szCs w:val="18"/>
        </w:rPr>
        <w:footnoteRef/>
      </w:r>
      <w:r w:rsidRPr="00AD3788">
        <w:rPr>
          <w:rFonts w:ascii="Palatino" w:hAnsi="Palatino"/>
          <w:sz w:val="18"/>
          <w:szCs w:val="18"/>
        </w:rPr>
        <w:t xml:space="preserve"> International Criminal Court (20</w:t>
      </w:r>
      <w:r w:rsidRPr="00AD3788">
        <w:rPr>
          <w:rFonts w:ascii="Palatino" w:hAnsi="Palatino"/>
          <w:sz w:val="18"/>
          <w:szCs w:val="18"/>
          <w:vertAlign w:val="superscript"/>
        </w:rPr>
        <w:t>th</w:t>
      </w:r>
      <w:r w:rsidRPr="00AD3788">
        <w:rPr>
          <w:rFonts w:ascii="Palatino" w:hAnsi="Palatino"/>
          <w:sz w:val="18"/>
          <w:szCs w:val="18"/>
        </w:rPr>
        <w:t xml:space="preserve"> May 2024) </w:t>
      </w:r>
      <w:r>
        <w:fldChar w:fldCharType="begin"/>
      </w:r>
      <w:r>
        <w:instrText xml:space="preserve"> HYPERLINK "https://www.icc-cpi.int/news/statement-icc-prosecutor-karim-aa-khan-kc-applications-arrest-warrants-situation-state" </w:instrText>
      </w:r>
      <w:r>
        <w:fldChar w:fldCharType="separate"/>
      </w:r>
      <w:r w:rsidRPr="00AD3788">
        <w:rPr>
          <w:rStyle w:val="Hyperlink"/>
          <w:rFonts w:ascii="Palatino" w:hAnsi="Palatino"/>
          <w:sz w:val="18"/>
          <w:szCs w:val="18"/>
        </w:rPr>
        <w:t>Statement of ICC Prosecutor Karim A.A. Khan KC: Applications for arrest warrants in the situation in the State of Palestine</w:t>
      </w:r>
      <w:r>
        <w:fldChar w:fldCharType="end"/>
      </w:r>
    </w:p>
  </w:footnote>
  <w:footnote w:id="14">
    <w:p w:rsidR="00191BE5" w:rsidRPr="00AD3788" w:rsidP="00191BE5">
      <w:pPr>
        <w:pStyle w:val="FootnoteText"/>
        <w:rPr>
          <w:rFonts w:ascii="Palatino" w:hAnsi="Palatino"/>
          <w:sz w:val="18"/>
          <w:szCs w:val="18"/>
        </w:rPr>
      </w:pPr>
      <w:r w:rsidRPr="00AD3788">
        <w:rPr>
          <w:rStyle w:val="FootnoteReference"/>
          <w:rFonts w:ascii="Palatino" w:hAnsi="Palatino"/>
          <w:sz w:val="18"/>
          <w:szCs w:val="18"/>
        </w:rPr>
        <w:footnoteRef/>
      </w:r>
      <w:r w:rsidRPr="00AD3788">
        <w:rPr>
          <w:rFonts w:ascii="Palatino" w:hAnsi="Palatino"/>
          <w:sz w:val="18"/>
          <w:szCs w:val="18"/>
        </w:rPr>
        <w:t xml:space="preserve"> United Nations News (3</w:t>
      </w:r>
      <w:r w:rsidRPr="00AD3788">
        <w:rPr>
          <w:rFonts w:ascii="Palatino" w:hAnsi="Palatino"/>
          <w:sz w:val="18"/>
          <w:szCs w:val="18"/>
          <w:vertAlign w:val="superscript"/>
        </w:rPr>
        <w:t>rd</w:t>
      </w:r>
      <w:r w:rsidRPr="00AD3788">
        <w:rPr>
          <w:rFonts w:ascii="Palatino" w:hAnsi="Palatino"/>
          <w:sz w:val="18"/>
          <w:szCs w:val="18"/>
        </w:rPr>
        <w:t xml:space="preserve"> January 2025) </w:t>
      </w:r>
      <w:r>
        <w:fldChar w:fldCharType="begin"/>
      </w:r>
      <w:r>
        <w:instrText xml:space="preserve"> HYPERLINK "https://news.un.org/en/story/2025/01/1158741" </w:instrText>
      </w:r>
      <w:r>
        <w:fldChar w:fldCharType="separate"/>
      </w:r>
      <w:r w:rsidRPr="00AD3788">
        <w:rPr>
          <w:rStyle w:val="Hyperlink"/>
          <w:rFonts w:ascii="Palatino" w:hAnsi="Palatino"/>
          <w:sz w:val="18"/>
          <w:szCs w:val="18"/>
        </w:rPr>
        <w:t>‘Hospitals have become battlegrounds’: Gaza’s health system on brink of collapse</w:t>
      </w:r>
      <w:r>
        <w:fldChar w:fldCharType="end"/>
      </w:r>
      <w:r w:rsidRPr="00AD3788">
        <w:rPr>
          <w:rFonts w:ascii="Palatino" w:hAnsi="Palatino"/>
          <w:sz w:val="18"/>
          <w:szCs w:val="18"/>
        </w:rPr>
        <w:t xml:space="preserve"> </w:t>
      </w:r>
    </w:p>
  </w:footnote>
  <w:footnote w:id="15">
    <w:p w:rsidR="00CE0D74" w:rsidRPr="00AD3788">
      <w:pPr>
        <w:pStyle w:val="FootnoteText"/>
        <w:rPr>
          <w:rFonts w:ascii="Palatino" w:hAnsi="Palatino"/>
          <w:sz w:val="18"/>
          <w:szCs w:val="18"/>
        </w:rPr>
      </w:pPr>
      <w:r w:rsidRPr="00AD3788">
        <w:rPr>
          <w:rStyle w:val="FootnoteReference"/>
          <w:rFonts w:ascii="Palatino" w:hAnsi="Palatino"/>
          <w:sz w:val="18"/>
          <w:szCs w:val="18"/>
        </w:rPr>
        <w:footnoteRef/>
      </w:r>
      <w:r w:rsidRPr="00AD3788">
        <w:rPr>
          <w:rFonts w:ascii="Palatino" w:hAnsi="Palatino"/>
          <w:sz w:val="18"/>
          <w:szCs w:val="18"/>
        </w:rPr>
        <w:t xml:space="preserve"> Iain Overton (4</w:t>
      </w:r>
      <w:r w:rsidRPr="00AD3788">
        <w:rPr>
          <w:rFonts w:ascii="Palatino" w:hAnsi="Palatino"/>
          <w:sz w:val="18"/>
          <w:szCs w:val="18"/>
          <w:vertAlign w:val="superscript"/>
        </w:rPr>
        <w:t>th</w:t>
      </w:r>
      <w:r w:rsidRPr="00AD3788">
        <w:rPr>
          <w:rFonts w:ascii="Palatino" w:hAnsi="Palatino"/>
          <w:sz w:val="18"/>
          <w:szCs w:val="18"/>
        </w:rPr>
        <w:t xml:space="preserve"> June 2024), </w:t>
      </w:r>
      <w:r>
        <w:fldChar w:fldCharType="begin"/>
      </w:r>
      <w:r>
        <w:instrText xml:space="preserve"> HYPERLINK "https://bylinetimes.com/2024/06/04/british-doctor-bombed-in-gaza-by-uk-made-weaponry-speaks-out-for-first-time/" </w:instrText>
      </w:r>
      <w:r>
        <w:fldChar w:fldCharType="separate"/>
      </w:r>
      <w:r w:rsidRPr="00AD3788">
        <w:rPr>
          <w:rStyle w:val="Hyperlink"/>
          <w:rFonts w:ascii="Palatino" w:hAnsi="Palatino"/>
          <w:sz w:val="18"/>
          <w:szCs w:val="18"/>
        </w:rPr>
        <w:t>British Doctor Bombed in Gaza by Israeli Planes Fitted with UK-Made Weaponry Speaks out for First Time</w:t>
      </w:r>
      <w:r>
        <w:fldChar w:fldCharType="end"/>
      </w:r>
      <w:r w:rsidRPr="00AD3788">
        <w:rPr>
          <w:rFonts w:ascii="Palatino" w:hAnsi="Palatino"/>
          <w:sz w:val="18"/>
          <w:szCs w:val="18"/>
        </w:rPr>
        <w:t xml:space="preserve">, </w:t>
      </w:r>
      <w:r w:rsidRPr="00AD3788">
        <w:rPr>
          <w:rFonts w:ascii="Palatino" w:hAnsi="Palatino"/>
          <w:sz w:val="18"/>
          <w:szCs w:val="18"/>
        </w:rPr>
        <w:t>Byline</w:t>
      </w:r>
      <w:r w:rsidRPr="00AD3788">
        <w:rPr>
          <w:rFonts w:ascii="Palatino" w:hAnsi="Palatino"/>
          <w:sz w:val="18"/>
          <w:szCs w:val="18"/>
        </w:rPr>
        <w:t xml:space="preserve"> Times</w:t>
      </w:r>
    </w:p>
  </w:footnote>
  <w:footnote w:id="16">
    <w:p w:rsidR="006563F3" w:rsidRPr="00AD3788" w:rsidP="006563F3">
      <w:pPr>
        <w:pStyle w:val="FootnoteText"/>
        <w:rPr>
          <w:rFonts w:ascii="Palatino" w:hAnsi="Palatino"/>
          <w:sz w:val="18"/>
          <w:szCs w:val="18"/>
        </w:rPr>
      </w:pPr>
      <w:r w:rsidRPr="00AD3788">
        <w:rPr>
          <w:rStyle w:val="FootnoteReference"/>
          <w:rFonts w:ascii="Palatino" w:hAnsi="Palatino"/>
          <w:sz w:val="18"/>
          <w:szCs w:val="18"/>
        </w:rPr>
        <w:footnoteRef/>
      </w:r>
      <w:r w:rsidRPr="00AD3788">
        <w:rPr>
          <w:rFonts w:ascii="Palatino" w:hAnsi="Palatino"/>
          <w:sz w:val="18"/>
          <w:szCs w:val="18"/>
        </w:rPr>
        <w:t xml:space="preserve"> International Criminal Court (21</w:t>
      </w:r>
      <w:r w:rsidRPr="00AD3788">
        <w:rPr>
          <w:rFonts w:ascii="Palatino" w:hAnsi="Palatino"/>
          <w:sz w:val="18"/>
          <w:szCs w:val="18"/>
          <w:vertAlign w:val="superscript"/>
        </w:rPr>
        <w:t>st</w:t>
      </w:r>
      <w:r w:rsidRPr="00AD3788">
        <w:rPr>
          <w:rFonts w:ascii="Palatino" w:hAnsi="Palatino"/>
          <w:sz w:val="18"/>
          <w:szCs w:val="18"/>
        </w:rPr>
        <w:t xml:space="preserve"> November 2024) </w:t>
      </w:r>
      <w:r>
        <w:fldChar w:fldCharType="begin"/>
      </w:r>
      <w:r>
        <w:instrText xml:space="preserve"> HYPERLINK "https://www.icc-cpi.int/news/situation-state-palestine-icc-pre-trial-chamber-i-rejects-state-israels-challenges" </w:instrText>
      </w:r>
      <w:r>
        <w:fldChar w:fldCharType="separate"/>
      </w:r>
      <w:r w:rsidRPr="00AD3788">
        <w:rPr>
          <w:rStyle w:val="Hyperlink"/>
          <w:rFonts w:ascii="Palatino" w:hAnsi="Palatino"/>
          <w:sz w:val="18"/>
          <w:szCs w:val="18"/>
        </w:rPr>
        <w:t>Situation in the State of Palestine: ICC Pre-Trial Chamber I rejects the State of Israel’s challenges to jurisdiction and issues warrants of arrest for Benjamin Netanyahu and Yoav Gallant</w:t>
      </w:r>
      <w:r>
        <w:fldChar w:fldCharType="end"/>
      </w:r>
      <w:r w:rsidRPr="00AD3788">
        <w:rPr>
          <w:rFonts w:ascii="Palatino" w:hAnsi="Palatino"/>
          <w:sz w:val="18"/>
          <w:szCs w:val="18"/>
        </w:rPr>
        <w:t xml:space="preserve"> </w:t>
      </w:r>
    </w:p>
  </w:footnote>
  <w:footnote w:id="17">
    <w:p w:rsidR="006563F3" w:rsidRPr="00AD3788" w:rsidP="006563F3">
      <w:pPr>
        <w:pStyle w:val="FootnoteText"/>
        <w:rPr>
          <w:rFonts w:ascii="Palatino" w:hAnsi="Palatino"/>
          <w:sz w:val="18"/>
          <w:szCs w:val="18"/>
        </w:rPr>
      </w:pPr>
      <w:r w:rsidRPr="00AD3788">
        <w:rPr>
          <w:rStyle w:val="FootnoteReference"/>
          <w:rFonts w:ascii="Palatino" w:hAnsi="Palatino"/>
          <w:sz w:val="18"/>
          <w:szCs w:val="18"/>
        </w:rPr>
        <w:footnoteRef/>
      </w:r>
      <w:r w:rsidRPr="00AD3788">
        <w:rPr>
          <w:rFonts w:ascii="Palatino" w:hAnsi="Palatino"/>
          <w:sz w:val="18"/>
          <w:szCs w:val="18"/>
        </w:rPr>
        <w:t xml:space="preserve"> United Nations General Assembly (20</w:t>
      </w:r>
      <w:r w:rsidRPr="00AD3788">
        <w:rPr>
          <w:rFonts w:ascii="Palatino" w:hAnsi="Palatino"/>
          <w:sz w:val="18"/>
          <w:szCs w:val="18"/>
          <w:vertAlign w:val="superscript"/>
        </w:rPr>
        <w:t>th</w:t>
      </w:r>
      <w:r w:rsidRPr="00AD3788">
        <w:rPr>
          <w:rFonts w:ascii="Palatino" w:hAnsi="Palatino"/>
          <w:sz w:val="18"/>
          <w:szCs w:val="18"/>
        </w:rPr>
        <w:t xml:space="preserve"> September 2024) </w:t>
      </w:r>
      <w:r>
        <w:fldChar w:fldCharType="begin"/>
      </w:r>
      <w:r>
        <w:instrText xml:space="preserve"> HYPERLINK "https://documents.un.org/doc/undoc/gen/n24/271/19/pdf/n2427119.pdf" </w:instrText>
      </w:r>
      <w:r>
        <w:fldChar w:fldCharType="separate"/>
      </w:r>
      <w:r w:rsidRPr="00AD3788">
        <w:rPr>
          <w:rStyle w:val="Hyperlink"/>
          <w:rFonts w:ascii="Palatino" w:hAnsi="Palatino"/>
          <w:sz w:val="18"/>
          <w:szCs w:val="18"/>
        </w:rPr>
        <w:t>Report of the Special Committee to Investigate Israeli Practices Affecting the Human Rights of the Palestinian People and Other Arabs of the Occupied Territories</w:t>
      </w:r>
      <w:r>
        <w:fldChar w:fldCharType="end"/>
      </w:r>
      <w:r w:rsidRPr="00AD3788">
        <w:rPr>
          <w:rFonts w:ascii="Palatino" w:hAnsi="Palatino"/>
          <w:sz w:val="18"/>
          <w:szCs w:val="18"/>
        </w:rPr>
        <w:t xml:space="preserve"> ,pp 11-12</w:t>
      </w:r>
    </w:p>
  </w:footnote>
  <w:footnote w:id="18">
    <w:p w:rsidR="006563F3" w:rsidRPr="00AD3788" w:rsidP="006563F3">
      <w:pPr>
        <w:pStyle w:val="FootnoteText"/>
        <w:rPr>
          <w:rFonts w:ascii="Palatino" w:hAnsi="Palatino"/>
          <w:color w:val="467886"/>
          <w:sz w:val="18"/>
          <w:szCs w:val="18"/>
          <w:u w:val="single"/>
        </w:rPr>
      </w:pPr>
      <w:r w:rsidRPr="00AD3788">
        <w:rPr>
          <w:rStyle w:val="FootnoteReference"/>
          <w:rFonts w:ascii="Palatino" w:hAnsi="Palatino"/>
          <w:sz w:val="18"/>
          <w:szCs w:val="18"/>
        </w:rPr>
        <w:footnoteRef/>
      </w:r>
      <w:r w:rsidRPr="00AD3788">
        <w:rPr>
          <w:rFonts w:ascii="Palatino" w:hAnsi="Palatino"/>
          <w:sz w:val="18"/>
          <w:szCs w:val="18"/>
        </w:rPr>
        <w:t xml:space="preserve"> United Nations Human Rights Office of The High Commissioner (10</w:t>
      </w:r>
      <w:r w:rsidRPr="00AD3788">
        <w:rPr>
          <w:rFonts w:ascii="Palatino" w:hAnsi="Palatino"/>
          <w:sz w:val="18"/>
          <w:szCs w:val="18"/>
          <w:vertAlign w:val="superscript"/>
        </w:rPr>
        <w:t>th</w:t>
      </w:r>
      <w:r w:rsidRPr="00AD3788">
        <w:rPr>
          <w:rFonts w:ascii="Palatino" w:hAnsi="Palatino"/>
          <w:sz w:val="18"/>
          <w:szCs w:val="18"/>
        </w:rPr>
        <w:t xml:space="preserve"> October 2024) </w:t>
      </w:r>
      <w:r>
        <w:fldChar w:fldCharType="begin"/>
      </w:r>
      <w:r>
        <w:instrText xml:space="preserve"> HYPERLINK "https://www.ohchr.org/en/press-releases/2024/10/un-commission-finds-war-crimes-and-crimes-against-humanity-israeli-attacks" </w:instrText>
      </w:r>
      <w:r>
        <w:fldChar w:fldCharType="separate"/>
      </w:r>
      <w:r w:rsidRPr="00AD3788">
        <w:rPr>
          <w:rStyle w:val="Hyperlink"/>
          <w:rFonts w:ascii="Palatino" w:hAnsi="Palatino"/>
          <w:sz w:val="18"/>
          <w:szCs w:val="18"/>
        </w:rPr>
        <w:t>UN Commission finds war crimes and crimes against humanity in Israeli attacks on Gaza health facilities and treatment of detainees, hostages</w:t>
      </w:r>
      <w:r>
        <w:fldChar w:fldCharType="end"/>
      </w:r>
      <w:r w:rsidRPr="00AD3788">
        <w:rPr>
          <w:rFonts w:ascii="Palatino" w:hAnsi="Palatino"/>
          <w:sz w:val="18"/>
          <w:szCs w:val="18"/>
        </w:rPr>
        <w:t xml:space="preserve"> </w:t>
      </w:r>
    </w:p>
  </w:footnote>
  <w:footnote w:id="19">
    <w:p w:rsidR="006563F3" w:rsidRPr="00AD3788" w:rsidP="006563F3">
      <w:pPr>
        <w:pStyle w:val="FootnoteText"/>
        <w:rPr>
          <w:rFonts w:ascii="Palatino" w:hAnsi="Palatino"/>
          <w:sz w:val="18"/>
          <w:szCs w:val="18"/>
        </w:rPr>
      </w:pPr>
      <w:r w:rsidRPr="00AD3788">
        <w:rPr>
          <w:rStyle w:val="FootnoteReference"/>
          <w:rFonts w:ascii="Palatino" w:hAnsi="Palatino"/>
          <w:sz w:val="18"/>
          <w:szCs w:val="18"/>
        </w:rPr>
        <w:footnoteRef/>
      </w:r>
      <w:r w:rsidRPr="00AD3788">
        <w:rPr>
          <w:rFonts w:ascii="Palatino" w:hAnsi="Palatino"/>
          <w:sz w:val="18"/>
          <w:szCs w:val="18"/>
        </w:rPr>
        <w:t xml:space="preserve"> International Criminal Court (21</w:t>
      </w:r>
      <w:r w:rsidRPr="00AD3788">
        <w:rPr>
          <w:rFonts w:ascii="Palatino" w:hAnsi="Palatino"/>
          <w:sz w:val="18"/>
          <w:szCs w:val="18"/>
          <w:vertAlign w:val="superscript"/>
        </w:rPr>
        <w:t>st</w:t>
      </w:r>
      <w:r w:rsidRPr="00AD3788">
        <w:rPr>
          <w:rFonts w:ascii="Palatino" w:hAnsi="Palatino"/>
          <w:sz w:val="18"/>
          <w:szCs w:val="18"/>
        </w:rPr>
        <w:t xml:space="preserve"> November 2024) </w:t>
      </w:r>
      <w:r>
        <w:fldChar w:fldCharType="begin"/>
      </w:r>
      <w:r>
        <w:instrText xml:space="preserve"> HYPERLINK "https://www.icc-cpi.int/news/situation-state-palestine-icc-pre-trial-chamber-i-rejects-state-israels-challenges" </w:instrText>
      </w:r>
      <w:r>
        <w:fldChar w:fldCharType="separate"/>
      </w:r>
      <w:r w:rsidRPr="00AD3788">
        <w:rPr>
          <w:rStyle w:val="Hyperlink"/>
          <w:rFonts w:ascii="Palatino" w:hAnsi="Palatino"/>
          <w:sz w:val="18"/>
          <w:szCs w:val="18"/>
        </w:rPr>
        <w:t>Situation in the State of Palestine: ICC Pre-Trial Chamber I rejects the State of Israel’s challenges to jurisdiction and issues warrants of arrest for Benjamin Netanyahu and Yoav Gallant</w:t>
      </w:r>
      <w:r>
        <w:fldChar w:fldCharType="end"/>
      </w:r>
    </w:p>
  </w:footnote>
  <w:footnote w:id="20">
    <w:p w:rsidR="003521F4" w:rsidRPr="00AD3788" w:rsidP="003521F4">
      <w:pPr>
        <w:pStyle w:val="FootnoteText"/>
        <w:rPr>
          <w:rFonts w:ascii="Palatino" w:hAnsi="Palatino"/>
          <w:sz w:val="18"/>
          <w:szCs w:val="18"/>
        </w:rPr>
      </w:pPr>
      <w:r w:rsidRPr="00AD3788">
        <w:rPr>
          <w:rStyle w:val="FootnoteReference"/>
          <w:rFonts w:ascii="Palatino" w:hAnsi="Palatino"/>
          <w:sz w:val="18"/>
          <w:szCs w:val="18"/>
        </w:rPr>
        <w:footnoteRef/>
      </w:r>
      <w:r w:rsidRPr="00AD3788">
        <w:rPr>
          <w:rFonts w:ascii="Palatino" w:hAnsi="Palatino"/>
          <w:sz w:val="18"/>
          <w:szCs w:val="18"/>
        </w:rPr>
        <w:t xml:space="preserve"> UN News. (2</w:t>
      </w:r>
      <w:r w:rsidRPr="00AD3788">
        <w:rPr>
          <w:rFonts w:ascii="Palatino" w:hAnsi="Palatino"/>
          <w:sz w:val="18"/>
          <w:szCs w:val="18"/>
          <w:vertAlign w:val="superscript"/>
        </w:rPr>
        <w:t>nd</w:t>
      </w:r>
      <w:r w:rsidRPr="00AD3788">
        <w:rPr>
          <w:rFonts w:ascii="Palatino" w:hAnsi="Palatino"/>
          <w:sz w:val="18"/>
          <w:szCs w:val="18"/>
        </w:rPr>
        <w:t xml:space="preserve"> June 2023) </w:t>
      </w:r>
      <w:r>
        <w:fldChar w:fldCharType="begin"/>
      </w:r>
      <w:r>
        <w:instrText xml:space="preserve"> HYPERLINK "https://news.un.org/en/story/2023/06/1137297" </w:instrText>
      </w:r>
      <w:r>
        <w:fldChar w:fldCharType="separate"/>
      </w:r>
      <w:r w:rsidRPr="00AD3788">
        <w:rPr>
          <w:rStyle w:val="Hyperlink"/>
          <w:rFonts w:ascii="Palatino" w:hAnsi="Palatino"/>
          <w:sz w:val="18"/>
          <w:szCs w:val="18"/>
        </w:rPr>
        <w:t>UN agency for Palestine refugees on verge of financial collapse.</w:t>
      </w:r>
      <w:r>
        <w:fldChar w:fldCharType="end"/>
      </w:r>
      <w:r w:rsidRPr="00AD3788">
        <w:rPr>
          <w:rFonts w:ascii="Palatino" w:hAnsi="Palatino"/>
          <w:sz w:val="18"/>
          <w:szCs w:val="18"/>
        </w:rPr>
        <w:t xml:space="preserve"> UN News.</w:t>
      </w:r>
    </w:p>
  </w:footnote>
  <w:footnote w:id="21">
    <w:p w:rsidR="003521F4" w:rsidRPr="00AD3788" w:rsidP="003521F4">
      <w:pPr>
        <w:pStyle w:val="FootnoteText"/>
        <w:rPr>
          <w:rFonts w:ascii="Palatino" w:hAnsi="Palatino" w:cs="Calibri"/>
          <w:sz w:val="18"/>
          <w:szCs w:val="18"/>
        </w:rPr>
      </w:pPr>
      <w:r w:rsidRPr="00AD3788">
        <w:rPr>
          <w:rStyle w:val="FootnoteReference"/>
          <w:rFonts w:ascii="Palatino" w:hAnsi="Palatino" w:cs="Calibri"/>
          <w:sz w:val="18"/>
          <w:szCs w:val="18"/>
        </w:rPr>
        <w:footnoteRef/>
      </w:r>
      <w:r w:rsidRPr="00AD3788">
        <w:rPr>
          <w:rFonts w:ascii="Palatino" w:hAnsi="Palatino" w:cs="Calibri"/>
          <w:sz w:val="18"/>
          <w:szCs w:val="18"/>
        </w:rPr>
        <w:t xml:space="preserve"> </w:t>
      </w:r>
      <w:r w:rsidRPr="00AD3788">
        <w:rPr>
          <w:rFonts w:ascii="Palatino" w:hAnsi="Palatino"/>
          <w:sz w:val="18"/>
          <w:szCs w:val="18"/>
        </w:rPr>
        <w:t>Ibid.</w:t>
      </w:r>
    </w:p>
  </w:footnote>
  <w:footnote w:id="22">
    <w:p w:rsidR="003521F4" w:rsidRPr="00AD3788" w:rsidP="003521F4">
      <w:pPr>
        <w:pStyle w:val="FootnoteText"/>
        <w:rPr>
          <w:rFonts w:ascii="Palatino" w:hAnsi="Palatino"/>
          <w:sz w:val="18"/>
          <w:szCs w:val="18"/>
        </w:rPr>
      </w:pPr>
      <w:r w:rsidRPr="00AD3788">
        <w:rPr>
          <w:rStyle w:val="FootnoteReference"/>
          <w:rFonts w:ascii="Palatino" w:hAnsi="Palatino"/>
          <w:sz w:val="18"/>
          <w:szCs w:val="18"/>
        </w:rPr>
        <w:footnoteRef/>
      </w:r>
      <w:r w:rsidRPr="00AD3788">
        <w:rPr>
          <w:rFonts w:ascii="Palatino" w:hAnsi="Palatino"/>
          <w:sz w:val="18"/>
          <w:szCs w:val="18"/>
        </w:rPr>
        <w:t xml:space="preserve"> </w:t>
      </w:r>
      <w:r w:rsidRPr="00AD3788">
        <w:rPr>
          <w:rFonts w:ascii="Palatino" w:hAnsi="Palatino" w:cs="Arial"/>
          <w:sz w:val="18"/>
          <w:szCs w:val="18"/>
        </w:rPr>
        <w:t xml:space="preserve">Ali </w:t>
      </w:r>
      <w:r w:rsidRPr="00AD3788">
        <w:rPr>
          <w:rFonts w:ascii="Palatino" w:hAnsi="Palatino" w:cs="Arial"/>
          <w:sz w:val="18"/>
          <w:szCs w:val="18"/>
        </w:rPr>
        <w:t>Bunkall</w:t>
      </w:r>
      <w:r w:rsidRPr="00AD3788">
        <w:rPr>
          <w:rFonts w:ascii="Palatino" w:hAnsi="Palatino" w:cs="Arial"/>
          <w:sz w:val="18"/>
          <w:szCs w:val="18"/>
        </w:rPr>
        <w:t xml:space="preserve"> (31</w:t>
      </w:r>
      <w:r w:rsidRPr="00AD3788">
        <w:rPr>
          <w:rFonts w:ascii="Palatino" w:hAnsi="Palatino" w:cs="Arial"/>
          <w:sz w:val="18"/>
          <w:szCs w:val="18"/>
          <w:vertAlign w:val="superscript"/>
        </w:rPr>
        <w:t>st</w:t>
      </w:r>
      <w:r w:rsidRPr="00AD3788">
        <w:rPr>
          <w:rFonts w:ascii="Palatino" w:hAnsi="Palatino" w:cs="Arial"/>
          <w:sz w:val="18"/>
          <w:szCs w:val="18"/>
        </w:rPr>
        <w:t xml:space="preserve"> January 2024) </w:t>
      </w:r>
      <w:r>
        <w:fldChar w:fldCharType="begin"/>
      </w:r>
      <w:r>
        <w:instrText xml:space="preserve"> HYPERLINK "https://news.sky.com/story/israeli-intelligence-report-claims-four-unrwa-staff-in-gaza-involved-in-hamas-kidnappings-13059967" </w:instrText>
      </w:r>
      <w:r>
        <w:fldChar w:fldCharType="separate"/>
      </w:r>
      <w:r w:rsidRPr="00AD3788">
        <w:rPr>
          <w:rStyle w:val="Hyperlink"/>
          <w:rFonts w:ascii="Palatino" w:hAnsi="Palatino" w:cs="Arial"/>
          <w:sz w:val="18"/>
          <w:szCs w:val="18"/>
        </w:rPr>
        <w:t>Israeli intelligence report claims four UNRWA staff in Gaza involved in Hamas kidnappings.</w:t>
      </w:r>
      <w:r>
        <w:fldChar w:fldCharType="end"/>
      </w:r>
      <w:r w:rsidRPr="00AD3788">
        <w:rPr>
          <w:rFonts w:ascii="Palatino" w:hAnsi="Palatino" w:cs="Arial"/>
          <w:sz w:val="18"/>
          <w:szCs w:val="18"/>
        </w:rPr>
        <w:t xml:space="preserve"> Sky News.</w:t>
      </w:r>
    </w:p>
  </w:footnote>
  <w:footnote w:id="23">
    <w:p w:rsidR="003521F4" w:rsidRPr="00AD3788" w:rsidP="003521F4">
      <w:pPr>
        <w:pStyle w:val="FootnoteText"/>
        <w:rPr>
          <w:rFonts w:ascii="Palatino" w:hAnsi="Palatino"/>
          <w:sz w:val="18"/>
          <w:szCs w:val="18"/>
        </w:rPr>
      </w:pPr>
      <w:r w:rsidRPr="00AD3788">
        <w:rPr>
          <w:rStyle w:val="FootnoteReference"/>
          <w:rFonts w:ascii="Palatino" w:hAnsi="Palatino"/>
          <w:sz w:val="18"/>
          <w:szCs w:val="18"/>
        </w:rPr>
        <w:footnoteRef/>
      </w:r>
      <w:r w:rsidRPr="00AD3788">
        <w:rPr>
          <w:rFonts w:ascii="Palatino" w:hAnsi="Palatino"/>
          <w:sz w:val="18"/>
          <w:szCs w:val="18"/>
        </w:rPr>
        <w:t xml:space="preserve"> The Guardian. (22</w:t>
      </w:r>
      <w:r w:rsidRPr="00AD3788">
        <w:rPr>
          <w:rFonts w:ascii="Palatino" w:hAnsi="Palatino"/>
          <w:sz w:val="18"/>
          <w:szCs w:val="18"/>
          <w:vertAlign w:val="superscript"/>
        </w:rPr>
        <w:t>nd</w:t>
      </w:r>
      <w:r w:rsidRPr="00AD3788">
        <w:rPr>
          <w:rFonts w:ascii="Palatino" w:hAnsi="Palatino"/>
          <w:sz w:val="18"/>
          <w:szCs w:val="18"/>
        </w:rPr>
        <w:t xml:space="preserve"> February 2024) </w:t>
      </w:r>
      <w:r>
        <w:fldChar w:fldCharType="begin"/>
      </w:r>
      <w:r>
        <w:instrText xml:space="preserve"> HYPERLINK "https://www.theguardian.com/world/2024/feb/22/us-intelligence-unrwa-hamas" </w:instrText>
      </w:r>
      <w:r>
        <w:fldChar w:fldCharType="separate"/>
      </w:r>
      <w:r w:rsidRPr="00AD3788">
        <w:rPr>
          <w:rStyle w:val="Hyperlink"/>
          <w:rFonts w:ascii="Palatino" w:hAnsi="Palatino"/>
          <w:sz w:val="18"/>
          <w:szCs w:val="18"/>
        </w:rPr>
        <w:t>US intelligence casts doubt on Israeli claims of UNRWA-Hamas links, report says.</w:t>
      </w:r>
      <w:r>
        <w:fldChar w:fldCharType="end"/>
      </w:r>
      <w:r w:rsidRPr="00AD3788">
        <w:rPr>
          <w:rFonts w:ascii="Palatino" w:hAnsi="Palatino"/>
          <w:sz w:val="18"/>
          <w:szCs w:val="18"/>
        </w:rPr>
        <w:t xml:space="preserve"> </w:t>
      </w:r>
    </w:p>
  </w:footnote>
  <w:footnote w:id="24">
    <w:p w:rsidR="003521F4" w:rsidRPr="00AD3788" w:rsidP="003521F4">
      <w:pPr>
        <w:pStyle w:val="FootnoteText"/>
        <w:rPr>
          <w:rStyle w:val="Hyperlink"/>
          <w:rFonts w:ascii="Palatino" w:hAnsi="Palatino"/>
          <w:sz w:val="18"/>
          <w:szCs w:val="18"/>
          <w:lang w:val="en-US"/>
        </w:rPr>
      </w:pPr>
      <w:r w:rsidRPr="00AD3788">
        <w:rPr>
          <w:rStyle w:val="FootnoteReference"/>
          <w:rFonts w:ascii="Palatino" w:hAnsi="Palatino"/>
          <w:sz w:val="18"/>
          <w:szCs w:val="18"/>
        </w:rPr>
        <w:footnoteRef/>
      </w:r>
      <w:r w:rsidRPr="00AD3788">
        <w:rPr>
          <w:rFonts w:ascii="Palatino" w:hAnsi="Palatino"/>
          <w:sz w:val="18"/>
          <w:szCs w:val="18"/>
        </w:rPr>
        <w:t xml:space="preserve"> </w:t>
      </w:r>
      <w:r w:rsidRPr="00AD3788">
        <w:rPr>
          <w:rFonts w:ascii="Palatino" w:hAnsi="Palatino"/>
          <w:sz w:val="18"/>
          <w:szCs w:val="18"/>
          <w:lang w:val="en-US"/>
        </w:rPr>
        <w:t>Final report for the United Nations Secretary. (20</w:t>
      </w:r>
      <w:r w:rsidRPr="00AD3788">
        <w:rPr>
          <w:rFonts w:ascii="Palatino" w:hAnsi="Palatino"/>
          <w:sz w:val="18"/>
          <w:szCs w:val="18"/>
          <w:vertAlign w:val="superscript"/>
          <w:lang w:val="en-US"/>
        </w:rPr>
        <w:t>th</w:t>
      </w:r>
      <w:r w:rsidRPr="00AD3788">
        <w:rPr>
          <w:rFonts w:ascii="Palatino" w:hAnsi="Palatino"/>
          <w:sz w:val="18"/>
          <w:szCs w:val="18"/>
          <w:lang w:val="en-US"/>
        </w:rPr>
        <w:t xml:space="preserve"> April 2024) </w:t>
      </w:r>
      <w:r w:rsidRPr="00AD3788">
        <w:rPr>
          <w:rFonts w:ascii="Palatino" w:hAnsi="Palatino"/>
          <w:sz w:val="18"/>
          <w:szCs w:val="18"/>
          <w:lang w:val="en-US"/>
        </w:rPr>
        <w:fldChar w:fldCharType="begin"/>
      </w:r>
      <w:r w:rsidRPr="00AD3788">
        <w:rPr>
          <w:rFonts w:ascii="Palatino" w:hAnsi="Palatino"/>
          <w:sz w:val="18"/>
          <w:szCs w:val="18"/>
          <w:lang w:val="en-US"/>
        </w:rPr>
        <w:instrText xml:space="preserve"> HYPERLINK "https://www.un.org/unispal/wp-content/uploads/2024/04/unrwa_independent_review_on_neutrality.pdf" </w:instrText>
      </w:r>
      <w:r w:rsidRPr="00AD3788">
        <w:rPr>
          <w:rFonts w:ascii="Palatino" w:hAnsi="Palatino"/>
          <w:sz w:val="18"/>
          <w:szCs w:val="18"/>
          <w:lang w:val="en-US"/>
        </w:rPr>
        <w:fldChar w:fldCharType="separate"/>
      </w:r>
      <w:r w:rsidRPr="00AD3788">
        <w:rPr>
          <w:rStyle w:val="Hyperlink"/>
          <w:rFonts w:ascii="Palatino" w:hAnsi="Palatino"/>
          <w:sz w:val="18"/>
          <w:szCs w:val="18"/>
          <w:lang w:val="en-US"/>
        </w:rPr>
        <w:t>Independent Review of Mechanisms and Procedures</w:t>
      </w:r>
    </w:p>
    <w:p w:rsidR="003521F4" w:rsidRPr="00AD3788" w:rsidP="003521F4">
      <w:pPr>
        <w:pStyle w:val="FootnoteText"/>
        <w:rPr>
          <w:rFonts w:ascii="Palatino" w:hAnsi="Palatino"/>
          <w:sz w:val="18"/>
          <w:szCs w:val="18"/>
        </w:rPr>
      </w:pPr>
      <w:r w:rsidRPr="00AD3788">
        <w:rPr>
          <w:rStyle w:val="Hyperlink"/>
          <w:rFonts w:ascii="Palatino" w:hAnsi="Palatino"/>
          <w:sz w:val="18"/>
          <w:szCs w:val="18"/>
          <w:lang w:val="en-US"/>
        </w:rPr>
        <w:t>to Ensure Adherence by UNRWA to the Humanitarian Principle of Neutrality.</w:t>
      </w:r>
      <w:r w:rsidRPr="00AD3788">
        <w:rPr>
          <w:rFonts w:ascii="Palatino" w:hAnsi="Palatino"/>
          <w:sz w:val="18"/>
          <w:szCs w:val="18"/>
          <w:lang w:val="en-US"/>
        </w:rPr>
        <w:fldChar w:fldCharType="end"/>
      </w:r>
      <w:r w:rsidRPr="00AD3788">
        <w:rPr>
          <w:rFonts w:ascii="Palatino" w:hAnsi="Palatino"/>
          <w:sz w:val="18"/>
          <w:szCs w:val="18"/>
          <w:lang w:val="en-US"/>
        </w:rPr>
        <w:t xml:space="preserve"> Executive Summary: pg.5.</w:t>
      </w:r>
    </w:p>
  </w:footnote>
  <w:footnote w:id="25">
    <w:p w:rsidR="001D7951" w:rsidRPr="00AD3788" w:rsidP="001D7951">
      <w:pPr>
        <w:pStyle w:val="FootnoteText"/>
        <w:rPr>
          <w:rFonts w:ascii="Palatino" w:hAnsi="Palatino"/>
          <w:sz w:val="18"/>
          <w:szCs w:val="18"/>
        </w:rPr>
      </w:pPr>
      <w:r w:rsidRPr="00AD3788">
        <w:rPr>
          <w:rStyle w:val="FootnoteReference"/>
          <w:rFonts w:ascii="Palatino" w:hAnsi="Palatino"/>
          <w:sz w:val="18"/>
          <w:szCs w:val="18"/>
        </w:rPr>
        <w:footnoteRef/>
      </w:r>
      <w:r w:rsidRPr="00AD3788">
        <w:rPr>
          <w:rFonts w:ascii="Palatino" w:hAnsi="Palatino"/>
          <w:sz w:val="18"/>
          <w:szCs w:val="18"/>
        </w:rPr>
        <w:t xml:space="preserve"> International Development Committee. </w:t>
      </w:r>
      <w:r>
        <w:fldChar w:fldCharType="begin"/>
      </w:r>
      <w:r>
        <w:instrText xml:space="preserve"> HYPERLINK "https://committees.parliament.uk/publications/46289/documents/232730/default/" </w:instrText>
      </w:r>
      <w:r>
        <w:fldChar w:fldCharType="separate"/>
      </w:r>
      <w:r w:rsidRPr="00AD3788">
        <w:rPr>
          <w:rStyle w:val="Hyperlink"/>
          <w:rFonts w:ascii="Palatino" w:hAnsi="Palatino"/>
          <w:sz w:val="18"/>
          <w:szCs w:val="18"/>
        </w:rPr>
        <w:t>Israel and the Occupied Palestinian Territory</w:t>
      </w:r>
      <w:r>
        <w:fldChar w:fldCharType="end"/>
      </w:r>
      <w:r w:rsidRPr="00AD3788">
        <w:rPr>
          <w:rFonts w:ascii="Palatino" w:hAnsi="Palatino"/>
          <w:sz w:val="18"/>
          <w:szCs w:val="18"/>
        </w:rPr>
        <w:t>. Second Report of Session 2024-25. HC373.</w:t>
      </w:r>
    </w:p>
  </w:footnote>
  <w:footnote w:id="26">
    <w:p w:rsidR="001D7951" w:rsidRPr="00AD3788" w:rsidP="001D7951">
      <w:pPr>
        <w:pStyle w:val="FootnoteText"/>
        <w:rPr>
          <w:rFonts w:ascii="Palatino" w:hAnsi="Palatino"/>
          <w:sz w:val="18"/>
          <w:szCs w:val="18"/>
        </w:rPr>
      </w:pPr>
      <w:r w:rsidRPr="00AD3788">
        <w:rPr>
          <w:rStyle w:val="FootnoteReference"/>
          <w:rFonts w:ascii="Palatino" w:hAnsi="Palatino"/>
          <w:sz w:val="18"/>
          <w:szCs w:val="18"/>
        </w:rPr>
        <w:footnoteRef/>
      </w:r>
      <w:r w:rsidRPr="00AD3788">
        <w:rPr>
          <w:rFonts w:ascii="Palatino" w:hAnsi="Palatino"/>
          <w:sz w:val="18"/>
          <w:szCs w:val="18"/>
        </w:rPr>
        <w:t xml:space="preserve"> UN News (31</w:t>
      </w:r>
      <w:r w:rsidRPr="00AD3788">
        <w:rPr>
          <w:rFonts w:ascii="Palatino" w:hAnsi="Palatino"/>
          <w:sz w:val="18"/>
          <w:szCs w:val="18"/>
          <w:vertAlign w:val="superscript"/>
        </w:rPr>
        <w:t>st</w:t>
      </w:r>
      <w:r w:rsidRPr="00AD3788">
        <w:rPr>
          <w:rFonts w:ascii="Palatino" w:hAnsi="Palatino"/>
          <w:sz w:val="18"/>
          <w:szCs w:val="18"/>
        </w:rPr>
        <w:t xml:space="preserve"> October 2024) </w:t>
      </w:r>
      <w:r>
        <w:fldChar w:fldCharType="begin"/>
      </w:r>
      <w:r>
        <w:instrText xml:space="preserve"> HYPERLINK "https://news.un.org/en/story/2024/10/1156326" </w:instrText>
      </w:r>
      <w:r>
        <w:fldChar w:fldCharType="separate"/>
      </w:r>
      <w:r w:rsidRPr="00AD3788">
        <w:rPr>
          <w:rStyle w:val="Hyperlink"/>
          <w:rFonts w:ascii="Palatino" w:hAnsi="Palatino"/>
          <w:sz w:val="18"/>
          <w:szCs w:val="18"/>
        </w:rPr>
        <w:t>Israeli laws blocking UNRWA – devastating humanitarian impact for Palestinians?</w:t>
      </w:r>
      <w:r>
        <w:fldChar w:fldCharType="end"/>
      </w:r>
    </w:p>
  </w:footnote>
  <w:footnote w:id="27">
    <w:p w:rsidR="001D7951" w:rsidRPr="00AD3788" w:rsidP="001D7951">
      <w:pPr>
        <w:spacing w:before="100" w:beforeAutospacing="1" w:after="100" w:afterAutospacing="1"/>
        <w:rPr>
          <w:rFonts w:ascii="Palatino" w:hAnsi="Palatino"/>
          <w:sz w:val="18"/>
          <w:szCs w:val="18"/>
        </w:rPr>
      </w:pPr>
      <w:r w:rsidRPr="00AD3788">
        <w:rPr>
          <w:rStyle w:val="FootnoteReference"/>
          <w:rFonts w:ascii="Palatino" w:hAnsi="Palatino"/>
          <w:sz w:val="18"/>
          <w:szCs w:val="18"/>
        </w:rPr>
        <w:footnoteRef/>
      </w:r>
      <w:r w:rsidRPr="00AD3788">
        <w:rPr>
          <w:rFonts w:ascii="Palatino" w:hAnsi="Palatino"/>
          <w:sz w:val="18"/>
          <w:szCs w:val="18"/>
        </w:rPr>
        <w:t xml:space="preserve"> FCDO (28</w:t>
      </w:r>
      <w:r w:rsidRPr="00AD3788">
        <w:rPr>
          <w:rFonts w:ascii="Palatino" w:hAnsi="Palatino"/>
          <w:sz w:val="18"/>
          <w:szCs w:val="18"/>
          <w:vertAlign w:val="superscript"/>
        </w:rPr>
        <w:t>th</w:t>
      </w:r>
      <w:r w:rsidRPr="00AD3788">
        <w:rPr>
          <w:rFonts w:ascii="Palatino" w:hAnsi="Palatino"/>
          <w:sz w:val="18"/>
          <w:szCs w:val="18"/>
        </w:rPr>
        <w:t xml:space="preserve"> January 2025) </w:t>
      </w:r>
      <w:r>
        <w:fldChar w:fldCharType="begin"/>
      </w:r>
      <w:r>
        <w:instrText xml:space="preserve"> HYPERLINK "https://www.gov.uk/government/news/new-humanitarian-support-for-gaza-as-ceasefire-allows-operations-to-scale-up" </w:instrText>
      </w:r>
      <w:r>
        <w:fldChar w:fldCharType="separate"/>
      </w:r>
      <w:r w:rsidRPr="00AD3788">
        <w:rPr>
          <w:rStyle w:val="Hyperlink"/>
          <w:rFonts w:ascii="Palatino" w:hAnsi="Palatino"/>
          <w:sz w:val="18"/>
          <w:szCs w:val="18"/>
        </w:rPr>
        <w:t>New humanitarian support for Gaza as ceasefire allows operations to scale up</w:t>
      </w:r>
      <w:r>
        <w:fldChar w:fldCharType="end"/>
      </w:r>
      <w:r w:rsidRPr="00AD3788">
        <w:rPr>
          <w:rFonts w:ascii="Palatino" w:hAnsi="Palatino"/>
          <w:sz w:val="18"/>
          <w:szCs w:val="18"/>
        </w:rPr>
        <w:t>.</w:t>
      </w:r>
    </w:p>
  </w:footnote>
  <w:footnote w:id="28">
    <w:p w:rsidR="00F729F2" w:rsidRPr="00AD3788" w:rsidP="00F729F2">
      <w:pPr>
        <w:pStyle w:val="FootnoteText"/>
        <w:rPr>
          <w:rFonts w:ascii="Palatino" w:hAnsi="Palatino"/>
          <w:sz w:val="18"/>
          <w:szCs w:val="18"/>
        </w:rPr>
      </w:pPr>
      <w:r w:rsidRPr="00AD3788">
        <w:rPr>
          <w:rStyle w:val="FootnoteReference"/>
          <w:rFonts w:ascii="Palatino" w:hAnsi="Palatino"/>
          <w:sz w:val="18"/>
          <w:szCs w:val="18"/>
        </w:rPr>
        <w:footnoteRef/>
      </w:r>
      <w:r w:rsidRPr="00AD3788">
        <w:rPr>
          <w:rFonts w:ascii="Palatino" w:hAnsi="Palatino"/>
          <w:sz w:val="18"/>
          <w:szCs w:val="18"/>
        </w:rPr>
        <w:t xml:space="preserve"> Fourth Geneva Convention, Article 2 – Application of the Convention, available at: </w:t>
      </w:r>
      <w:r>
        <w:fldChar w:fldCharType="begin"/>
      </w:r>
      <w:r>
        <w:instrText xml:space="preserve"> HYPERLINK "https://ihl-databases.icrc.org/en/ihl-treaties/gciv-1949/article-2" </w:instrText>
      </w:r>
      <w:r>
        <w:fldChar w:fldCharType="separate"/>
      </w:r>
      <w:r w:rsidRPr="00AD3788">
        <w:rPr>
          <w:rStyle w:val="Hyperlink"/>
          <w:rFonts w:ascii="Palatino" w:hAnsi="Palatino"/>
          <w:sz w:val="18"/>
          <w:szCs w:val="18"/>
        </w:rPr>
        <w:t>https://ihl-databases.icrc.org/en/ihl-treaties/gciv-1949/article-2</w:t>
      </w:r>
      <w:r>
        <w:fldChar w:fldCharType="end"/>
      </w:r>
      <w:r w:rsidRPr="00AD3788">
        <w:rPr>
          <w:rFonts w:ascii="Palatino" w:hAnsi="Palatino"/>
          <w:sz w:val="18"/>
          <w:szCs w:val="18"/>
        </w:rPr>
        <w:t xml:space="preserve"> </w:t>
      </w:r>
    </w:p>
  </w:footnote>
  <w:footnote w:id="29">
    <w:p w:rsidR="00F729F2" w:rsidRPr="00AD3788" w:rsidP="00F729F2">
      <w:pPr>
        <w:pStyle w:val="FootnoteText"/>
        <w:rPr>
          <w:rFonts w:ascii="Palatino" w:hAnsi="Palatino"/>
          <w:sz w:val="18"/>
          <w:szCs w:val="18"/>
        </w:rPr>
      </w:pPr>
      <w:r w:rsidRPr="00AD3788">
        <w:rPr>
          <w:rStyle w:val="FootnoteReference"/>
          <w:rFonts w:ascii="Palatino" w:hAnsi="Palatino"/>
          <w:sz w:val="18"/>
          <w:szCs w:val="18"/>
        </w:rPr>
        <w:footnoteRef/>
      </w:r>
      <w:r w:rsidRPr="00AD3788">
        <w:rPr>
          <w:rFonts w:ascii="Palatino" w:hAnsi="Palatino"/>
          <w:sz w:val="18"/>
          <w:szCs w:val="18"/>
        </w:rPr>
        <w:t xml:space="preserve"> Fourth Geneva Convention, Article 55 – Food and medical supplies for the population, available at: </w:t>
      </w:r>
      <w:r>
        <w:fldChar w:fldCharType="begin"/>
      </w:r>
      <w:r>
        <w:instrText xml:space="preserve"> HYPERLINK "https://ihl-databases.icrc.org/ru/ihl-treaties/gciv-1949/article-55" </w:instrText>
      </w:r>
      <w:r>
        <w:fldChar w:fldCharType="separate"/>
      </w:r>
      <w:r w:rsidRPr="00AD3788">
        <w:rPr>
          <w:rStyle w:val="Hyperlink"/>
          <w:rFonts w:ascii="Palatino" w:hAnsi="Palatino"/>
          <w:sz w:val="18"/>
          <w:szCs w:val="18"/>
        </w:rPr>
        <w:t>https://ihl-databases.icrc.org/ru/ihl-treaties/gciv-1949/article-55</w:t>
      </w:r>
      <w:r>
        <w:fldChar w:fldCharType="end"/>
      </w:r>
      <w:r w:rsidRPr="00AD3788">
        <w:rPr>
          <w:rFonts w:ascii="Palatino" w:hAnsi="Palatino"/>
          <w:sz w:val="18"/>
          <w:szCs w:val="18"/>
        </w:rPr>
        <w:t xml:space="preserve"> </w:t>
      </w:r>
    </w:p>
  </w:footnote>
  <w:footnote w:id="30">
    <w:p w:rsidR="00F729F2" w:rsidRPr="00AD3788" w:rsidP="00F729F2">
      <w:pPr>
        <w:pStyle w:val="FootnoteText"/>
        <w:rPr>
          <w:rFonts w:ascii="Palatino" w:hAnsi="Palatino"/>
          <w:sz w:val="18"/>
          <w:szCs w:val="18"/>
        </w:rPr>
      </w:pPr>
      <w:r w:rsidRPr="00AD3788">
        <w:rPr>
          <w:rStyle w:val="FootnoteReference"/>
          <w:rFonts w:ascii="Palatino" w:hAnsi="Palatino"/>
          <w:sz w:val="18"/>
          <w:szCs w:val="18"/>
        </w:rPr>
        <w:footnoteRef/>
      </w:r>
      <w:r w:rsidRPr="00AD3788">
        <w:rPr>
          <w:rFonts w:ascii="Palatino" w:hAnsi="Palatino"/>
          <w:sz w:val="18"/>
          <w:szCs w:val="18"/>
        </w:rPr>
        <w:t xml:space="preserve"> Fourth Geneva Convention, Article 59 – Relief I. Collective relief, available at:  </w:t>
      </w:r>
      <w:r>
        <w:fldChar w:fldCharType="begin"/>
      </w:r>
      <w:r>
        <w:instrText xml:space="preserve"> HYPERLINK "https://ihl-databases.icrc.org/en/ihl-treaties/gciv-1949/article-59" </w:instrText>
      </w:r>
      <w:r>
        <w:fldChar w:fldCharType="separate"/>
      </w:r>
      <w:r w:rsidRPr="00AD3788">
        <w:rPr>
          <w:rStyle w:val="Hyperlink"/>
          <w:rFonts w:ascii="Palatino" w:hAnsi="Palatino"/>
          <w:sz w:val="18"/>
          <w:szCs w:val="18"/>
        </w:rPr>
        <w:t>https://ihl-databases.icrc.org/en/ihl-treaties/gciv-1949/article-59</w:t>
      </w:r>
      <w:r>
        <w:fldChar w:fldCharType="end"/>
      </w:r>
      <w:r w:rsidRPr="00AD3788">
        <w:rPr>
          <w:rFonts w:ascii="Palatino" w:hAnsi="Palatino"/>
          <w:sz w:val="18"/>
          <w:szCs w:val="18"/>
        </w:rPr>
        <w:t xml:space="preserve"> </w:t>
      </w:r>
    </w:p>
  </w:footnote>
  <w:footnote w:id="31">
    <w:p w:rsidR="00F729F2" w:rsidRPr="00AD3788" w:rsidP="00F729F2">
      <w:pPr>
        <w:pStyle w:val="FootnoteText"/>
        <w:rPr>
          <w:rFonts w:ascii="Palatino" w:hAnsi="Palatino"/>
          <w:sz w:val="18"/>
          <w:szCs w:val="18"/>
        </w:rPr>
      </w:pPr>
      <w:r w:rsidRPr="00AD3788">
        <w:rPr>
          <w:rStyle w:val="FootnoteReference"/>
          <w:rFonts w:ascii="Palatino" w:hAnsi="Palatino"/>
          <w:sz w:val="18"/>
          <w:szCs w:val="18"/>
        </w:rPr>
        <w:footnoteRef/>
      </w:r>
      <w:r w:rsidRPr="00AD3788">
        <w:rPr>
          <w:rFonts w:ascii="Palatino" w:hAnsi="Palatino"/>
          <w:sz w:val="18"/>
          <w:szCs w:val="18"/>
        </w:rPr>
        <w:t xml:space="preserve">  UN Security Council, Resolution 2334, Adopted by the Security Council at its 7853rd meeting, on 23 December 2016, available at: </w:t>
      </w:r>
      <w:r>
        <w:fldChar w:fldCharType="begin"/>
      </w:r>
      <w:r>
        <w:instrText xml:space="preserve"> HYPERLINK "https://www.un.org/webcast/pdfs/SRES2334-2016.pdf" </w:instrText>
      </w:r>
      <w:r>
        <w:fldChar w:fldCharType="separate"/>
      </w:r>
      <w:r w:rsidRPr="00AD3788">
        <w:rPr>
          <w:rStyle w:val="Hyperlink"/>
          <w:rFonts w:ascii="Palatino" w:hAnsi="Palatino"/>
          <w:sz w:val="18"/>
          <w:szCs w:val="18"/>
        </w:rPr>
        <w:t>https://www.un.org/webcast/pdfs/SRES2334-2016.pdf</w:t>
      </w:r>
      <w:r>
        <w:fldChar w:fldCharType="end"/>
      </w:r>
      <w:r w:rsidRPr="00AD3788">
        <w:rPr>
          <w:rFonts w:ascii="Palatino" w:hAnsi="Palatino"/>
          <w:sz w:val="18"/>
          <w:szCs w:val="18"/>
        </w:rPr>
        <w:t xml:space="preserve"> </w:t>
      </w:r>
    </w:p>
  </w:footnote>
  <w:footnote w:id="32">
    <w:p w:rsidR="00F729F2" w:rsidRPr="00AD3788" w:rsidP="00F729F2">
      <w:pPr>
        <w:pStyle w:val="FootnoteText"/>
        <w:rPr>
          <w:rFonts w:ascii="Palatino" w:hAnsi="Palatino"/>
          <w:sz w:val="18"/>
          <w:szCs w:val="18"/>
        </w:rPr>
      </w:pPr>
      <w:r w:rsidRPr="00AD3788">
        <w:rPr>
          <w:rStyle w:val="FootnoteReference"/>
          <w:rFonts w:ascii="Palatino" w:hAnsi="Palatino"/>
          <w:sz w:val="18"/>
          <w:szCs w:val="18"/>
        </w:rPr>
        <w:footnoteRef/>
      </w:r>
      <w:r w:rsidRPr="00AD3788">
        <w:rPr>
          <w:rFonts w:ascii="Palatino" w:hAnsi="Palatino"/>
          <w:sz w:val="18"/>
          <w:szCs w:val="18"/>
        </w:rPr>
        <w:t xml:space="preserve">  ICC, Situation in the State of Palestine: ICC Pre-Trial Chamber I rejects the State of Israel’s challenges to jurisdiction and issues warrants of arrest for Benjamin Netanyahu and Yoav Gallant, 21 November 2024, available at: </w:t>
      </w:r>
      <w:r>
        <w:fldChar w:fldCharType="begin"/>
      </w:r>
      <w:r>
        <w:instrText xml:space="preserve"> HYPERLINK "https://www.icc-cpi.int/news/situation-state-palestine-icc-pre-trial-chamber-i-rejects-state-israels-challenges" </w:instrText>
      </w:r>
      <w:r>
        <w:fldChar w:fldCharType="separate"/>
      </w:r>
      <w:r w:rsidRPr="00AD3788">
        <w:rPr>
          <w:rStyle w:val="Hyperlink"/>
          <w:rFonts w:ascii="Palatino" w:hAnsi="Palatino"/>
          <w:sz w:val="18"/>
          <w:szCs w:val="18"/>
        </w:rPr>
        <w:t>https://www.icc-cpi.int/news/situation-state-palestine-icc-pre-trial-chamber-i-rejects-state-israels-challenges</w:t>
      </w:r>
      <w:r>
        <w:fldChar w:fldCharType="end"/>
      </w:r>
      <w:r w:rsidRPr="00AD3788">
        <w:rPr>
          <w:rFonts w:ascii="Palatino" w:hAnsi="Palatino"/>
          <w:sz w:val="18"/>
          <w:szCs w:val="18"/>
        </w:rPr>
        <w:t xml:space="preserve">. See also: </w:t>
      </w:r>
      <w:r>
        <w:fldChar w:fldCharType="begin"/>
      </w:r>
      <w:r>
        <w:instrText xml:space="preserve"> HYPERLINK "https://www.icc-cpi.int/news/situation-state-palestine-icc-pre-trial-chamber-i-rejects-state-israels-challenges" </w:instrText>
      </w:r>
      <w:r>
        <w:fldChar w:fldCharType="separate"/>
      </w:r>
      <w:r w:rsidRPr="00AD3788">
        <w:rPr>
          <w:rStyle w:val="Hyperlink"/>
          <w:rFonts w:ascii="Palatino" w:hAnsi="Palatino"/>
          <w:sz w:val="18"/>
          <w:szCs w:val="18"/>
        </w:rPr>
        <w:t>https://www.icc-cpi.int/news/situation-state-palestine-icc-pre-trial-chamber-i-rejects-state-israels-challenges</w:t>
      </w:r>
      <w:r>
        <w:fldChar w:fldCharType="end"/>
      </w:r>
      <w:r w:rsidRPr="00AD3788">
        <w:rPr>
          <w:rFonts w:ascii="Palatino" w:hAnsi="Palatino"/>
          <w:sz w:val="18"/>
          <w:szCs w:val="18"/>
        </w:rPr>
        <w:t xml:space="preserve">  </w:t>
      </w:r>
    </w:p>
  </w:footnote>
  <w:footnote w:id="33">
    <w:p w:rsidR="00F729F2" w:rsidRPr="00AD3788" w:rsidP="00F729F2">
      <w:pPr>
        <w:pStyle w:val="FootnoteText"/>
        <w:rPr>
          <w:rFonts w:ascii="Palatino" w:hAnsi="Palatino"/>
          <w:sz w:val="18"/>
          <w:szCs w:val="18"/>
        </w:rPr>
      </w:pPr>
      <w:r w:rsidRPr="00AD3788">
        <w:rPr>
          <w:rStyle w:val="FootnoteReference"/>
          <w:rFonts w:ascii="Palatino" w:hAnsi="Palatino"/>
          <w:sz w:val="18"/>
          <w:szCs w:val="18"/>
        </w:rPr>
        <w:footnoteRef/>
      </w:r>
      <w:r w:rsidRPr="00AD3788">
        <w:rPr>
          <w:rFonts w:ascii="Palatino" w:hAnsi="Palatino"/>
          <w:sz w:val="18"/>
          <w:szCs w:val="18"/>
        </w:rPr>
        <w:t xml:space="preserve"> ICJ, Advisory Opinion of 19 July 2024, available at: </w:t>
      </w:r>
      <w:r>
        <w:fldChar w:fldCharType="begin"/>
      </w:r>
      <w:r>
        <w:instrText xml:space="preserve"> HYPERLINK "https://www.icj-cij.org/index.php/node/204160" </w:instrText>
      </w:r>
      <w:r>
        <w:fldChar w:fldCharType="separate"/>
      </w:r>
      <w:r w:rsidRPr="00AD3788">
        <w:rPr>
          <w:rStyle w:val="Hyperlink"/>
          <w:rFonts w:ascii="Palatino" w:hAnsi="Palatino"/>
          <w:sz w:val="18"/>
          <w:szCs w:val="18"/>
        </w:rPr>
        <w:t>https://www.icj-cij.org/index.php/node/204160</w:t>
      </w:r>
      <w:r>
        <w:fldChar w:fldCharType="end"/>
      </w:r>
      <w:r w:rsidRPr="00AD3788">
        <w:rPr>
          <w:rFonts w:ascii="Palatino" w:hAnsi="Palatino"/>
          <w:sz w:val="18"/>
          <w:szCs w:val="18"/>
        </w:rPr>
        <w:t>. The ICJ confirmed that the “Fourth Geneva Convention is applicable in the Occupied Palestinian Territory;” &amp; Legal Consequences of the Construction of a Wu11 in the Occupied Palestinian Territory, Advisory Opinion, I. C. J. Reports 2004, p. 136 (</w:t>
      </w:r>
      <w:r>
        <w:fldChar w:fldCharType="begin"/>
      </w:r>
      <w:r>
        <w:instrText xml:space="preserve"> HYPERLINK "https://www.icj-cij.org/case/131/advisory-opinions" </w:instrText>
      </w:r>
      <w:r>
        <w:fldChar w:fldCharType="separate"/>
      </w:r>
      <w:r w:rsidRPr="00AD3788">
        <w:rPr>
          <w:rStyle w:val="Hyperlink"/>
          <w:rFonts w:ascii="Palatino" w:hAnsi="Palatino"/>
          <w:sz w:val="18"/>
          <w:szCs w:val="18"/>
        </w:rPr>
        <w:t>https://www.icj-cij.org/case/131/advisory-opinions</w:t>
      </w:r>
      <w:r>
        <w:fldChar w:fldCharType="end"/>
      </w:r>
      <w:r w:rsidRPr="00AD3788">
        <w:rPr>
          <w:rFonts w:ascii="Palatino" w:hAnsi="Palatino"/>
          <w:sz w:val="18"/>
          <w:szCs w:val="18"/>
        </w:rPr>
        <w:t xml:space="preserve"> )</w:t>
      </w:r>
    </w:p>
    <w:p w:rsidR="00F729F2" w:rsidRPr="00AD3788" w:rsidP="00F729F2">
      <w:pPr>
        <w:pStyle w:val="FootnoteText"/>
        <w:rPr>
          <w:rFonts w:ascii="Palatino" w:hAnsi="Palatino"/>
          <w:sz w:val="18"/>
          <w:szCs w:val="18"/>
        </w:rPr>
      </w:pPr>
      <w:r w:rsidRPr="00AD3788">
        <w:rPr>
          <w:rFonts w:ascii="Palatino" w:hAnsi="Palatino"/>
          <w:sz w:val="18"/>
          <w:szCs w:val="18"/>
        </w:rPr>
        <w:t xml:space="preserve"> </w:t>
      </w:r>
    </w:p>
  </w:footnote>
  <w:footnote w:id="34">
    <w:p w:rsidR="00F729F2" w:rsidRPr="00AD3788" w:rsidP="00F729F2">
      <w:pPr>
        <w:pStyle w:val="FootnoteText"/>
        <w:rPr>
          <w:rFonts w:ascii="Palatino" w:hAnsi="Palatino"/>
          <w:sz w:val="18"/>
          <w:szCs w:val="18"/>
        </w:rPr>
      </w:pPr>
      <w:r w:rsidRPr="00AD3788">
        <w:rPr>
          <w:rStyle w:val="FootnoteReference"/>
          <w:rFonts w:ascii="Palatino" w:hAnsi="Palatino"/>
          <w:sz w:val="18"/>
          <w:szCs w:val="18"/>
        </w:rPr>
        <w:footnoteRef/>
      </w:r>
      <w:r w:rsidRPr="00AD3788">
        <w:rPr>
          <w:rFonts w:ascii="Palatino" w:hAnsi="Palatino"/>
          <w:sz w:val="18"/>
          <w:szCs w:val="18"/>
        </w:rPr>
        <w:t xml:space="preserve"> IPC Info, Famine is imminent as 1.1 million people, half of Gaza, experience catastrophic food insecurity, available at: </w:t>
      </w:r>
      <w:r>
        <w:fldChar w:fldCharType="begin"/>
      </w:r>
      <w:r>
        <w:instrText xml:space="preserve"> HYPERLINK "https://www.ipcinfo.org/ipcinfo-website/alerts-archive/issue-97/en/" </w:instrText>
      </w:r>
      <w:r>
        <w:fldChar w:fldCharType="separate"/>
      </w:r>
      <w:r w:rsidRPr="00AD3788">
        <w:rPr>
          <w:rStyle w:val="Hyperlink"/>
          <w:rFonts w:ascii="Palatino" w:hAnsi="Palatino"/>
          <w:sz w:val="18"/>
          <w:szCs w:val="18"/>
        </w:rPr>
        <w:t>https://www.ipcinfo.org/ipcinfo-website/alerts-archive/issue-97/en/</w:t>
      </w:r>
      <w:r>
        <w:fldChar w:fldCharType="end"/>
      </w:r>
      <w:r w:rsidRPr="00AD3788">
        <w:rPr>
          <w:rFonts w:ascii="Palatino" w:hAnsi="Palatino"/>
          <w:sz w:val="18"/>
          <w:szCs w:val="18"/>
        </w:rPr>
        <w:t xml:space="preserve"> </w:t>
      </w:r>
    </w:p>
  </w:footnote>
  <w:footnote w:id="35">
    <w:p w:rsidR="00F729F2" w:rsidRPr="00AD3788" w:rsidP="00F729F2">
      <w:pPr>
        <w:pStyle w:val="FootnoteText"/>
        <w:rPr>
          <w:rFonts w:ascii="Palatino" w:hAnsi="Palatino"/>
          <w:sz w:val="18"/>
          <w:szCs w:val="18"/>
        </w:rPr>
      </w:pPr>
      <w:r w:rsidRPr="00AD3788">
        <w:rPr>
          <w:rStyle w:val="FootnoteReference"/>
          <w:rFonts w:ascii="Palatino" w:hAnsi="Palatino"/>
          <w:sz w:val="18"/>
          <w:szCs w:val="18"/>
        </w:rPr>
        <w:footnoteRef/>
      </w:r>
      <w:r w:rsidRPr="00AD3788">
        <w:rPr>
          <w:rFonts w:ascii="Palatino" w:hAnsi="Palatino"/>
          <w:sz w:val="18"/>
          <w:szCs w:val="18"/>
        </w:rPr>
        <w:t xml:space="preserve">  Common Article 1 of the Geneva Conventions, available at: </w:t>
      </w:r>
      <w:r>
        <w:fldChar w:fldCharType="begin"/>
      </w:r>
      <w:r>
        <w:instrText xml:space="preserve"> HYPERLINK "https://ihl-databases.icrc.org/en/ihl-treaties/gci-1949/article-1" </w:instrText>
      </w:r>
      <w:r>
        <w:fldChar w:fldCharType="separate"/>
      </w:r>
      <w:r w:rsidRPr="00AD3788">
        <w:rPr>
          <w:rStyle w:val="Hyperlink"/>
          <w:rFonts w:ascii="Palatino" w:hAnsi="Palatino"/>
          <w:sz w:val="18"/>
          <w:szCs w:val="18"/>
        </w:rPr>
        <w:t>https://ihl-databases.icrc.org/en/ihl-treaties/gci-1949/article-1</w:t>
      </w:r>
      <w:r>
        <w:fldChar w:fldCharType="end"/>
      </w:r>
      <w:r w:rsidRPr="00AD3788">
        <w:rPr>
          <w:rFonts w:ascii="Palatino" w:hAnsi="Palatino"/>
          <w:sz w:val="18"/>
          <w:szCs w:val="18"/>
        </w:rPr>
        <w:t xml:space="preserve">. See also: Knut </w:t>
      </w:r>
      <w:r w:rsidRPr="00AD3788">
        <w:rPr>
          <w:rFonts w:ascii="Palatino" w:hAnsi="Palatino"/>
          <w:sz w:val="18"/>
          <w:szCs w:val="18"/>
        </w:rPr>
        <w:t>Do¨rmann</w:t>
      </w:r>
      <w:r w:rsidRPr="00AD3788">
        <w:rPr>
          <w:rFonts w:ascii="Palatino" w:hAnsi="Palatino"/>
          <w:sz w:val="18"/>
          <w:szCs w:val="18"/>
        </w:rPr>
        <w:t xml:space="preserve"> and Jose </w:t>
      </w:r>
      <w:r w:rsidRPr="00AD3788">
        <w:rPr>
          <w:rFonts w:ascii="Palatino" w:hAnsi="Palatino"/>
          <w:sz w:val="18"/>
          <w:szCs w:val="18"/>
        </w:rPr>
        <w:t>Serralvo</w:t>
      </w:r>
      <w:r w:rsidRPr="00AD3788">
        <w:rPr>
          <w:rFonts w:ascii="Palatino" w:hAnsi="Palatino"/>
          <w:sz w:val="18"/>
          <w:szCs w:val="18"/>
        </w:rPr>
        <w:t xml:space="preserve">, Common Article 1 to the Geneva Conventions and the obligation to prevent international humanitarian law violations, International Review of the Red Cross (2014), 96 (895/896), 707–736, available at: </w:t>
      </w:r>
      <w:r>
        <w:fldChar w:fldCharType="begin"/>
      </w:r>
      <w:r>
        <w:instrText xml:space="preserve"> HYPERLINK "https://international-review.icrc.org/sites/default/files/irrc-895_896-dormann-serralvo.pdf" </w:instrText>
      </w:r>
      <w:r>
        <w:fldChar w:fldCharType="separate"/>
      </w:r>
      <w:r w:rsidRPr="00AD3788">
        <w:rPr>
          <w:rStyle w:val="Hyperlink"/>
          <w:rFonts w:ascii="Palatino" w:hAnsi="Palatino"/>
          <w:sz w:val="18"/>
          <w:szCs w:val="18"/>
        </w:rPr>
        <w:t>https://international-review.icrc.org/sites/default/files/irrc-895_896-dormann-serralvo.pdf</w:t>
      </w:r>
      <w:r>
        <w:fldChar w:fldCharType="end"/>
      </w:r>
      <w:r w:rsidRPr="00AD3788">
        <w:rPr>
          <w:rFonts w:ascii="Palatino" w:hAnsi="Palatino"/>
          <w:sz w:val="18"/>
          <w:szCs w:val="18"/>
        </w:rPr>
        <w:t xml:space="preserve">  </w:t>
      </w:r>
    </w:p>
  </w:footnote>
  <w:footnote w:id="36">
    <w:p w:rsidR="00F729F2" w:rsidRPr="00AD3788" w:rsidP="00F729F2">
      <w:pPr>
        <w:pStyle w:val="FootnoteText"/>
        <w:rPr>
          <w:rFonts w:ascii="Palatino" w:hAnsi="Palatino" w:eastAsiaTheme="minorHAnsi"/>
          <w:sz w:val="18"/>
          <w:szCs w:val="18"/>
        </w:rPr>
      </w:pPr>
      <w:r w:rsidRPr="00AD3788">
        <w:rPr>
          <w:rStyle w:val="FootnoteReference"/>
          <w:rFonts w:ascii="Palatino" w:hAnsi="Palatino"/>
          <w:sz w:val="18"/>
          <w:szCs w:val="18"/>
        </w:rPr>
        <w:footnoteRef/>
      </w:r>
      <w:r w:rsidRPr="00AD3788">
        <w:rPr>
          <w:rFonts w:ascii="Palatino" w:hAnsi="Palatino"/>
          <w:sz w:val="18"/>
          <w:szCs w:val="18"/>
        </w:rPr>
        <w:t xml:space="preserve"> BBC, </w:t>
      </w:r>
      <w:r w:rsidRPr="00AD3788">
        <w:rPr>
          <w:rFonts w:ascii="Palatino" w:hAnsi="Palatino" w:eastAsiaTheme="minorHAnsi"/>
          <w:sz w:val="18"/>
          <w:szCs w:val="18"/>
        </w:rPr>
        <w:t>Three Britons killed in strike on Gaza aid workers named</w:t>
      </w:r>
      <w:r w:rsidRPr="00AD3788">
        <w:rPr>
          <w:rFonts w:ascii="Palatino" w:hAnsi="Palatino"/>
          <w:sz w:val="18"/>
          <w:szCs w:val="18"/>
        </w:rPr>
        <w:t xml:space="preserve">, 3 April 2024, available at: </w:t>
      </w:r>
      <w:r>
        <w:fldChar w:fldCharType="begin"/>
      </w:r>
      <w:r>
        <w:instrText xml:space="preserve"> HYPERLINK "https://www.bbc.com/news/uk-68711832" </w:instrText>
      </w:r>
      <w:r>
        <w:fldChar w:fldCharType="separate"/>
      </w:r>
      <w:r w:rsidRPr="00AD3788">
        <w:rPr>
          <w:rStyle w:val="Hyperlink"/>
          <w:rFonts w:ascii="Palatino" w:hAnsi="Palatino"/>
          <w:sz w:val="18"/>
          <w:szCs w:val="18"/>
        </w:rPr>
        <w:t>https://www.bbc.com/news/uk-68711832</w:t>
      </w:r>
      <w:r>
        <w:fldChar w:fldCharType="end"/>
      </w:r>
      <w:r w:rsidRPr="00AD3788">
        <w:rPr>
          <w:rFonts w:ascii="Palatino" w:hAnsi="Palatino"/>
          <w:sz w:val="18"/>
          <w:szCs w:val="18"/>
        </w:rPr>
        <w:t xml:space="preserve"> </w:t>
      </w:r>
    </w:p>
  </w:footnote>
  <w:footnote w:id="37">
    <w:p w:rsidR="00F729F2" w:rsidRPr="00AD3788" w:rsidP="00F729F2">
      <w:pPr>
        <w:pStyle w:val="FootnoteText"/>
        <w:rPr>
          <w:rFonts w:ascii="Palatino" w:hAnsi="Palatino"/>
          <w:sz w:val="18"/>
          <w:szCs w:val="18"/>
        </w:rPr>
      </w:pPr>
      <w:r w:rsidRPr="00AD3788">
        <w:rPr>
          <w:rStyle w:val="FootnoteReference"/>
          <w:rFonts w:ascii="Palatino" w:hAnsi="Palatino"/>
          <w:sz w:val="18"/>
          <w:szCs w:val="18"/>
        </w:rPr>
        <w:footnoteRef/>
      </w:r>
      <w:r w:rsidRPr="00AD3788">
        <w:rPr>
          <w:rFonts w:ascii="Palatino" w:hAnsi="Palatino"/>
          <w:sz w:val="18"/>
          <w:szCs w:val="18"/>
        </w:rPr>
        <w:t xml:space="preserve"> Medical Aid for Palestinians. (13</w:t>
      </w:r>
      <w:r w:rsidRPr="00AD3788">
        <w:rPr>
          <w:rFonts w:ascii="Palatino" w:hAnsi="Palatino"/>
          <w:sz w:val="18"/>
          <w:szCs w:val="18"/>
          <w:vertAlign w:val="superscript"/>
        </w:rPr>
        <w:t>th</w:t>
      </w:r>
      <w:r w:rsidRPr="00AD3788">
        <w:rPr>
          <w:rFonts w:ascii="Palatino" w:hAnsi="Palatino"/>
          <w:sz w:val="18"/>
          <w:szCs w:val="18"/>
        </w:rPr>
        <w:t xml:space="preserve"> March 2024) </w:t>
      </w:r>
      <w:r>
        <w:fldChar w:fldCharType="begin"/>
      </w:r>
      <w:r>
        <w:instrText xml:space="preserve"> HYPERLINK "https://www.map.org.uk/news/archive/post/1571-irc-and-map-additional-statement-on-airstrike-on-residential-compound-housing-emergency-medical-team" </w:instrText>
      </w:r>
      <w:r>
        <w:fldChar w:fldCharType="separate"/>
      </w:r>
      <w:r w:rsidRPr="00AD3788">
        <w:rPr>
          <w:rStyle w:val="Hyperlink"/>
          <w:rFonts w:ascii="Palatino" w:hAnsi="Palatino"/>
          <w:sz w:val="18"/>
          <w:szCs w:val="18"/>
        </w:rPr>
        <w:t>IRC and MAP additional statement on airstrike on residential compound housing Emergency Medical Team.</w:t>
      </w:r>
      <w:r>
        <w:fldChar w:fldCharType="end"/>
      </w:r>
    </w:p>
  </w:footnote>
  <w:footnote w:id="38">
    <w:p w:rsidR="0002687B" w:rsidRPr="00AD3788">
      <w:pPr>
        <w:pStyle w:val="FootnoteText"/>
        <w:rPr>
          <w:rFonts w:ascii="Palatino" w:hAnsi="Palatino"/>
          <w:sz w:val="18"/>
          <w:szCs w:val="18"/>
        </w:rPr>
      </w:pPr>
      <w:r w:rsidRPr="00AD3788">
        <w:rPr>
          <w:rStyle w:val="FootnoteReference"/>
          <w:rFonts w:ascii="Palatino" w:hAnsi="Palatino"/>
          <w:sz w:val="18"/>
          <w:szCs w:val="18"/>
        </w:rPr>
        <w:footnoteRef/>
      </w:r>
      <w:r w:rsidRPr="00AD3788">
        <w:rPr>
          <w:rFonts w:ascii="Palatino" w:hAnsi="Palatino"/>
          <w:sz w:val="18"/>
          <w:szCs w:val="18"/>
        </w:rPr>
        <w:t xml:space="preserve"> Iain Overton (4</w:t>
      </w:r>
      <w:r w:rsidRPr="00AD3788">
        <w:rPr>
          <w:rFonts w:ascii="Palatino" w:hAnsi="Palatino"/>
          <w:sz w:val="18"/>
          <w:szCs w:val="18"/>
          <w:vertAlign w:val="superscript"/>
        </w:rPr>
        <w:t>th</w:t>
      </w:r>
      <w:r w:rsidRPr="00AD3788">
        <w:rPr>
          <w:rFonts w:ascii="Palatino" w:hAnsi="Palatino"/>
          <w:sz w:val="18"/>
          <w:szCs w:val="18"/>
        </w:rPr>
        <w:t xml:space="preserve"> June 2024), </w:t>
      </w:r>
      <w:r>
        <w:fldChar w:fldCharType="begin"/>
      </w:r>
      <w:r>
        <w:instrText xml:space="preserve"> HYPERLINK "https://bylinetimes.com/2024/06/04/british-doctor-bombed-in-gaza-by-uk-made-weaponry-speaks-out-for-first-time/" </w:instrText>
      </w:r>
      <w:r>
        <w:fldChar w:fldCharType="separate"/>
      </w:r>
      <w:r w:rsidRPr="00AD3788">
        <w:rPr>
          <w:rStyle w:val="Hyperlink"/>
          <w:rFonts w:ascii="Palatino" w:hAnsi="Palatino"/>
          <w:sz w:val="18"/>
          <w:szCs w:val="18"/>
        </w:rPr>
        <w:t>British Doctor Bombed in Gaza by Israeli Planes Fitted with UK-Made Weaponry Speaks out for First Time</w:t>
      </w:r>
      <w:r>
        <w:fldChar w:fldCharType="end"/>
      </w:r>
      <w:r w:rsidRPr="00AD3788">
        <w:rPr>
          <w:rFonts w:ascii="Palatino" w:hAnsi="Palatino"/>
          <w:sz w:val="18"/>
          <w:szCs w:val="18"/>
        </w:rPr>
        <w:t xml:space="preserve">, </w:t>
      </w:r>
      <w:r w:rsidRPr="00AD3788">
        <w:rPr>
          <w:rFonts w:ascii="Palatino" w:hAnsi="Palatino"/>
          <w:sz w:val="18"/>
          <w:szCs w:val="18"/>
        </w:rPr>
        <w:t>Byline</w:t>
      </w:r>
      <w:r w:rsidRPr="00AD3788">
        <w:rPr>
          <w:rFonts w:ascii="Palatino" w:hAnsi="Palatino"/>
          <w:sz w:val="18"/>
          <w:szCs w:val="18"/>
        </w:rPr>
        <w:t xml:space="preserve"> Times</w:t>
      </w:r>
    </w:p>
  </w:footnote>
  <w:footnote w:id="39">
    <w:p w:rsidR="006B0D1A" w:rsidRPr="00AD3788" w:rsidP="006B0D1A">
      <w:pPr>
        <w:pStyle w:val="FootnoteText"/>
        <w:rPr>
          <w:rFonts w:ascii="Palatino" w:hAnsi="Palatino"/>
          <w:sz w:val="18"/>
          <w:szCs w:val="18"/>
        </w:rPr>
      </w:pPr>
      <w:r w:rsidRPr="00AD3788">
        <w:rPr>
          <w:rStyle w:val="FootnoteReference"/>
          <w:rFonts w:ascii="Palatino" w:hAnsi="Palatino"/>
          <w:sz w:val="18"/>
          <w:szCs w:val="18"/>
        </w:rPr>
        <w:footnoteRef/>
      </w:r>
      <w:r w:rsidRPr="00AD3788">
        <w:rPr>
          <w:rFonts w:ascii="Palatino" w:hAnsi="Palatino"/>
          <w:sz w:val="18"/>
          <w:szCs w:val="18"/>
        </w:rPr>
        <w:t xml:space="preserve"> International Development Committee (1</w:t>
      </w:r>
      <w:r w:rsidRPr="00AD3788">
        <w:rPr>
          <w:rFonts w:ascii="Palatino" w:hAnsi="Palatino"/>
          <w:sz w:val="18"/>
          <w:szCs w:val="18"/>
          <w:vertAlign w:val="superscript"/>
        </w:rPr>
        <w:t>st</w:t>
      </w:r>
      <w:r w:rsidRPr="00AD3788">
        <w:rPr>
          <w:rFonts w:ascii="Palatino" w:hAnsi="Palatino"/>
          <w:sz w:val="18"/>
          <w:szCs w:val="18"/>
        </w:rPr>
        <w:t xml:space="preserve"> February 2024),</w:t>
      </w:r>
      <w:r>
        <w:fldChar w:fldCharType="begin"/>
      </w:r>
      <w:r>
        <w:instrText xml:space="preserve"> HYPERLINK "https://committees.parliament.uk/publications/43807/documents/217354/default/" </w:instrText>
      </w:r>
      <w:r>
        <w:fldChar w:fldCharType="separate"/>
      </w:r>
      <w:r w:rsidRPr="00AD3788">
        <w:rPr>
          <w:rStyle w:val="Hyperlink"/>
          <w:rFonts w:ascii="Palatino" w:hAnsi="Palatino"/>
          <w:sz w:val="18"/>
          <w:szCs w:val="18"/>
        </w:rPr>
        <w:t xml:space="preserve"> Protection of humanitarian personnel in Gaza</w:t>
      </w:r>
      <w:r>
        <w:fldChar w:fldCharType="end"/>
      </w:r>
    </w:p>
  </w:footnote>
  <w:footnote w:id="40">
    <w:p w:rsidR="0002687B" w:rsidRPr="00AD3788" w:rsidP="0002687B">
      <w:pPr>
        <w:pStyle w:val="FootnoteText"/>
        <w:rPr>
          <w:rFonts w:ascii="Palatino" w:hAnsi="Palatino"/>
          <w:sz w:val="18"/>
          <w:szCs w:val="18"/>
        </w:rPr>
      </w:pPr>
      <w:r w:rsidRPr="00AD3788">
        <w:rPr>
          <w:rStyle w:val="FootnoteReference"/>
          <w:rFonts w:ascii="Palatino" w:hAnsi="Palatino"/>
          <w:sz w:val="18"/>
          <w:szCs w:val="18"/>
        </w:rPr>
        <w:footnoteRef/>
      </w:r>
      <w:r w:rsidRPr="00AD3788">
        <w:rPr>
          <w:rFonts w:ascii="Palatino" w:hAnsi="Palatino"/>
          <w:sz w:val="18"/>
          <w:szCs w:val="18"/>
        </w:rPr>
        <w:t xml:space="preserve">  Additional Protocol I, Article 71 – Personnel participating in relief actions, available at: </w:t>
      </w:r>
      <w:r>
        <w:fldChar w:fldCharType="begin"/>
      </w:r>
      <w:r>
        <w:instrText xml:space="preserve"> HYPERLINK "https://ihl-databases.icrc.org/en/ihl-treaties/api-1977/article-71" </w:instrText>
      </w:r>
      <w:r>
        <w:fldChar w:fldCharType="separate"/>
      </w:r>
      <w:r w:rsidRPr="00AD3788">
        <w:rPr>
          <w:rStyle w:val="Hyperlink"/>
          <w:rFonts w:ascii="Palatino" w:hAnsi="Palatino"/>
          <w:sz w:val="18"/>
          <w:szCs w:val="18"/>
        </w:rPr>
        <w:t>https://ihl-databases.icrc.org/en/ihl-treaties/api-1977/article-71</w:t>
      </w:r>
      <w:r>
        <w:fldChar w:fldCharType="end"/>
      </w:r>
      <w:r w:rsidRPr="00AD3788">
        <w:rPr>
          <w:rFonts w:ascii="Palatino" w:hAnsi="Palatino"/>
          <w:sz w:val="18"/>
          <w:szCs w:val="18"/>
        </w:rPr>
        <w:t xml:space="preserve"> </w:t>
      </w:r>
    </w:p>
  </w:footnote>
  <w:footnote w:id="41">
    <w:p w:rsidR="0002687B" w:rsidRPr="00AD3788" w:rsidP="0002687B">
      <w:pPr>
        <w:pStyle w:val="FootnoteText"/>
        <w:rPr>
          <w:rFonts w:ascii="Palatino" w:hAnsi="Palatino"/>
          <w:sz w:val="18"/>
          <w:szCs w:val="18"/>
        </w:rPr>
      </w:pPr>
      <w:r w:rsidRPr="00AD3788">
        <w:rPr>
          <w:rStyle w:val="FootnoteReference"/>
          <w:rFonts w:ascii="Palatino" w:hAnsi="Palatino"/>
          <w:sz w:val="18"/>
          <w:szCs w:val="18"/>
        </w:rPr>
        <w:footnoteRef/>
      </w:r>
      <w:r w:rsidRPr="00AD3788">
        <w:rPr>
          <w:rFonts w:ascii="Palatino" w:hAnsi="Palatino"/>
          <w:sz w:val="18"/>
          <w:szCs w:val="18"/>
        </w:rPr>
        <w:t xml:space="preserve"> Rome Statute, Article 8e(iii), available at: </w:t>
      </w:r>
      <w:r>
        <w:fldChar w:fldCharType="begin"/>
      </w:r>
      <w:r>
        <w:instrText xml:space="preserve"> HYPERLINK "https://www.icc-cpi.int/sites/default/files/NR/rdonlyres/ADD16852-AEE9-4757-ABE7-9CDC7CF02886/283503/RomeStatutEng1.pdf" </w:instrText>
      </w:r>
      <w:r>
        <w:fldChar w:fldCharType="separate"/>
      </w:r>
      <w:r w:rsidRPr="00AD3788">
        <w:rPr>
          <w:rStyle w:val="Hyperlink"/>
          <w:rFonts w:ascii="Palatino" w:hAnsi="Palatino"/>
          <w:sz w:val="18"/>
          <w:szCs w:val="18"/>
        </w:rPr>
        <w:t>https://www.icc-cpi.int/sites/default/files/NR/rdonlyres/ADD16852-AEE9-4757-ABE7-9CDC7CF02886/283503/RomeStatutEng1.pdf</w:t>
      </w:r>
      <w:r>
        <w:fldChar w:fldCharType="end"/>
      </w:r>
      <w:r w:rsidRPr="00AD3788">
        <w:rPr>
          <w:rFonts w:ascii="Palatino" w:hAnsi="Palatino"/>
          <w:sz w:val="18"/>
          <w:szCs w:val="18"/>
        </w:rPr>
        <w:t xml:space="preserve"> </w:t>
      </w:r>
    </w:p>
  </w:footnote>
  <w:footnote w:id="42">
    <w:p w:rsidR="003E62B5" w:rsidRPr="00AD3788" w:rsidP="003E62B5">
      <w:pPr>
        <w:pStyle w:val="FootnoteText"/>
        <w:rPr>
          <w:rFonts w:ascii="Palatino" w:hAnsi="Palatino"/>
          <w:sz w:val="18"/>
          <w:szCs w:val="18"/>
        </w:rPr>
      </w:pPr>
      <w:r w:rsidRPr="00AD3788">
        <w:rPr>
          <w:rStyle w:val="FootnoteReference"/>
          <w:rFonts w:ascii="Palatino" w:hAnsi="Palatino"/>
          <w:sz w:val="18"/>
          <w:szCs w:val="18"/>
        </w:rPr>
        <w:footnoteRef/>
      </w:r>
      <w:r w:rsidRPr="00AD3788">
        <w:rPr>
          <w:rFonts w:ascii="Palatino" w:hAnsi="Palatino"/>
          <w:sz w:val="18"/>
          <w:szCs w:val="18"/>
        </w:rPr>
        <w:t xml:space="preserve"> ICJP (15</w:t>
      </w:r>
      <w:r w:rsidRPr="00AD3788">
        <w:rPr>
          <w:rFonts w:ascii="Palatino" w:hAnsi="Palatino"/>
          <w:sz w:val="18"/>
          <w:szCs w:val="18"/>
          <w:vertAlign w:val="superscript"/>
        </w:rPr>
        <w:t>th</w:t>
      </w:r>
      <w:r w:rsidRPr="00AD3788">
        <w:rPr>
          <w:rFonts w:ascii="Palatino" w:hAnsi="Palatino"/>
          <w:sz w:val="18"/>
          <w:szCs w:val="18"/>
        </w:rPr>
        <w:t xml:space="preserve"> July 2024) </w:t>
      </w:r>
      <w:r>
        <w:fldChar w:fldCharType="begin"/>
      </w:r>
      <w:r>
        <w:instrText xml:space="preserve"> HYPERLINK "https://www.icjpalestine.com/2024/07/15/foreign-office-must-not-u-turn-the-uk-needs-to-drop-its-objection-to-icc-arrest-warrants/" </w:instrText>
      </w:r>
      <w:r>
        <w:fldChar w:fldCharType="separate"/>
      </w:r>
      <w:r w:rsidRPr="00AD3788">
        <w:rPr>
          <w:rStyle w:val="Hyperlink"/>
          <w:rFonts w:ascii="Palatino" w:hAnsi="Palatino"/>
          <w:sz w:val="18"/>
          <w:szCs w:val="18"/>
        </w:rPr>
        <w:t>Foreign Office must not U-turn: The UK needs to drop its objection to ICC arrest warrants</w:t>
      </w:r>
      <w:r>
        <w:fldChar w:fldCharType="end"/>
      </w:r>
    </w:p>
  </w:footnote>
  <w:footnote w:id="43">
    <w:p w:rsidR="003E62B5" w:rsidRPr="00AD3788" w:rsidP="003E62B5">
      <w:pPr>
        <w:pStyle w:val="FootnoteText"/>
        <w:rPr>
          <w:rFonts w:ascii="Palatino" w:hAnsi="Palatino"/>
          <w:sz w:val="18"/>
          <w:szCs w:val="18"/>
        </w:rPr>
      </w:pPr>
      <w:r w:rsidRPr="00AD3788">
        <w:rPr>
          <w:rStyle w:val="FootnoteReference"/>
          <w:rFonts w:ascii="Palatino" w:hAnsi="Palatino"/>
          <w:sz w:val="18"/>
          <w:szCs w:val="18"/>
        </w:rPr>
        <w:footnoteRef/>
      </w:r>
      <w:r w:rsidRPr="00AD3788">
        <w:rPr>
          <w:rFonts w:ascii="Palatino" w:hAnsi="Palatino"/>
          <w:sz w:val="18"/>
          <w:szCs w:val="18"/>
        </w:rPr>
        <w:t xml:space="preserve"> International Development Committee. </w:t>
      </w:r>
      <w:r>
        <w:fldChar w:fldCharType="begin"/>
      </w:r>
      <w:r>
        <w:instrText xml:space="preserve"> HYPERLINK "https://committees.parliament.uk/publications/46289/documents/232730/default/" </w:instrText>
      </w:r>
      <w:r>
        <w:fldChar w:fldCharType="separate"/>
      </w:r>
      <w:r w:rsidRPr="00AD3788">
        <w:rPr>
          <w:rStyle w:val="Hyperlink"/>
          <w:rFonts w:ascii="Palatino" w:hAnsi="Palatino"/>
          <w:sz w:val="18"/>
          <w:szCs w:val="18"/>
        </w:rPr>
        <w:t>Israel and the Occupied Palestinian Territory</w:t>
      </w:r>
      <w:r>
        <w:fldChar w:fldCharType="end"/>
      </w:r>
      <w:r w:rsidRPr="00AD3788">
        <w:rPr>
          <w:rFonts w:ascii="Palatino" w:hAnsi="Palatino"/>
          <w:sz w:val="18"/>
          <w:szCs w:val="18"/>
        </w:rPr>
        <w:t>. Second Report of Session 2024-25. HC373.</w:t>
      </w:r>
    </w:p>
  </w:footnote>
  <w:footnote w:id="44">
    <w:p w:rsidR="003E62B5" w:rsidRPr="00AD3788" w:rsidP="003E62B5">
      <w:pPr>
        <w:rPr>
          <w:rFonts w:ascii="Palatino" w:hAnsi="Palatino" w:cs="Segoe UI"/>
          <w:color w:val="000000"/>
          <w:sz w:val="18"/>
          <w:szCs w:val="18"/>
        </w:rPr>
      </w:pPr>
      <w:r w:rsidRPr="00AD3788">
        <w:rPr>
          <w:rStyle w:val="FootnoteReference"/>
          <w:rFonts w:ascii="Palatino" w:hAnsi="Palatino"/>
          <w:sz w:val="18"/>
          <w:szCs w:val="18"/>
        </w:rPr>
        <w:footnoteRef/>
      </w:r>
      <w:r w:rsidRPr="00AD3788">
        <w:rPr>
          <w:rFonts w:ascii="Palatino" w:hAnsi="Palatino"/>
          <w:sz w:val="18"/>
          <w:szCs w:val="18"/>
        </w:rPr>
        <w:t xml:space="preserve"> </w:t>
      </w:r>
      <w:r w:rsidRPr="00AD3788">
        <w:rPr>
          <w:rFonts w:ascii="Palatino" w:hAnsi="Palatino" w:cs="Segoe UI"/>
          <w:color w:val="000000"/>
          <w:sz w:val="18"/>
          <w:szCs w:val="18"/>
        </w:rPr>
        <w:t>UN General Assembly,</w:t>
      </w:r>
      <w:r w:rsidRPr="00AD3788">
        <w:rPr>
          <w:rStyle w:val="apple-converted-space"/>
          <w:rFonts w:ascii="Palatino" w:hAnsi="Palatino" w:eastAsiaTheme="majorEastAsia" w:cs="Segoe UI"/>
          <w:color w:val="000000"/>
          <w:sz w:val="18"/>
          <w:szCs w:val="18"/>
        </w:rPr>
        <w:t> </w:t>
      </w:r>
      <w:r>
        <w:fldChar w:fldCharType="begin"/>
      </w:r>
      <w:r>
        <w:instrText xml:space="preserve"> HYPERLINK "https://www.refworld.org/legal/agreements/unga/1948/en/13495" </w:instrText>
      </w:r>
      <w:r>
        <w:fldChar w:fldCharType="separate"/>
      </w:r>
      <w:r w:rsidRPr="00AD3788">
        <w:rPr>
          <w:rStyle w:val="Hyperlink"/>
          <w:rFonts w:ascii="Palatino" w:hAnsi="Palatino" w:cs="Segoe UI"/>
          <w:i/>
          <w:iCs/>
          <w:sz w:val="18"/>
          <w:szCs w:val="18"/>
        </w:rPr>
        <w:t>Convention on the Prevention and Punishment of the Crime of Genocide</w:t>
      </w:r>
      <w:r>
        <w:fldChar w:fldCharType="end"/>
      </w:r>
      <w:r w:rsidRPr="00AD3788">
        <w:rPr>
          <w:rFonts w:ascii="Palatino" w:hAnsi="Palatino" w:cs="Segoe UI"/>
          <w:color w:val="000000"/>
          <w:sz w:val="18"/>
          <w:szCs w:val="18"/>
        </w:rPr>
        <w:t xml:space="preserve">, United Nations, Treaty Series, vol. 78, p. 277, 9 December 1948, </w:t>
      </w:r>
    </w:p>
  </w:footnote>
  <w:footnote w:id="45">
    <w:p w:rsidR="003135D4" w:rsidRPr="00AD3788" w:rsidP="003135D4">
      <w:pPr>
        <w:pStyle w:val="FootnoteText"/>
        <w:rPr>
          <w:rFonts w:ascii="Palatino" w:hAnsi="Palatino"/>
          <w:sz w:val="18"/>
          <w:szCs w:val="18"/>
        </w:rPr>
      </w:pPr>
      <w:r w:rsidRPr="00AD3788">
        <w:rPr>
          <w:rStyle w:val="FootnoteReference"/>
          <w:rFonts w:ascii="Palatino" w:hAnsi="Palatino"/>
          <w:sz w:val="18"/>
          <w:szCs w:val="18"/>
        </w:rPr>
        <w:footnoteRef/>
      </w:r>
      <w:r w:rsidRPr="00AD3788">
        <w:rPr>
          <w:rFonts w:ascii="Palatino" w:hAnsi="Palatino"/>
          <w:sz w:val="18"/>
          <w:szCs w:val="18"/>
        </w:rPr>
        <w:t xml:space="preserve"> UK. (12</w:t>
      </w:r>
      <w:r w:rsidRPr="00AD3788">
        <w:rPr>
          <w:rFonts w:ascii="Palatino" w:hAnsi="Palatino"/>
          <w:sz w:val="18"/>
          <w:szCs w:val="18"/>
          <w:vertAlign w:val="superscript"/>
        </w:rPr>
        <w:t>th</w:t>
      </w:r>
      <w:r w:rsidRPr="00AD3788">
        <w:rPr>
          <w:rFonts w:ascii="Palatino" w:hAnsi="Palatino"/>
          <w:sz w:val="18"/>
          <w:szCs w:val="18"/>
        </w:rPr>
        <w:t xml:space="preserve"> February 2024). ’</w:t>
      </w:r>
      <w:r>
        <w:fldChar w:fldCharType="begin"/>
      </w:r>
      <w:r>
        <w:instrText xml:space="preserve"> HYPERLINK "https://www.gov.uk/government/news/uk-sanctions-extremist-settlers-in-the-west-bank" </w:instrText>
      </w:r>
      <w:r>
        <w:fldChar w:fldCharType="separate"/>
      </w:r>
      <w:r w:rsidRPr="00AD3788">
        <w:rPr>
          <w:rStyle w:val="Hyperlink"/>
          <w:rFonts w:ascii="Palatino" w:hAnsi="Palatino"/>
          <w:sz w:val="18"/>
          <w:szCs w:val="18"/>
        </w:rPr>
        <w:t>UK sanctions extremist settlers in the West Bank’</w:t>
      </w:r>
      <w:r>
        <w:fldChar w:fldCharType="end"/>
      </w:r>
      <w:r w:rsidRPr="00AD3788">
        <w:rPr>
          <w:rFonts w:ascii="Palatino" w:hAnsi="Palatino"/>
          <w:sz w:val="18"/>
          <w:szCs w:val="18"/>
        </w:rPr>
        <w:t>.</w:t>
      </w:r>
    </w:p>
  </w:footnote>
  <w:footnote w:id="46">
    <w:p w:rsidR="003135D4" w:rsidRPr="00AD3788" w:rsidP="003135D4">
      <w:pPr>
        <w:pStyle w:val="FootnoteText"/>
        <w:rPr>
          <w:rStyle w:val="Hyperlink"/>
          <w:rFonts w:ascii="Palatino" w:hAnsi="Palatino"/>
          <w:sz w:val="18"/>
          <w:szCs w:val="18"/>
        </w:rPr>
      </w:pPr>
      <w:r w:rsidRPr="00AD3788">
        <w:rPr>
          <w:rStyle w:val="FootnoteReference"/>
          <w:rFonts w:ascii="Palatino" w:hAnsi="Palatino"/>
          <w:sz w:val="18"/>
          <w:szCs w:val="18"/>
        </w:rPr>
        <w:footnoteRef/>
      </w:r>
      <w:r w:rsidRPr="00AD3788">
        <w:rPr>
          <w:rFonts w:ascii="Palatino" w:hAnsi="Palatino"/>
          <w:sz w:val="18"/>
          <w:szCs w:val="18"/>
        </w:rPr>
        <w:t xml:space="preserve"> Times of Israel. (11</w:t>
      </w:r>
      <w:r w:rsidRPr="00AD3788">
        <w:rPr>
          <w:rFonts w:ascii="Palatino" w:hAnsi="Palatino"/>
          <w:sz w:val="18"/>
          <w:szCs w:val="18"/>
          <w:vertAlign w:val="superscript"/>
        </w:rPr>
        <w:t xml:space="preserve">th </w:t>
      </w:r>
      <w:r w:rsidRPr="00AD3788">
        <w:rPr>
          <w:rFonts w:ascii="Palatino" w:hAnsi="Palatino"/>
          <w:sz w:val="18"/>
          <w:szCs w:val="18"/>
        </w:rPr>
        <w:t xml:space="preserve">March 2024). JS. </w:t>
      </w:r>
      <w:r>
        <w:fldChar w:fldCharType="begin"/>
      </w:r>
      <w:r>
        <w:instrText xml:space="preserve"> HYPERLINK "https://www.timesofisrael.com/right-wing-activists-block-humanitarian-aid-headed-to-gaza-for-three-hours/" </w:instrText>
      </w:r>
      <w:r>
        <w:fldChar w:fldCharType="separate"/>
      </w:r>
      <w:r w:rsidRPr="00AD3788">
        <w:rPr>
          <w:rFonts w:ascii="Palatino" w:hAnsi="Palatino"/>
          <w:sz w:val="18"/>
          <w:szCs w:val="18"/>
        </w:rPr>
        <w:t>‘</w:t>
      </w:r>
      <w:r w:rsidRPr="00AD3788">
        <w:rPr>
          <w:rStyle w:val="Hyperlink"/>
          <w:rFonts w:ascii="Palatino" w:hAnsi="Palatino"/>
          <w:sz w:val="18"/>
          <w:szCs w:val="18"/>
        </w:rPr>
        <w:t>Right-wing activists block humanitarian aid headed to Gaza for three hours’</w:t>
      </w:r>
      <w:r>
        <w:fldChar w:fldCharType="end"/>
      </w:r>
      <w:r w:rsidRPr="00AD3788">
        <w:rPr>
          <w:rFonts w:ascii="Palatino" w:hAnsi="Palatino"/>
          <w:sz w:val="18"/>
          <w:szCs w:val="18"/>
        </w:rPr>
        <w:t>.</w:t>
      </w:r>
    </w:p>
    <w:p w:rsidR="003135D4" w:rsidRPr="00AD3788" w:rsidP="003135D4">
      <w:pPr>
        <w:pStyle w:val="FootnoteText"/>
        <w:rPr>
          <w:rFonts w:ascii="Palatino" w:hAnsi="Palatino"/>
          <w:sz w:val="18"/>
          <w:szCs w:val="18"/>
        </w:rPr>
      </w:pPr>
      <w:r w:rsidRPr="00AD3788">
        <w:rPr>
          <w:rFonts w:ascii="Palatino" w:hAnsi="Palatino"/>
          <w:sz w:val="18"/>
          <w:szCs w:val="18"/>
        </w:rPr>
        <w:t>The New Arab. (27</w:t>
      </w:r>
      <w:r w:rsidRPr="00AD3788">
        <w:rPr>
          <w:rFonts w:ascii="Palatino" w:hAnsi="Palatino"/>
          <w:sz w:val="18"/>
          <w:szCs w:val="18"/>
          <w:vertAlign w:val="superscript"/>
        </w:rPr>
        <w:t>th</w:t>
      </w:r>
      <w:r w:rsidRPr="00AD3788">
        <w:rPr>
          <w:rFonts w:ascii="Palatino" w:hAnsi="Palatino"/>
          <w:sz w:val="18"/>
          <w:szCs w:val="18"/>
        </w:rPr>
        <w:t xml:space="preserve"> January 2024). </w:t>
      </w:r>
      <w:r>
        <w:fldChar w:fldCharType="begin"/>
      </w:r>
      <w:r>
        <w:instrText xml:space="preserve"> HYPERLINK "https://www.newarab.com/news/tzav-9-who-are-israeli-extremists-blocking-aid-gaza" </w:instrText>
      </w:r>
      <w:r>
        <w:fldChar w:fldCharType="separate"/>
      </w:r>
      <w:r w:rsidRPr="00AD3788">
        <w:rPr>
          <w:rStyle w:val="Hyperlink"/>
          <w:rFonts w:ascii="Palatino" w:hAnsi="Palatino"/>
          <w:sz w:val="18"/>
          <w:szCs w:val="18"/>
        </w:rPr>
        <w:t>‘Tzav 9 Movement: Who are the Israeli extremists blocking aid to Gaza?’</w:t>
      </w:r>
      <w:r>
        <w:fldChar w:fldCharType="end"/>
      </w:r>
    </w:p>
    <w:p w:rsidR="003135D4" w:rsidRPr="00AD3788" w:rsidP="003135D4">
      <w:pPr>
        <w:pStyle w:val="FootnoteText"/>
        <w:rPr>
          <w:rFonts w:ascii="Palatino" w:hAnsi="Palatino"/>
          <w:sz w:val="18"/>
          <w:szCs w:val="18"/>
        </w:rPr>
      </w:pPr>
      <w:r w:rsidRPr="00AD3788">
        <w:rPr>
          <w:rFonts w:ascii="Palatino" w:hAnsi="Palatino"/>
          <w:sz w:val="18"/>
          <w:szCs w:val="18"/>
        </w:rPr>
        <w:t>BBC. (14</w:t>
      </w:r>
      <w:r w:rsidRPr="00AD3788">
        <w:rPr>
          <w:rFonts w:ascii="Palatino" w:hAnsi="Palatino"/>
          <w:sz w:val="18"/>
          <w:szCs w:val="18"/>
          <w:vertAlign w:val="superscript"/>
        </w:rPr>
        <w:t xml:space="preserve">th </w:t>
      </w:r>
      <w:r w:rsidRPr="00AD3788">
        <w:rPr>
          <w:rFonts w:ascii="Palatino" w:hAnsi="Palatino"/>
          <w:sz w:val="18"/>
          <w:szCs w:val="18"/>
        </w:rPr>
        <w:t xml:space="preserve">May 2024). </w:t>
      </w:r>
      <w:r>
        <w:fldChar w:fldCharType="begin"/>
      </w:r>
      <w:r>
        <w:instrText xml:space="preserve"> HYPERLINK "https://www.bbc.co.uk/news/articles/cg300jek94zo" </w:instrText>
      </w:r>
      <w:r>
        <w:fldChar w:fldCharType="separate"/>
      </w:r>
      <w:r w:rsidRPr="00AD3788">
        <w:rPr>
          <w:rStyle w:val="Hyperlink"/>
          <w:rFonts w:ascii="Palatino" w:hAnsi="Palatino"/>
          <w:sz w:val="18"/>
          <w:szCs w:val="18"/>
        </w:rPr>
        <w:t>‘Israeli protesters block aid trucks destined for Gaza’</w:t>
      </w:r>
      <w:r>
        <w:fldChar w:fldCharType="end"/>
      </w:r>
    </w:p>
  </w:footnote>
  <w:footnote w:id="47">
    <w:p w:rsidR="003135D4" w:rsidRPr="00AD3788" w:rsidP="003135D4">
      <w:pPr>
        <w:pStyle w:val="FootnoteText"/>
        <w:rPr>
          <w:rFonts w:ascii="Palatino" w:hAnsi="Palatino"/>
          <w:sz w:val="18"/>
          <w:szCs w:val="18"/>
        </w:rPr>
      </w:pPr>
      <w:r w:rsidRPr="00AD3788">
        <w:rPr>
          <w:rStyle w:val="FootnoteReference"/>
          <w:rFonts w:ascii="Palatino" w:hAnsi="Palatino"/>
          <w:sz w:val="18"/>
          <w:szCs w:val="18"/>
        </w:rPr>
        <w:footnoteRef/>
      </w:r>
      <w:r w:rsidRPr="00AD3788">
        <w:rPr>
          <w:rFonts w:ascii="Palatino" w:hAnsi="Palatino"/>
          <w:sz w:val="18"/>
          <w:szCs w:val="18"/>
        </w:rPr>
        <w:t xml:space="preserve"> The Guardian. (16</w:t>
      </w:r>
      <w:r w:rsidRPr="00AD3788">
        <w:rPr>
          <w:rFonts w:ascii="Palatino" w:hAnsi="Palatino"/>
          <w:sz w:val="18"/>
          <w:szCs w:val="18"/>
          <w:vertAlign w:val="superscript"/>
        </w:rPr>
        <w:t>th</w:t>
      </w:r>
      <w:r w:rsidRPr="00AD3788">
        <w:rPr>
          <w:rFonts w:ascii="Palatino" w:hAnsi="Palatino"/>
          <w:sz w:val="18"/>
          <w:szCs w:val="18"/>
        </w:rPr>
        <w:t xml:space="preserve"> May 2024). </w:t>
      </w:r>
      <w:r>
        <w:fldChar w:fldCharType="begin"/>
      </w:r>
      <w:r>
        <w:instrText xml:space="preserve"> HYPERLINK "https://www.theguardian.com/world/article/2024/may/16/palestinian-lorry-drivers-israeli-settlers-attack-gaza-aid-convoy" </w:instrText>
      </w:r>
      <w:r>
        <w:fldChar w:fldCharType="separate"/>
      </w:r>
      <w:r w:rsidRPr="00AD3788">
        <w:rPr>
          <w:rStyle w:val="Hyperlink"/>
          <w:rFonts w:ascii="Palatino" w:hAnsi="Palatino"/>
          <w:sz w:val="18"/>
          <w:szCs w:val="18"/>
        </w:rPr>
        <w:t>‘‘Barbaric’: Palestinian lorry drivers recount settlers’ attack on Gaza aid convoy’</w:t>
      </w:r>
      <w:r>
        <w:fldChar w:fldCharType="end"/>
      </w:r>
    </w:p>
  </w:footnote>
  <w:footnote w:id="48">
    <w:p w:rsidR="003135D4" w:rsidRPr="00AD3788" w:rsidP="003135D4">
      <w:pPr>
        <w:pStyle w:val="FootnoteText"/>
        <w:rPr>
          <w:rFonts w:ascii="Palatino" w:hAnsi="Palatino"/>
          <w:sz w:val="18"/>
          <w:szCs w:val="18"/>
        </w:rPr>
      </w:pPr>
      <w:r w:rsidRPr="00AD3788">
        <w:rPr>
          <w:rStyle w:val="FootnoteReference"/>
          <w:rFonts w:ascii="Palatino" w:hAnsi="Palatino"/>
          <w:sz w:val="18"/>
          <w:szCs w:val="18"/>
        </w:rPr>
        <w:footnoteRef/>
      </w:r>
      <w:r w:rsidRPr="00AD3788">
        <w:rPr>
          <w:rFonts w:ascii="Palatino" w:hAnsi="Palatino"/>
          <w:sz w:val="18"/>
          <w:szCs w:val="18"/>
        </w:rPr>
        <w:t xml:space="preserve"> The Guardian. (21</w:t>
      </w:r>
      <w:r w:rsidRPr="00AD3788">
        <w:rPr>
          <w:rFonts w:ascii="Palatino" w:hAnsi="Palatino"/>
          <w:sz w:val="18"/>
          <w:szCs w:val="18"/>
          <w:vertAlign w:val="superscript"/>
        </w:rPr>
        <w:t>st</w:t>
      </w:r>
      <w:r w:rsidRPr="00AD3788">
        <w:rPr>
          <w:rFonts w:ascii="Palatino" w:hAnsi="Palatino"/>
          <w:sz w:val="18"/>
          <w:szCs w:val="18"/>
        </w:rPr>
        <w:t xml:space="preserve"> May 2024). </w:t>
      </w:r>
      <w:r>
        <w:fldChar w:fldCharType="begin"/>
      </w:r>
      <w:r>
        <w:instrText xml:space="preserve"> HYPERLINK "https://www.theguardian.com/world/article/2024/may/21/israeli-soldiers-and-police-tipping-off-groups-that-attack-gaza-aid-trucks" \l ":~:text=Individual%20members%20of%20Israel's%20security,convoys%2C%20according%20to%20multiple%20sources" </w:instrText>
      </w:r>
      <w:r>
        <w:fldChar w:fldCharType="separate"/>
      </w:r>
      <w:r w:rsidRPr="00AD3788">
        <w:rPr>
          <w:rStyle w:val="Hyperlink"/>
          <w:rFonts w:ascii="Palatino" w:hAnsi="Palatino"/>
          <w:sz w:val="18"/>
          <w:szCs w:val="18"/>
        </w:rPr>
        <w:t>‘Israeli soldiers and police tipping off groups that attack Gaza aid trucks’</w:t>
      </w:r>
      <w:r>
        <w:fldChar w:fldCharType="end"/>
      </w:r>
      <w:r w:rsidRPr="00AD3788">
        <w:rPr>
          <w:rFonts w:ascii="Palatino" w:hAnsi="Palatino"/>
          <w:sz w:val="18"/>
          <w:szCs w:val="18"/>
        </w:rPr>
        <w:t>.</w:t>
      </w:r>
    </w:p>
  </w:footnote>
  <w:footnote w:id="49">
    <w:p w:rsidR="003135D4" w:rsidRPr="00AD3788" w:rsidP="003135D4">
      <w:pPr>
        <w:pStyle w:val="FootnoteText"/>
        <w:rPr>
          <w:rFonts w:ascii="Palatino" w:hAnsi="Palatino"/>
          <w:sz w:val="18"/>
          <w:szCs w:val="18"/>
        </w:rPr>
      </w:pPr>
      <w:r w:rsidRPr="00AD3788">
        <w:rPr>
          <w:rStyle w:val="FootnoteReference"/>
          <w:rFonts w:ascii="Palatino" w:hAnsi="Palatino"/>
          <w:sz w:val="18"/>
          <w:szCs w:val="18"/>
        </w:rPr>
        <w:footnoteRef/>
      </w:r>
      <w:r w:rsidRPr="00AD3788">
        <w:rPr>
          <w:rFonts w:ascii="Palatino" w:hAnsi="Palatino"/>
          <w:sz w:val="18"/>
          <w:szCs w:val="18"/>
        </w:rPr>
        <w:t xml:space="preserve"> ICJP</w:t>
      </w:r>
    </w:p>
  </w:footnote>
  <w:footnote w:id="50">
    <w:p w:rsidR="003135D4" w:rsidRPr="00AD3788" w:rsidP="003135D4">
      <w:pPr>
        <w:pStyle w:val="FootnoteText"/>
        <w:rPr>
          <w:rFonts w:ascii="Palatino" w:hAnsi="Palatino"/>
          <w:sz w:val="18"/>
          <w:szCs w:val="18"/>
        </w:rPr>
      </w:pPr>
      <w:r w:rsidRPr="00AD3788">
        <w:rPr>
          <w:rStyle w:val="FootnoteReference"/>
          <w:rFonts w:ascii="Palatino" w:hAnsi="Palatino"/>
          <w:sz w:val="18"/>
          <w:szCs w:val="18"/>
        </w:rPr>
        <w:footnoteRef/>
      </w:r>
      <w:r w:rsidRPr="00AD3788">
        <w:rPr>
          <w:rFonts w:ascii="Palatino" w:hAnsi="Palatino"/>
          <w:sz w:val="18"/>
          <w:szCs w:val="18"/>
        </w:rPr>
        <w:t xml:space="preserve"> United Nations. (12</w:t>
      </w:r>
      <w:r w:rsidRPr="00AD3788">
        <w:rPr>
          <w:rFonts w:ascii="Palatino" w:hAnsi="Palatino"/>
          <w:sz w:val="18"/>
          <w:szCs w:val="18"/>
          <w:vertAlign w:val="superscript"/>
        </w:rPr>
        <w:t>th</w:t>
      </w:r>
      <w:r w:rsidRPr="00AD3788">
        <w:rPr>
          <w:rFonts w:ascii="Palatino" w:hAnsi="Palatino"/>
          <w:sz w:val="18"/>
          <w:szCs w:val="18"/>
        </w:rPr>
        <w:t xml:space="preserve"> August 1949). Geneva Convention Relative to the Protection of Civilians in the Time of War. </w:t>
      </w:r>
      <w:r>
        <w:fldChar w:fldCharType="begin"/>
      </w:r>
      <w:r>
        <w:instrText xml:space="preserve"> HYPERLINK "https://ihl-databases.icrc.org/en/ihl-treaties/gciv-1949/article-61" </w:instrText>
      </w:r>
      <w:r>
        <w:fldChar w:fldCharType="separate"/>
      </w:r>
      <w:r w:rsidRPr="00AD3788">
        <w:rPr>
          <w:rStyle w:val="Hyperlink"/>
          <w:rFonts w:ascii="Palatino" w:hAnsi="Palatino"/>
          <w:sz w:val="18"/>
          <w:szCs w:val="18"/>
        </w:rPr>
        <w:t>{Article 61}.</w:t>
      </w:r>
      <w:r>
        <w:fldChar w:fldCharType="end"/>
      </w:r>
    </w:p>
  </w:footnote>
  <w:footnote w:id="51">
    <w:p w:rsidR="003135D4" w:rsidRPr="009576F9" w:rsidP="003135D4">
      <w:pPr>
        <w:pStyle w:val="FootnoteText"/>
        <w:rPr>
          <w:rFonts w:ascii="Aptos" w:hAnsi="Aptos"/>
          <w:sz w:val="18"/>
          <w:szCs w:val="18"/>
        </w:rPr>
      </w:pPr>
      <w:r w:rsidRPr="00AD3788">
        <w:rPr>
          <w:rStyle w:val="FootnoteReference"/>
          <w:rFonts w:ascii="Palatino" w:hAnsi="Palatino"/>
          <w:sz w:val="18"/>
          <w:szCs w:val="18"/>
        </w:rPr>
        <w:footnoteRef/>
      </w:r>
      <w:r w:rsidRPr="00AD3788">
        <w:rPr>
          <w:rFonts w:ascii="Palatino" w:hAnsi="Palatino"/>
          <w:sz w:val="18"/>
          <w:szCs w:val="18"/>
        </w:rPr>
        <w:t xml:space="preserve"> United Nations (8</w:t>
      </w:r>
      <w:r w:rsidRPr="00AD3788">
        <w:rPr>
          <w:rFonts w:ascii="Palatino" w:hAnsi="Palatino"/>
          <w:sz w:val="18"/>
          <w:szCs w:val="18"/>
          <w:vertAlign w:val="superscript"/>
        </w:rPr>
        <w:t>th</w:t>
      </w:r>
      <w:r w:rsidRPr="00AD3788">
        <w:rPr>
          <w:rFonts w:ascii="Palatino" w:hAnsi="Palatino"/>
          <w:sz w:val="18"/>
          <w:szCs w:val="18"/>
        </w:rPr>
        <w:t xml:space="preserve"> June 1977). Protocol Additional to the Geneva Conventions of 12 August 1949. </w:t>
      </w:r>
      <w:r>
        <w:fldChar w:fldCharType="begin"/>
      </w:r>
      <w:r>
        <w:instrText xml:space="preserve"> HYPERLINK "https://ihl-databases.icrc.org/en/ihl-treaties/apii-1977/article-18/commentary/1987" \l ":~:text=4875%20Article%2018%2C%20paragraph%202,or%20sick%20of%20whatever%20nationality.%22" </w:instrText>
      </w:r>
      <w:r>
        <w:fldChar w:fldCharType="separate"/>
      </w:r>
      <w:r w:rsidRPr="00AD3788">
        <w:rPr>
          <w:rStyle w:val="Hyperlink"/>
          <w:rFonts w:ascii="Palatino" w:hAnsi="Palatino"/>
          <w:sz w:val="18"/>
          <w:szCs w:val="18"/>
        </w:rPr>
        <w:t>{Article 18}</w:t>
      </w:r>
      <w:r w:rsidRPr="00AD3788">
        <w:rPr>
          <w:rFonts w:ascii="Palatino" w:hAnsi="Palatino"/>
          <w:sz w:val="18"/>
          <w:szCs w:val="18"/>
        </w:rPr>
        <w:t>.</w:t>
      </w:r>
      <w:r>
        <w:fldChar w:fldCharType="end"/>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C431C0E"/>
    <w:multiLevelType w:val="hybridMultilevel"/>
    <w:tmpl w:val="6486DBB0"/>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9B950C2"/>
    <w:multiLevelType w:val="hybridMultilevel"/>
    <w:tmpl w:val="6486DBB0"/>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4B2B05BA"/>
    <w:multiLevelType w:val="hybridMultilevel"/>
    <w:tmpl w:val="6486DBB0"/>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4F604F70"/>
    <w:multiLevelType w:val="hybridMultilevel"/>
    <w:tmpl w:val="6486DBB0"/>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53F0587B"/>
    <w:multiLevelType w:val="hybridMultilevel"/>
    <w:tmpl w:val="6486DBB0"/>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7E3176D1"/>
    <w:multiLevelType w:val="hybridMultilevel"/>
    <w:tmpl w:val="3A58CCF2"/>
    <w:lvl w:ilvl="0">
      <w:start w:val="1"/>
      <w:numFmt w:val="decimal"/>
      <w:lvlText w:val="%1."/>
      <w:lvlJc w:val="left"/>
      <w:pPr>
        <w:ind w:left="720" w:hanging="360"/>
      </w:pPr>
      <w:rPr>
        <w:rFonts w:ascii="Calibri" w:hAnsi="Calibri" w:cs="Calibri" w:hint="default"/>
        <w:color w:val="000000"/>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4"/>
  </w:num>
  <w:num w:numId="3">
    <w:abstractNumId w:val="1"/>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2"/>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10BDE"/>
    <w:rPr>
      <w:rFonts w:ascii="Times New Roman" w:eastAsia="Times New Roman" w:hAnsi="Times New Roman" w:cs="Times New Roman"/>
      <w:kern w:val="0"/>
      <w:lang w:eastAsia="en-GB"/>
    </w:rPr>
  </w:style>
  <w:style w:type="paragraph" w:styleId="Heading1">
    <w:name w:val="heading 1"/>
    <w:basedOn w:val="Normal"/>
    <w:next w:val="Normal"/>
    <w:link w:val="Heading1Char"/>
    <w:uiPriority w:val="9"/>
    <w:qFormat/>
    <w:rsid w:val="00CE0D7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5A04AF"/>
    <w:pPr>
      <w:keepNext/>
      <w:keepLines/>
      <w:spacing w:before="160" w:after="80"/>
      <w:outlineLvl w:val="2"/>
    </w:pPr>
    <w:rPr>
      <w:rFonts w:eastAsiaTheme="majorEastAsia" w:cstheme="majorBidi"/>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10BDE"/>
    <w:rPr>
      <w:color w:val="467886"/>
      <w:u w:val="single"/>
    </w:rPr>
  </w:style>
  <w:style w:type="paragraph" w:styleId="ListParagraph">
    <w:name w:val="List Paragraph"/>
    <w:basedOn w:val="Normal"/>
    <w:uiPriority w:val="34"/>
    <w:qFormat/>
    <w:rsid w:val="00E10BDE"/>
    <w:pPr>
      <w:ind w:left="720"/>
      <w:contextualSpacing/>
    </w:pPr>
  </w:style>
  <w:style w:type="paragraph" w:styleId="FootnoteText">
    <w:name w:val="footnote text"/>
    <w:basedOn w:val="Normal"/>
    <w:link w:val="FootnoteTextChar"/>
    <w:uiPriority w:val="99"/>
    <w:unhideWhenUsed/>
    <w:rsid w:val="00E10BDE"/>
    <w:rPr>
      <w:sz w:val="20"/>
      <w:szCs w:val="20"/>
    </w:rPr>
  </w:style>
  <w:style w:type="character" w:customStyle="1" w:styleId="FootnoteTextChar">
    <w:name w:val="Footnote Text Char"/>
    <w:basedOn w:val="DefaultParagraphFont"/>
    <w:link w:val="FootnoteText"/>
    <w:uiPriority w:val="99"/>
    <w:rsid w:val="00E10BDE"/>
    <w:rPr>
      <w:rFonts w:ascii="Times New Roman" w:eastAsia="Times New Roman" w:hAnsi="Times New Roman" w:cs="Times New Roman"/>
      <w:kern w:val="0"/>
      <w:sz w:val="20"/>
      <w:szCs w:val="20"/>
      <w:lang w:eastAsia="en-GB"/>
    </w:rPr>
  </w:style>
  <w:style w:type="character" w:styleId="FootnoteReference">
    <w:name w:val="footnote reference"/>
    <w:aliases w:val="4_G"/>
    <w:basedOn w:val="DefaultParagraphFont"/>
    <w:unhideWhenUsed/>
    <w:qFormat/>
    <w:rsid w:val="00E10BDE"/>
    <w:rPr>
      <w:vertAlign w:val="superscript"/>
    </w:rPr>
  </w:style>
  <w:style w:type="character" w:customStyle="1" w:styleId="normaltextrun">
    <w:name w:val="normaltextrun"/>
    <w:basedOn w:val="DefaultParagraphFont"/>
    <w:rsid w:val="00E10BDE"/>
  </w:style>
  <w:style w:type="character" w:customStyle="1" w:styleId="UnresolvedMention">
    <w:name w:val="Unresolved Mention"/>
    <w:basedOn w:val="DefaultParagraphFont"/>
    <w:uiPriority w:val="99"/>
    <w:semiHidden/>
    <w:unhideWhenUsed/>
    <w:rsid w:val="00E10BDE"/>
    <w:rPr>
      <w:color w:val="605E5C"/>
      <w:shd w:val="clear" w:color="auto" w:fill="E1DFDD"/>
    </w:rPr>
  </w:style>
  <w:style w:type="character" w:customStyle="1" w:styleId="Heading3Char">
    <w:name w:val="Heading 3 Char"/>
    <w:basedOn w:val="DefaultParagraphFont"/>
    <w:link w:val="Heading3"/>
    <w:uiPriority w:val="9"/>
    <w:rsid w:val="005A04AF"/>
    <w:rPr>
      <w:rFonts w:ascii="Times New Roman" w:hAnsi="Times New Roman" w:eastAsiaTheme="majorEastAsia" w:cstheme="majorBidi"/>
      <w:color w:val="2F5496" w:themeColor="accent1" w:themeShade="BF"/>
      <w:kern w:val="0"/>
      <w:sz w:val="28"/>
      <w:szCs w:val="28"/>
      <w:lang w:eastAsia="en-GB"/>
    </w:rPr>
  </w:style>
  <w:style w:type="character" w:customStyle="1" w:styleId="Heading1Char">
    <w:name w:val="Heading 1 Char"/>
    <w:basedOn w:val="DefaultParagraphFont"/>
    <w:link w:val="Heading1"/>
    <w:uiPriority w:val="9"/>
    <w:rsid w:val="00CE0D74"/>
    <w:rPr>
      <w:rFonts w:asciiTheme="majorHAnsi" w:eastAsiaTheme="majorEastAsia" w:hAnsiTheme="majorHAnsi" w:cstheme="majorBidi"/>
      <w:color w:val="2F5496" w:themeColor="accent1" w:themeShade="BF"/>
      <w:kern w:val="0"/>
      <w:sz w:val="32"/>
      <w:szCs w:val="32"/>
      <w:lang w:eastAsia="en-GB"/>
    </w:rPr>
  </w:style>
  <w:style w:type="character" w:customStyle="1" w:styleId="apple-converted-space">
    <w:name w:val="apple-converted-space"/>
    <w:basedOn w:val="DefaultParagraphFont"/>
    <w:rsid w:val="003E62B5"/>
  </w:style>
  <w:style w:type="paragraph" w:styleId="Header">
    <w:name w:val="header"/>
    <w:basedOn w:val="Normal"/>
    <w:link w:val="HeaderChar"/>
    <w:uiPriority w:val="99"/>
    <w:semiHidden/>
    <w:unhideWhenUsed/>
    <w:rsid w:val="00810975"/>
    <w:pPr>
      <w:tabs>
        <w:tab w:val="center" w:pos="4513"/>
        <w:tab w:val="right" w:pos="9026"/>
      </w:tabs>
    </w:pPr>
  </w:style>
  <w:style w:type="character" w:customStyle="1" w:styleId="HeaderChar">
    <w:name w:val="Header Char"/>
    <w:basedOn w:val="DefaultParagraphFont"/>
    <w:link w:val="Header"/>
    <w:uiPriority w:val="99"/>
    <w:semiHidden/>
    <w:rsid w:val="00810975"/>
    <w:rPr>
      <w:rFonts w:ascii="Times New Roman" w:eastAsia="Times New Roman" w:hAnsi="Times New Roman" w:cs="Times New Roman"/>
      <w:kern w:val="0"/>
      <w:lang w:eastAsia="en-GB"/>
    </w:rPr>
  </w:style>
  <w:style w:type="paragraph" w:styleId="Footer">
    <w:name w:val="footer"/>
    <w:basedOn w:val="Normal"/>
    <w:link w:val="FooterChar"/>
    <w:uiPriority w:val="99"/>
    <w:semiHidden/>
    <w:unhideWhenUsed/>
    <w:rsid w:val="00810975"/>
    <w:pPr>
      <w:tabs>
        <w:tab w:val="center" w:pos="4513"/>
        <w:tab w:val="right" w:pos="9026"/>
      </w:tabs>
    </w:pPr>
  </w:style>
  <w:style w:type="character" w:customStyle="1" w:styleId="FooterChar">
    <w:name w:val="Footer Char"/>
    <w:basedOn w:val="DefaultParagraphFont"/>
    <w:link w:val="Footer"/>
    <w:uiPriority w:val="99"/>
    <w:semiHidden/>
    <w:rsid w:val="00810975"/>
    <w:rPr>
      <w:rFonts w:ascii="Times New Roman" w:eastAsia="Times New Roman" w:hAnsi="Times New Roman" w:cs="Times New Roman"/>
      <w:kern w:val="0"/>
      <w:lang w:eastAsia="en-GB"/>
    </w:rPr>
  </w:style>
  <w:style w:type="character" w:styleId="FollowedHyperlink">
    <w:name w:val="FollowedHyperlink"/>
    <w:basedOn w:val="DefaultParagraphFont"/>
    <w:uiPriority w:val="99"/>
    <w:semiHidden/>
    <w:unhideWhenUsed/>
    <w:rsid w:val="00C564F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CF74624A54ED44B97B82146C21F31A0" ma:contentTypeVersion="15" ma:contentTypeDescription="Create a new document." ma:contentTypeScope="" ma:versionID="242227234da109344b0ecc48a2e703de">
  <xsd:schema xmlns:xsd="http://www.w3.org/2001/XMLSchema" xmlns:xs="http://www.w3.org/2001/XMLSchema" xmlns:p="http://schemas.microsoft.com/office/2006/metadata/properties" xmlns:ns2="976c4288-13e1-437b-8837-1feb19050ed9" xmlns:ns3="79486ecc-4b79-4466-888e-959f9d7c0413" targetNamespace="http://schemas.microsoft.com/office/2006/metadata/properties" ma:root="true" ma:fieldsID="5f918cc813f107c34d6e5d11c10eff7a" ns2:_="" ns3:_="">
    <xsd:import namespace="976c4288-13e1-437b-8837-1feb19050ed9"/>
    <xsd:import namespace="79486ecc-4b79-4466-888e-959f9d7c041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MediaServiceDateTaken"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6c4288-13e1-437b-8837-1feb19050e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f3fc552-8055-4002-a5e1-56dbb78ceea3" ma:termSetId="09814cd3-568e-fe90-9814-8d621ff8fb84" ma:anchorId="fba54fb3-c3e1-fe81-a776-ca4b69148c4d" ma:open="true" ma:isKeyword="false">
      <xsd:complexType>
        <xsd:sequence>
          <xsd:element ref="pc:Terms" minOccurs="0" maxOccurs="1"/>
        </xsd:sequence>
      </xsd:complexType>
    </xsd:element>
    <xsd:element name="MediaServiceLocation" ma:index="17" nillable="true" ma:displayName="Location" ma:indexed="true"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9486ecc-4b79-4466-888e-959f9d7c041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260ff48f-4c9c-410e-9a75-be882547e7d4}" ma:internalName="TaxCatchAll" ma:showField="CatchAllData" ma:web="79486ecc-4b79-4466-888e-959f9d7c04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76c4288-13e1-437b-8837-1feb19050ed9">
      <Terms xmlns="http://schemas.microsoft.com/office/infopath/2007/PartnerControls"/>
    </lcf76f155ced4ddcb4097134ff3c332f>
    <TaxCatchAll xmlns="79486ecc-4b79-4466-888e-959f9d7c0413" xsi:nil="true"/>
  </documentManagement>
</p:properties>
</file>

<file path=customXml/itemProps1.xml><?xml version="1.0" encoding="utf-8"?>
<ds:datastoreItem xmlns:ds="http://schemas.openxmlformats.org/officeDocument/2006/customXml" ds:itemID="{29FBE513-5909-E14E-9CD1-A7EAA28E907A}">
  <ds:schemaRefs>
    <ds:schemaRef ds:uri="http://schemas.openxmlformats.org/officeDocument/2006/bibliography"/>
  </ds:schemaRefs>
</ds:datastoreItem>
</file>

<file path=customXml/itemProps2.xml><?xml version="1.0" encoding="utf-8"?>
<ds:datastoreItem xmlns:ds="http://schemas.openxmlformats.org/officeDocument/2006/customXml" ds:itemID="{FC51DA04-F158-48B1-8E49-213861CE1EDD}">
  <ds:schemaRefs>
    <ds:schemaRef ds:uri="http://schemas.microsoft.com/sharepoint/v3/contenttype/forms"/>
  </ds:schemaRefs>
</ds:datastoreItem>
</file>

<file path=customXml/itemProps3.xml><?xml version="1.0" encoding="utf-8"?>
<ds:datastoreItem xmlns:ds="http://schemas.openxmlformats.org/officeDocument/2006/customXml" ds:itemID="{BDB42EF9-7462-41F4-ADEF-5121DA9190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6c4288-13e1-437b-8837-1feb19050ed9"/>
    <ds:schemaRef ds:uri="79486ecc-4b79-4466-888e-959f9d7c04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6FB5F3C-9E03-4872-97D8-CFA49AC574E2}">
  <ds:schemaRefs>
    <ds:schemaRef ds:uri="http://schemas.microsoft.com/office/2006/metadata/properties"/>
    <ds:schemaRef ds:uri="http://schemas.microsoft.com/office/infopath/2007/PartnerControls"/>
    <ds:schemaRef ds:uri="976c4288-13e1-437b-8837-1feb19050ed9"/>
    <ds:schemaRef ds:uri="79486ecc-4b79-4466-888e-959f9d7c0413"/>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