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4.0.0 -->
  <w:body>
    <w:p w:rsidR="003813B8" w:rsidRPr="00EB1157" w:rsidP="00EB1157">
      <w:pPr>
        <w:contextualSpacing/>
        <w:rPr>
          <w:rFonts w:ascii="Calibri" w:eastAsia="Public Sans Light" w:hAnsi="Calibri" w:cs="Calibri"/>
          <w:sz w:val="24"/>
          <w:szCs w:val="24"/>
        </w:rPr>
      </w:pPr>
      <w:r w:rsidRPr="00EB1157">
        <w:rPr>
          <w:rFonts w:ascii="Calibri" w:eastAsia="Public Sans Light" w:hAnsi="Calibri" w:cs="Calibri"/>
          <w:sz w:val="24"/>
          <w:szCs w:val="24"/>
        </w:rPr>
        <w:t>30 April 2025</w:t>
      </w:r>
    </w:p>
    <w:p w:rsidR="003813B8" w:rsidRPr="00EB1157" w:rsidP="00EB1157">
      <w:pPr>
        <w:numPr>
          <w:ilvl w:val="0"/>
          <w:numId w:val="1"/>
        </w:numPr>
        <w:contextualSpacing/>
        <w:rPr>
          <w:rFonts w:ascii="Calibri" w:hAnsi="Calibri" w:cs="Calibri"/>
          <w:sz w:val="24"/>
          <w:szCs w:val="24"/>
        </w:rPr>
      </w:pPr>
      <w:r w:rsidRPr="00EB1157">
        <w:rPr>
          <w:rFonts w:ascii="Calibri" w:eastAsia="Public Sans" w:hAnsi="Calibri" w:cs="Calibri"/>
          <w:b/>
          <w:sz w:val="24"/>
          <w:szCs w:val="24"/>
        </w:rPr>
        <w:t>About us:</w:t>
      </w:r>
      <w:r w:rsidRPr="00EB1157">
        <w:rPr>
          <w:rFonts w:ascii="Calibri" w:eastAsia="Public Sans Light" w:hAnsi="Calibri" w:cs="Calibri"/>
          <w:sz w:val="24"/>
          <w:szCs w:val="24"/>
        </w:rPr>
        <w:t xml:space="preserve"> Focus on </w:t>
      </w:r>
      <w:r w:rsidRPr="00EB1157">
        <w:rPr>
          <w:rFonts w:ascii="Calibri" w:eastAsia="Public Sans Light" w:hAnsi="Calibri" w:cs="Calibri"/>
          <w:sz w:val="24"/>
          <w:szCs w:val="24"/>
        </w:rPr>
        <w:t>Labour</w:t>
      </w:r>
      <w:r w:rsidRPr="00EB1157">
        <w:rPr>
          <w:rFonts w:ascii="Calibri" w:eastAsia="Public Sans Light" w:hAnsi="Calibri" w:cs="Calibri"/>
          <w:sz w:val="24"/>
          <w:szCs w:val="24"/>
        </w:rPr>
        <w:t xml:space="preserve"> Exploitation (FLEX) is a research and policy </w:t>
      </w:r>
      <w:r w:rsidRPr="00EB1157">
        <w:rPr>
          <w:rFonts w:ascii="Calibri" w:eastAsia="Public Sans Light" w:hAnsi="Calibri" w:cs="Calibri"/>
          <w:sz w:val="24"/>
          <w:szCs w:val="24"/>
        </w:rPr>
        <w:t>organisation</w:t>
      </w:r>
      <w:r w:rsidRPr="00EB1157">
        <w:rPr>
          <w:rFonts w:ascii="Calibri" w:eastAsia="Public Sans Light" w:hAnsi="Calibri" w:cs="Calibri"/>
          <w:sz w:val="24"/>
          <w:szCs w:val="24"/>
        </w:rPr>
        <w:t xml:space="preserve"> working towards an end to </w:t>
      </w:r>
      <w:r w:rsidRPr="00EB1157">
        <w:rPr>
          <w:rFonts w:ascii="Calibri" w:eastAsia="Public Sans Light" w:hAnsi="Calibri" w:cs="Calibri"/>
          <w:sz w:val="24"/>
          <w:szCs w:val="24"/>
        </w:rPr>
        <w:t>labour</w:t>
      </w:r>
      <w:r w:rsidRPr="00EB1157">
        <w:rPr>
          <w:rFonts w:ascii="Calibri" w:eastAsia="Public Sans Light" w:hAnsi="Calibri" w:cs="Calibri"/>
          <w:sz w:val="24"/>
          <w:szCs w:val="24"/>
        </w:rPr>
        <w:t xml:space="preserve"> exploitation. FLEX seeks to achieve this vision through the prevention of </w:t>
      </w:r>
      <w:r w:rsidRPr="00EB1157">
        <w:rPr>
          <w:rFonts w:ascii="Calibri" w:eastAsia="Public Sans Light" w:hAnsi="Calibri" w:cs="Calibri"/>
          <w:sz w:val="24"/>
          <w:szCs w:val="24"/>
        </w:rPr>
        <w:t>labour</w:t>
      </w:r>
      <w:r w:rsidRPr="00EB1157">
        <w:rPr>
          <w:rFonts w:ascii="Calibri" w:eastAsia="Public Sans Light" w:hAnsi="Calibri" w:cs="Calibri"/>
          <w:sz w:val="24"/>
          <w:szCs w:val="24"/>
        </w:rPr>
        <w:t xml:space="preserve"> abuses, protection of the rights of those affected or at risk of exploitation and by promoting best practice responses to </w:t>
      </w:r>
      <w:r w:rsidRPr="00EB1157">
        <w:rPr>
          <w:rFonts w:ascii="Calibri" w:eastAsia="Public Sans Light" w:hAnsi="Calibri" w:cs="Calibri"/>
          <w:sz w:val="24"/>
          <w:szCs w:val="24"/>
        </w:rPr>
        <w:t>labour</w:t>
      </w:r>
      <w:r w:rsidRPr="00EB1157">
        <w:rPr>
          <w:rFonts w:ascii="Calibri" w:eastAsia="Public Sans Light" w:hAnsi="Calibri" w:cs="Calibri"/>
          <w:sz w:val="24"/>
          <w:szCs w:val="24"/>
        </w:rPr>
        <w:t xml:space="preserve"> exploitation through research, and evidence-based advocacy.</w:t>
      </w:r>
    </w:p>
    <w:p w:rsidR="003813B8" w:rsidRPr="00EB1157" w:rsidP="00EB1157">
      <w:pPr>
        <w:numPr>
          <w:ilvl w:val="0"/>
          <w:numId w:val="1"/>
        </w:numPr>
        <w:pBdr>
          <w:top w:val="nil"/>
          <w:left w:val="nil"/>
          <w:bottom w:val="nil"/>
          <w:right w:val="nil"/>
          <w:between w:val="nil"/>
        </w:pBdr>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FLEX’s recent research and policy work has focused on work sectors where workers are known to be at higher risk of exploitation. We have also studied and examined the implications of mechanisms to address the </w:t>
      </w:r>
      <w:r w:rsidRPr="00EB1157">
        <w:rPr>
          <w:rFonts w:ascii="Calibri" w:eastAsia="Public Sans Light" w:hAnsi="Calibri" w:cs="Calibri"/>
          <w:sz w:val="24"/>
          <w:szCs w:val="24"/>
        </w:rPr>
        <w:t>labour</w:t>
      </w:r>
      <w:r w:rsidRPr="00EB1157">
        <w:rPr>
          <w:rFonts w:ascii="Calibri" w:eastAsia="Public Sans Light" w:hAnsi="Calibri" w:cs="Calibri"/>
          <w:sz w:val="24"/>
          <w:szCs w:val="24"/>
        </w:rPr>
        <w:t xml:space="preserve"> shortage resulting from the UK’s withdrawal from the EU and the end of free movement.</w:t>
      </w:r>
      <w:r>
        <w:rPr>
          <w:rFonts w:ascii="Calibri" w:eastAsia="Public Sans Light" w:hAnsi="Calibri" w:cs="Calibri"/>
          <w:sz w:val="24"/>
          <w:szCs w:val="24"/>
          <w:vertAlign w:val="superscript"/>
        </w:rPr>
        <w:footnoteReference w:id="2"/>
      </w:r>
      <w:r w:rsidRPr="00EB1157">
        <w:rPr>
          <w:rFonts w:ascii="Calibri" w:eastAsia="Public Sans Light" w:hAnsi="Calibri" w:cs="Calibri"/>
          <w:sz w:val="24"/>
          <w:szCs w:val="24"/>
        </w:rPr>
        <w:t xml:space="preserve"> We are particularly concerned about how work migration routes which compound workers’ dependency on their employer as their visa sponsor. Any immigration system which doesn’t proactively include mechanisms which enable workers to report exploitation and ultimately leave an exploitative employer, without </w:t>
      </w:r>
      <w:r w:rsidRPr="00EB1157">
        <w:rPr>
          <w:rFonts w:ascii="Calibri" w:eastAsia="Public Sans Light" w:hAnsi="Calibri" w:cs="Calibri"/>
          <w:sz w:val="24"/>
          <w:szCs w:val="24"/>
        </w:rPr>
        <w:t>jeopardising</w:t>
      </w:r>
      <w:r w:rsidRPr="00EB1157">
        <w:rPr>
          <w:rFonts w:ascii="Calibri" w:eastAsia="Public Sans Light" w:hAnsi="Calibri" w:cs="Calibri"/>
          <w:sz w:val="24"/>
          <w:szCs w:val="24"/>
        </w:rPr>
        <w:t xml:space="preserve"> their employment, accommodation and immigration status, has exploitation baked into its design. </w:t>
      </w:r>
    </w:p>
    <w:p w:rsidR="003813B8" w:rsidRPr="00EB1157" w:rsidP="00EB1157">
      <w:pPr>
        <w:numPr>
          <w:ilvl w:val="0"/>
          <w:numId w:val="1"/>
        </w:numPr>
        <w:pBdr>
          <w:top w:val="nil"/>
          <w:left w:val="nil"/>
          <w:bottom w:val="nil"/>
          <w:right w:val="nil"/>
          <w:between w:val="nil"/>
        </w:pBdr>
        <w:contextualSpacing/>
        <w:rPr>
          <w:rFonts w:ascii="Calibri" w:eastAsia="Public Sans Light" w:hAnsi="Calibri" w:cs="Calibri"/>
          <w:sz w:val="24"/>
          <w:szCs w:val="24"/>
        </w:rPr>
      </w:pPr>
      <w:r w:rsidRPr="00EB1157">
        <w:rPr>
          <w:rFonts w:ascii="Calibri" w:eastAsia="Public Sans Light" w:hAnsi="Calibri" w:cs="Calibri"/>
          <w:sz w:val="24"/>
          <w:szCs w:val="24"/>
        </w:rPr>
        <w:t>We had already seen the risks of exploitation to workers resulting from this power imbalance and resulting multiple dependencies in the UK’s use of a short term, or temporary visas in the form of the Overseas Domestic Worker (ODW) visa.</w:t>
      </w:r>
      <w:r>
        <w:rPr>
          <w:rFonts w:ascii="Calibri" w:eastAsia="Public Sans Light" w:hAnsi="Calibri" w:cs="Calibri"/>
          <w:sz w:val="24"/>
          <w:szCs w:val="24"/>
          <w:vertAlign w:val="superscript"/>
        </w:rPr>
        <w:footnoteReference w:id="3"/>
      </w:r>
      <w:r w:rsidRPr="00EB1157">
        <w:rPr>
          <w:rFonts w:ascii="Calibri" w:eastAsia="Public Sans Light" w:hAnsi="Calibri" w:cs="Calibri"/>
          <w:sz w:val="24"/>
          <w:szCs w:val="24"/>
        </w:rPr>
        <w:t xml:space="preserve"> In light of the strong concerns about this we were surprised to see the use of temporary migration schemes expanded with the piloting and now ongoing reliance on the agricultural seasonal worker visa scheme (a quota of 43,000 Seasonal Worker visas available for horticulture and 2,000 for poultry confirmed for 2025).</w:t>
      </w:r>
      <w:r>
        <w:rPr>
          <w:rFonts w:ascii="Calibri" w:eastAsia="Public Sans Light" w:hAnsi="Calibri" w:cs="Calibri"/>
          <w:sz w:val="24"/>
          <w:szCs w:val="24"/>
          <w:vertAlign w:val="superscript"/>
        </w:rPr>
        <w:footnoteReference w:id="4"/>
      </w:r>
      <w:r w:rsidRPr="00EB1157">
        <w:rPr>
          <w:rFonts w:ascii="Calibri" w:eastAsia="Public Sans Light" w:hAnsi="Calibri" w:cs="Calibri"/>
          <w:sz w:val="24"/>
          <w:szCs w:val="24"/>
        </w:rPr>
        <w:t xml:space="preserve"> This is despite concerns regarding the risks to workers of such short term schemes having been highlighted in our research on the 2019 pilot</w:t>
      </w:r>
      <w:r>
        <w:rPr>
          <w:rFonts w:ascii="Calibri" w:eastAsia="Public Sans Light" w:hAnsi="Calibri" w:cs="Calibri"/>
          <w:sz w:val="24"/>
          <w:szCs w:val="24"/>
          <w:vertAlign w:val="superscript"/>
        </w:rPr>
        <w:footnoteReference w:id="5"/>
      </w:r>
      <w:r w:rsidRPr="00EB1157">
        <w:rPr>
          <w:rFonts w:ascii="Calibri" w:eastAsia="Public Sans Light" w:hAnsi="Calibri" w:cs="Calibri"/>
          <w:sz w:val="24"/>
          <w:szCs w:val="24"/>
        </w:rPr>
        <w:t xml:space="preserve"> and remaining unaddressed.</w:t>
      </w:r>
      <w:r>
        <w:rPr>
          <w:rFonts w:ascii="Calibri" w:eastAsia="Public Sans Light" w:hAnsi="Calibri" w:cs="Calibri"/>
          <w:sz w:val="24"/>
          <w:szCs w:val="24"/>
          <w:vertAlign w:val="superscript"/>
        </w:rPr>
        <w:footnoteReference w:id="6"/>
      </w:r>
      <w:r w:rsidRPr="00EB1157">
        <w:rPr>
          <w:rFonts w:ascii="Calibri" w:eastAsia="Public Sans Light" w:hAnsi="Calibri" w:cs="Calibri"/>
          <w:sz w:val="24"/>
          <w:szCs w:val="24"/>
        </w:rPr>
        <w:t xml:space="preserve"> While these temporary migration schemes exist outside of the Skilled Work visa routes, they provide valuable learning about what is needed to ensure that migrant workers are able to access the same rights and protections as other British national workers. It is FLEX’s position that all work visas should be renewable subject </w:t>
      </w:r>
      <w:r w:rsidRPr="00EB1157">
        <w:rPr>
          <w:rFonts w:ascii="Calibri" w:eastAsia="Public Sans Light" w:hAnsi="Calibri" w:cs="Calibri"/>
          <w:sz w:val="24"/>
          <w:szCs w:val="24"/>
        </w:rPr>
        <w:t xml:space="preserve">to ongoing employment and, in recognition that all workers have a right to family life, as well as to sick, maternity or other leave without fear of visa cancellation, and have a route </w:t>
      </w:r>
      <w:r w:rsidRPr="00EB1157">
        <w:rPr>
          <w:rFonts w:ascii="Calibri" w:eastAsia="Public Sans Light" w:hAnsi="Calibri" w:cs="Calibri"/>
          <w:sz w:val="24"/>
          <w:szCs w:val="24"/>
        </w:rPr>
        <w:t>to settlement.</w:t>
      </w:r>
    </w:p>
    <w:p w:rsidR="003813B8" w:rsidRPr="00EB1157" w:rsidP="00EB1157">
      <w:pPr>
        <w:numPr>
          <w:ilvl w:val="0"/>
          <w:numId w:val="1"/>
        </w:numPr>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Ultimately, workers’ experiences of exploitation can be understood as existing on a “continuum”. At one end there is decent and well-paid work, with bad practices such as breaches of employment rights (e.g., unpaid wages, discrimination etc.) situated along the continuum, culminating at the opposite end in severe </w:t>
      </w:r>
      <w:r w:rsidRPr="00EB1157">
        <w:rPr>
          <w:rFonts w:ascii="Calibri" w:eastAsia="Public Sans Light" w:hAnsi="Calibri" w:cs="Calibri"/>
          <w:sz w:val="24"/>
          <w:szCs w:val="24"/>
        </w:rPr>
        <w:t>labour</w:t>
      </w:r>
      <w:r w:rsidRPr="00EB1157">
        <w:rPr>
          <w:rFonts w:ascii="Calibri" w:eastAsia="Public Sans Light" w:hAnsi="Calibri" w:cs="Calibri"/>
          <w:sz w:val="24"/>
          <w:szCs w:val="24"/>
        </w:rPr>
        <w:t xml:space="preserve"> exploitation, such as human trafficking and forced </w:t>
      </w:r>
      <w:r w:rsidRPr="00EB1157">
        <w:rPr>
          <w:rFonts w:ascii="Calibri" w:eastAsia="Public Sans Light" w:hAnsi="Calibri" w:cs="Calibri"/>
          <w:sz w:val="24"/>
          <w:szCs w:val="24"/>
        </w:rPr>
        <w:t>labour</w:t>
      </w:r>
      <w:r w:rsidRPr="00EB1157">
        <w:rPr>
          <w:rFonts w:ascii="Calibri" w:eastAsia="Public Sans Light" w:hAnsi="Calibri" w:cs="Calibri"/>
          <w:sz w:val="24"/>
          <w:szCs w:val="24"/>
        </w:rPr>
        <w:t xml:space="preserve">. Where minor breaches of rights occur and are not sufficiently addressed, it increases the risk of more severe exploitation along the continuum. This is why FLEX is clear that to end </w:t>
      </w:r>
      <w:r w:rsidRPr="00EB1157">
        <w:rPr>
          <w:rFonts w:ascii="Calibri" w:eastAsia="Public Sans Light" w:hAnsi="Calibri" w:cs="Calibri"/>
          <w:sz w:val="24"/>
          <w:szCs w:val="24"/>
        </w:rPr>
        <w:t>labour</w:t>
      </w:r>
      <w:r w:rsidRPr="00EB1157">
        <w:rPr>
          <w:rFonts w:ascii="Calibri" w:eastAsia="Public Sans Light" w:hAnsi="Calibri" w:cs="Calibri"/>
          <w:sz w:val="24"/>
          <w:szCs w:val="24"/>
        </w:rPr>
        <w:t xml:space="preserve"> exploitation the UK needs a work visa system where all workers </w:t>
      </w:r>
      <w:r w:rsidRPr="00EB1157">
        <w:rPr>
          <w:rFonts w:ascii="Calibri" w:eastAsia="Public Sans Light" w:hAnsi="Calibri" w:cs="Calibri"/>
          <w:sz w:val="24"/>
          <w:szCs w:val="24"/>
        </w:rPr>
        <w:t>are able to</w:t>
      </w:r>
      <w:r w:rsidRPr="00EB1157">
        <w:rPr>
          <w:rFonts w:ascii="Calibri" w:eastAsia="Public Sans Light" w:hAnsi="Calibri" w:cs="Calibri"/>
          <w:sz w:val="24"/>
          <w:szCs w:val="24"/>
        </w:rPr>
        <w:t xml:space="preserve"> access rights and report exploitation in practice.</w:t>
      </w:r>
      <w:r>
        <w:rPr>
          <w:rFonts w:ascii="Calibri" w:eastAsia="Public Sans Light" w:hAnsi="Calibri" w:cs="Calibri"/>
          <w:sz w:val="24"/>
          <w:szCs w:val="24"/>
          <w:vertAlign w:val="superscript"/>
        </w:rPr>
        <w:footnoteReference w:id="7"/>
      </w:r>
      <w:r w:rsidRPr="00EB1157">
        <w:rPr>
          <w:rFonts w:ascii="Calibri" w:eastAsia="Public Sans Light" w:hAnsi="Calibri" w:cs="Calibri"/>
          <w:sz w:val="24"/>
          <w:szCs w:val="24"/>
        </w:rPr>
        <w:t xml:space="preserve">  A failure to address these risks can amount to significant human harm, undermining entire sectors, and means that situations deteriorate to the level of modern slavery, rather than cost effective, preventative approaches being taken.</w:t>
      </w:r>
    </w:p>
    <w:p w:rsidR="003813B8" w:rsidRPr="00EB1157" w:rsidP="00EB1157">
      <w:pPr>
        <w:pBdr>
          <w:top w:val="nil"/>
          <w:left w:val="nil"/>
          <w:bottom w:val="nil"/>
          <w:right w:val="nil"/>
          <w:between w:val="nil"/>
        </w:pBdr>
        <w:contextualSpacing/>
        <w:rPr>
          <w:rFonts w:ascii="Calibri" w:eastAsia="Public Sans" w:hAnsi="Calibri" w:cs="Calibri"/>
          <w:b/>
          <w:sz w:val="24"/>
          <w:szCs w:val="24"/>
        </w:rPr>
      </w:pPr>
      <w:r w:rsidRPr="00EB1157">
        <w:rPr>
          <w:rFonts w:ascii="Calibri" w:eastAsia="Public Sans" w:hAnsi="Calibri" w:cs="Calibri"/>
          <w:b/>
          <w:sz w:val="24"/>
          <w:szCs w:val="24"/>
        </w:rPr>
        <w:t xml:space="preserve">Use of the Skilled Work visa to address </w:t>
      </w:r>
      <w:r w:rsidRPr="00EB1157">
        <w:rPr>
          <w:rFonts w:ascii="Calibri" w:eastAsia="Public Sans" w:hAnsi="Calibri" w:cs="Calibri"/>
          <w:b/>
          <w:sz w:val="24"/>
          <w:szCs w:val="24"/>
        </w:rPr>
        <w:t>labour</w:t>
      </w:r>
      <w:r w:rsidRPr="00EB1157">
        <w:rPr>
          <w:rFonts w:ascii="Calibri" w:eastAsia="Public Sans" w:hAnsi="Calibri" w:cs="Calibri"/>
          <w:b/>
          <w:sz w:val="24"/>
          <w:szCs w:val="24"/>
        </w:rPr>
        <w:t xml:space="preserve"> shortages</w:t>
      </w:r>
    </w:p>
    <w:p w:rsidR="003813B8" w:rsidRPr="00EB1157" w:rsidP="00EB1157">
      <w:pPr>
        <w:pBdr>
          <w:top w:val="nil"/>
          <w:left w:val="nil"/>
          <w:bottom w:val="nil"/>
          <w:right w:val="nil"/>
          <w:between w:val="nil"/>
        </w:pBdr>
        <w:ind w:firstLine="720"/>
        <w:contextualSpacing/>
        <w:rPr>
          <w:rFonts w:ascii="Calibri" w:eastAsia="Public Sans" w:hAnsi="Calibri" w:cs="Calibri"/>
          <w:b/>
          <w:sz w:val="24"/>
          <w:szCs w:val="24"/>
        </w:rPr>
      </w:pPr>
      <w:r w:rsidRPr="00EB1157">
        <w:rPr>
          <w:rFonts w:ascii="Calibri" w:eastAsia="Public Sans" w:hAnsi="Calibri" w:cs="Calibri"/>
          <w:b/>
          <w:sz w:val="24"/>
          <w:szCs w:val="24"/>
        </w:rPr>
        <w:t>Health and Social Care Worker visa</w:t>
      </w:r>
    </w:p>
    <w:p w:rsidR="003813B8" w:rsidRPr="00EB1157" w:rsidP="00EB1157">
      <w:pPr>
        <w:numPr>
          <w:ilvl w:val="0"/>
          <w:numId w:val="1"/>
        </w:numPr>
        <w:pBdr>
          <w:top w:val="nil"/>
          <w:left w:val="nil"/>
          <w:bottom w:val="nil"/>
          <w:right w:val="nil"/>
          <w:between w:val="nil"/>
        </w:pBdr>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Ongoing </w:t>
      </w:r>
      <w:r w:rsidRPr="00EB1157">
        <w:rPr>
          <w:rFonts w:ascii="Calibri" w:eastAsia="Public Sans Light" w:hAnsi="Calibri" w:cs="Calibri"/>
          <w:sz w:val="24"/>
          <w:szCs w:val="24"/>
        </w:rPr>
        <w:t>labour</w:t>
      </w:r>
      <w:r w:rsidRPr="00EB1157">
        <w:rPr>
          <w:rFonts w:ascii="Calibri" w:eastAsia="Public Sans Light" w:hAnsi="Calibri" w:cs="Calibri"/>
          <w:sz w:val="24"/>
          <w:szCs w:val="24"/>
        </w:rPr>
        <w:t xml:space="preserve"> shortages following the end of free movement within the EU, combined with a drive to reduce net migration to the UK have resulted in </w:t>
      </w:r>
      <w:r w:rsidRPr="00EB1157">
        <w:rPr>
          <w:rFonts w:ascii="Calibri" w:eastAsia="Public Sans Light" w:hAnsi="Calibri" w:cs="Calibri"/>
          <w:i/>
          <w:sz w:val="24"/>
          <w:szCs w:val="24"/>
        </w:rPr>
        <w:t>ad hoc</w:t>
      </w:r>
      <w:r w:rsidRPr="00EB1157">
        <w:rPr>
          <w:rFonts w:ascii="Calibri" w:eastAsia="Public Sans Light" w:hAnsi="Calibri" w:cs="Calibri"/>
          <w:sz w:val="24"/>
          <w:szCs w:val="24"/>
        </w:rPr>
        <w:t xml:space="preserve"> and ill prepared changes to the UK’s immigration system with often disastrous consequences. Immigration policy has been developed without cross departmental consultation or regard for the impacts of immigration policy changes on other areas such as access to rights. The UK’s Health and Social Care Worker visa was added to the then Shortage Occupation List, now the Immi</w:t>
      </w:r>
      <w:r w:rsidRPr="00EB1157">
        <w:rPr>
          <w:rFonts w:ascii="Calibri" w:eastAsia="Public Sans Light" w:hAnsi="Calibri" w:cs="Calibri"/>
          <w:sz w:val="24"/>
          <w:szCs w:val="24"/>
        </w:rPr>
        <w:t>gration Salary List</w:t>
      </w:r>
      <w:r>
        <w:rPr>
          <w:rFonts w:ascii="Calibri" w:eastAsia="Public Sans Light" w:hAnsi="Calibri" w:cs="Calibri"/>
          <w:sz w:val="24"/>
          <w:szCs w:val="24"/>
          <w:vertAlign w:val="superscript"/>
        </w:rPr>
        <w:footnoteReference w:id="8"/>
      </w:r>
      <w:r w:rsidRPr="00EB1157">
        <w:rPr>
          <w:rFonts w:ascii="Calibri" w:eastAsia="Public Sans Light" w:hAnsi="Calibri" w:cs="Calibri"/>
          <w:sz w:val="24"/>
          <w:szCs w:val="24"/>
        </w:rPr>
        <w:t xml:space="preserve"> in December 2021 </w:t>
      </w:r>
      <w:r w:rsidRPr="00EB1157">
        <w:rPr>
          <w:rFonts w:ascii="Calibri" w:eastAsia="Public Sans Light" w:hAnsi="Calibri" w:cs="Calibri"/>
          <w:sz w:val="24"/>
          <w:szCs w:val="24"/>
        </w:rPr>
        <w:t>in an attempt to</w:t>
      </w:r>
      <w:r w:rsidRPr="00EB1157">
        <w:rPr>
          <w:rFonts w:ascii="Calibri" w:eastAsia="Public Sans Light" w:hAnsi="Calibri" w:cs="Calibri"/>
          <w:sz w:val="24"/>
          <w:szCs w:val="24"/>
        </w:rPr>
        <w:t xml:space="preserve"> address </w:t>
      </w:r>
      <w:r w:rsidRPr="00EB1157">
        <w:rPr>
          <w:rFonts w:ascii="Calibri" w:eastAsia="Public Sans Light" w:hAnsi="Calibri" w:cs="Calibri"/>
          <w:sz w:val="24"/>
          <w:szCs w:val="24"/>
        </w:rPr>
        <w:t>labour</w:t>
      </w:r>
      <w:r w:rsidRPr="00EB1157">
        <w:rPr>
          <w:rFonts w:ascii="Calibri" w:eastAsia="Public Sans Light" w:hAnsi="Calibri" w:cs="Calibri"/>
          <w:sz w:val="24"/>
          <w:szCs w:val="24"/>
        </w:rPr>
        <w:t xml:space="preserve"> shortages in the care sector. This was done without sufficient attention to the conditions of work and pay in the sector, or how these might be contributing to </w:t>
      </w:r>
      <w:r w:rsidRPr="00EB1157">
        <w:rPr>
          <w:rFonts w:ascii="Calibri" w:eastAsia="Public Sans Light" w:hAnsi="Calibri" w:cs="Calibri"/>
          <w:sz w:val="24"/>
          <w:szCs w:val="24"/>
        </w:rPr>
        <w:t>labour</w:t>
      </w:r>
      <w:r w:rsidRPr="00EB1157">
        <w:rPr>
          <w:rFonts w:ascii="Calibri" w:eastAsia="Public Sans Light" w:hAnsi="Calibri" w:cs="Calibri"/>
          <w:sz w:val="24"/>
          <w:szCs w:val="24"/>
        </w:rPr>
        <w:t xml:space="preserve"> shortages and what could be done to prevent poor conditions being compounded by the power imbalance of an employer also being a visa sponsor. Additionally, proper consideration was not given to the fact that migrant workers have limited work options and often no social network or formal or info</w:t>
      </w:r>
      <w:r w:rsidRPr="00EB1157">
        <w:rPr>
          <w:rFonts w:ascii="Calibri" w:eastAsia="Public Sans Light" w:hAnsi="Calibri" w:cs="Calibri"/>
          <w:sz w:val="24"/>
          <w:szCs w:val="24"/>
        </w:rPr>
        <w:t xml:space="preserve">rmal safety net in the UK in the form of access to public funds or friends and family they could rely on for support. </w:t>
      </w:r>
    </w:p>
    <w:p w:rsidR="003813B8" w:rsidRPr="00EB1157" w:rsidP="00EB1157">
      <w:pPr>
        <w:numPr>
          <w:ilvl w:val="0"/>
          <w:numId w:val="1"/>
        </w:numPr>
        <w:pBdr>
          <w:top w:val="nil"/>
          <w:left w:val="nil"/>
          <w:bottom w:val="nil"/>
          <w:right w:val="nil"/>
          <w:between w:val="nil"/>
        </w:pBdr>
        <w:contextualSpacing/>
        <w:rPr>
          <w:rFonts w:ascii="Calibri" w:eastAsia="Public Sans Light" w:hAnsi="Calibri" w:cs="Calibri"/>
          <w:sz w:val="24"/>
          <w:szCs w:val="24"/>
        </w:rPr>
      </w:pPr>
      <w:r w:rsidRPr="00EB1157">
        <w:rPr>
          <w:rFonts w:ascii="Calibri" w:eastAsia="Public Sans Light" w:hAnsi="Calibri" w:cs="Calibri"/>
          <w:sz w:val="24"/>
          <w:szCs w:val="24"/>
        </w:rPr>
        <w:t>The number of Health &amp; Care Worker visas granted grew from 47,194 in the year ending 2022, to 121,290 in the year ending June 2023 (a 157% increase). In the period of June 2022 to June 2023, the Health &amp; Care Worker visa represented 57% of all ‘Worker’ visas.</w:t>
      </w:r>
      <w:r>
        <w:rPr>
          <w:rFonts w:ascii="Calibri" w:eastAsia="Public Sans Light" w:hAnsi="Calibri" w:cs="Calibri"/>
          <w:sz w:val="24"/>
          <w:szCs w:val="24"/>
          <w:vertAlign w:val="superscript"/>
        </w:rPr>
        <w:footnoteReference w:id="9"/>
      </w:r>
      <w:r w:rsidRPr="00EB1157">
        <w:rPr>
          <w:rFonts w:ascii="Calibri" w:eastAsia="Public Sans Light" w:hAnsi="Calibri" w:cs="Calibri"/>
          <w:sz w:val="24"/>
          <w:szCs w:val="24"/>
        </w:rPr>
        <w:t xml:space="preserve"> However the rapid expansion and use of the visa did not appear to meet its stated aim, with </w:t>
      </w:r>
      <w:r w:rsidRPr="00EB1157">
        <w:rPr>
          <w:rFonts w:ascii="Calibri" w:eastAsia="Public Sans Light" w:hAnsi="Calibri" w:cs="Calibri"/>
          <w:sz w:val="24"/>
          <w:szCs w:val="24"/>
        </w:rPr>
        <w:t xml:space="preserve">severe </w:t>
      </w:r>
      <w:r w:rsidRPr="00EB1157">
        <w:rPr>
          <w:rFonts w:ascii="Calibri" w:eastAsia="Public Sans Light" w:hAnsi="Calibri" w:cs="Calibri"/>
          <w:sz w:val="24"/>
          <w:szCs w:val="24"/>
        </w:rPr>
        <w:t>labour</w:t>
      </w:r>
      <w:r w:rsidRPr="00EB1157">
        <w:rPr>
          <w:rFonts w:ascii="Calibri" w:eastAsia="Public Sans Light" w:hAnsi="Calibri" w:cs="Calibri"/>
          <w:sz w:val="24"/>
          <w:szCs w:val="24"/>
        </w:rPr>
        <w:t xml:space="preserve"> shortages continuing to exist while workers on the route were often left without sufficient hours of work. There have been reports of workers arriving in the UK in good faith, having borrowed or invested significant  amounts of money to cover migration costs, to find they are not being offered enough work to live on, or that no work exists at all.</w:t>
      </w:r>
      <w:r>
        <w:rPr>
          <w:rFonts w:ascii="Calibri" w:eastAsia="Public Sans Light" w:hAnsi="Calibri" w:cs="Calibri"/>
          <w:sz w:val="24"/>
          <w:szCs w:val="24"/>
          <w:vertAlign w:val="superscript"/>
        </w:rPr>
        <w:footnoteReference w:id="10"/>
      </w:r>
      <w:r w:rsidRPr="00EB1157">
        <w:rPr>
          <w:rFonts w:ascii="Calibri" w:eastAsia="Public Sans Light" w:hAnsi="Calibri" w:cs="Calibri"/>
          <w:sz w:val="24"/>
          <w:szCs w:val="24"/>
        </w:rPr>
        <w:t xml:space="preserve"> In some instances they are even unable to leave as they are subject to significant repayment clauses and the conditions of the visa permit them only to work for their named visa sponsor. While the visa does permit workers to leave and find employment with a new visa sponsor, this has proved challenging. Upon leaving workers have only 60 days to find a new registered sponsor who is willing to employ them, in the interim their immigration status is at </w:t>
      </w:r>
      <w:r w:rsidRPr="00EB1157">
        <w:rPr>
          <w:rFonts w:ascii="Calibri" w:eastAsia="Public Sans Light" w:hAnsi="Calibri" w:cs="Calibri"/>
          <w:sz w:val="24"/>
          <w:szCs w:val="24"/>
        </w:rPr>
        <w:t>risk</w:t>
      </w:r>
      <w:r w:rsidRPr="00EB1157">
        <w:rPr>
          <w:rFonts w:ascii="Calibri" w:eastAsia="Public Sans Light" w:hAnsi="Calibri" w:cs="Calibri"/>
          <w:sz w:val="24"/>
          <w:szCs w:val="24"/>
        </w:rPr>
        <w:t xml:space="preserve"> and they have no recourse to public funds. While the</w:t>
      </w:r>
      <w:r w:rsidRPr="00EB1157">
        <w:rPr>
          <w:rFonts w:ascii="Calibri" w:eastAsia="Public Sans Light" w:hAnsi="Calibri" w:cs="Calibri"/>
          <w:sz w:val="24"/>
          <w:szCs w:val="24"/>
        </w:rPr>
        <w:t xml:space="preserve"> number of visas issued to Health and Social Care work visa holders have plummeted the issues experienced by workers already in or arriving in the UK, many of which stem from the visa design and the power discrepancies created through dependency on an employer/ visa sponsor have not been addressed.  A recent National Audit Office review has found changes to the route were made “without a detailed understand of potential impacts.”</w:t>
      </w:r>
      <w:r>
        <w:rPr>
          <w:rFonts w:ascii="Calibri" w:eastAsia="Public Sans Light" w:hAnsi="Calibri" w:cs="Calibri"/>
          <w:sz w:val="24"/>
          <w:szCs w:val="24"/>
          <w:vertAlign w:val="superscript"/>
        </w:rPr>
        <w:footnoteReference w:id="11"/>
      </w:r>
      <w:r w:rsidRPr="00EB1157">
        <w:rPr>
          <w:rFonts w:ascii="Calibri" w:eastAsia="Public Sans Light" w:hAnsi="Calibri" w:cs="Calibri"/>
          <w:sz w:val="24"/>
          <w:szCs w:val="24"/>
        </w:rPr>
        <w:t xml:space="preserve"> </w:t>
      </w:r>
    </w:p>
    <w:p w:rsidR="003813B8" w:rsidRPr="00EB1157" w:rsidP="00EB1157">
      <w:pPr>
        <w:numPr>
          <w:ilvl w:val="0"/>
          <w:numId w:val="1"/>
        </w:numPr>
        <w:pBdr>
          <w:top w:val="nil"/>
          <w:left w:val="nil"/>
          <w:bottom w:val="nil"/>
          <w:right w:val="nil"/>
          <w:between w:val="nil"/>
        </w:pBdr>
        <w:contextualSpacing/>
        <w:rPr>
          <w:rFonts w:ascii="Calibri" w:eastAsia="Public Sans Light" w:hAnsi="Calibri" w:cs="Calibri"/>
          <w:sz w:val="24"/>
          <w:szCs w:val="24"/>
        </w:rPr>
      </w:pPr>
      <w:r w:rsidRPr="00EB1157">
        <w:rPr>
          <w:rFonts w:ascii="Calibri" w:eastAsia="Public Sans Light" w:hAnsi="Calibri" w:cs="Calibri"/>
          <w:sz w:val="24"/>
          <w:szCs w:val="24"/>
        </w:rPr>
        <w:t>It is understood that the Home Office may delay issuing curtailment letters to workers on the Health &amp; Care Worker visa following the revocation of a sponsor’s license, resulting in the worker having more time to find a new sponsor. However, this is an entirely discretionary system, with workers lacking clear public information on this policy, nor can they rely on this delay, leading to significant uncertainty. This dependency on their employer for their immigration status is furthermore a deterrent to work</w:t>
      </w:r>
      <w:r w:rsidRPr="00EB1157">
        <w:rPr>
          <w:rFonts w:ascii="Calibri" w:eastAsia="Public Sans Light" w:hAnsi="Calibri" w:cs="Calibri"/>
          <w:sz w:val="24"/>
          <w:szCs w:val="24"/>
        </w:rPr>
        <w:t xml:space="preserve">ers to report their sponsoring employer to the authorities for exploitation. There is understandably a fear that such a report could lead to the removal of the sponsor’s </w:t>
      </w:r>
      <w:r w:rsidRPr="00EB1157">
        <w:rPr>
          <w:rFonts w:ascii="Calibri" w:eastAsia="Public Sans Light" w:hAnsi="Calibri" w:cs="Calibri"/>
          <w:sz w:val="24"/>
          <w:szCs w:val="24"/>
        </w:rPr>
        <w:t>licence</w:t>
      </w:r>
      <w:r w:rsidRPr="00EB1157">
        <w:rPr>
          <w:rFonts w:ascii="Calibri" w:eastAsia="Public Sans Light" w:hAnsi="Calibri" w:cs="Calibri"/>
          <w:sz w:val="24"/>
          <w:szCs w:val="24"/>
        </w:rPr>
        <w:t xml:space="preserve">, leaving the worker, and all their colleagues, again, with only 60 days to find new employment with a registered sponsor. This can be an impossible hurdle for many workers, without contacts in the UK, or whose employment may be linked to their accommodation making them homeless, or when they and their colleagues have simultaneously </w:t>
      </w:r>
      <w:r w:rsidRPr="00EB1157">
        <w:rPr>
          <w:rFonts w:ascii="Calibri" w:eastAsia="Public Sans Light" w:hAnsi="Calibri" w:cs="Calibri"/>
          <w:sz w:val="24"/>
          <w:szCs w:val="24"/>
        </w:rPr>
        <w:t xml:space="preserve">lost their employment. For many workers who have incurred significant debts to migrate to the UK, a report which is more likely to result in visa cancellation than redress is not a risk they can take. This is covered in more detail in our December 2023 </w:t>
      </w:r>
      <w:r>
        <w:fldChar w:fldCharType="begin"/>
      </w:r>
      <w:r>
        <w:instrText xml:space="preserve"> HYPERLINK "https://labourexploitation.org/publications/joint-position-paper-on-preventing-exploitation-in-the-adult-social-care-sector/" </w:instrText>
      </w:r>
      <w:r>
        <w:fldChar w:fldCharType="separate"/>
      </w:r>
      <w:r w:rsidRPr="00EB1157">
        <w:rPr>
          <w:rFonts w:ascii="Calibri" w:eastAsia="Public Sans Light" w:hAnsi="Calibri" w:cs="Calibri"/>
          <w:sz w:val="24"/>
          <w:szCs w:val="24"/>
          <w:u w:val="single"/>
        </w:rPr>
        <w:t>Joint Position Paper on Preventing Exploitation in the Adult Social Care Sector</w:t>
      </w:r>
      <w:r>
        <w:fldChar w:fldCharType="end"/>
      </w:r>
      <w:r w:rsidRPr="00EB1157">
        <w:rPr>
          <w:rFonts w:ascii="Calibri" w:eastAsia="Public Sans Light" w:hAnsi="Calibri" w:cs="Calibri"/>
          <w:sz w:val="24"/>
          <w:szCs w:val="24"/>
        </w:rPr>
        <w:t>. Our July 2024 publication ‘</w:t>
      </w:r>
      <w:r>
        <w:fldChar w:fldCharType="begin"/>
      </w:r>
      <w:r>
        <w:instrText xml:space="preserve"> HYPERLINK "https://labourexploitation.org/publications/caring-about-workers-rights-how-a-well-designed-fair-work-agency-could-benefit-care-workers/" </w:instrText>
      </w:r>
      <w:r>
        <w:fldChar w:fldCharType="separate"/>
      </w:r>
      <w:r w:rsidRPr="00EB1157">
        <w:rPr>
          <w:rFonts w:ascii="Calibri" w:eastAsia="Public Sans Light" w:hAnsi="Calibri" w:cs="Calibri"/>
          <w:sz w:val="24"/>
          <w:szCs w:val="24"/>
          <w:u w:val="single"/>
        </w:rPr>
        <w:t>Caring about workers’ rights looks at how a well-designed ‘Fair Work Agency</w:t>
      </w:r>
      <w:r>
        <w:fldChar w:fldCharType="end"/>
      </w:r>
      <w:r w:rsidRPr="00EB1157">
        <w:rPr>
          <w:rFonts w:ascii="Calibri" w:eastAsia="Public Sans Light" w:hAnsi="Calibri" w:cs="Calibri"/>
          <w:sz w:val="24"/>
          <w:szCs w:val="24"/>
        </w:rPr>
        <w:t>’ as set out in the Employment Rights Bill could benefit care workers.</w:t>
      </w:r>
    </w:p>
    <w:p w:rsidR="003813B8" w:rsidRPr="00EB1157" w:rsidP="00EB1157">
      <w:pPr>
        <w:numPr>
          <w:ilvl w:val="0"/>
          <w:numId w:val="1"/>
        </w:numPr>
        <w:pBdr>
          <w:top w:val="nil"/>
          <w:left w:val="nil"/>
          <w:bottom w:val="nil"/>
          <w:right w:val="nil"/>
          <w:between w:val="nil"/>
        </w:pBdr>
        <w:contextualSpacing/>
        <w:rPr>
          <w:rFonts w:ascii="Calibri" w:eastAsia="Public Sans Light" w:hAnsi="Calibri" w:cs="Calibri"/>
          <w:sz w:val="24"/>
          <w:szCs w:val="24"/>
        </w:rPr>
      </w:pPr>
      <w:r w:rsidRPr="00EB1157">
        <w:rPr>
          <w:rFonts w:ascii="Calibri" w:eastAsia="Public Sans Light" w:hAnsi="Calibri" w:cs="Calibri"/>
          <w:sz w:val="24"/>
          <w:szCs w:val="24"/>
        </w:rPr>
        <w:t>In the case of the Health &amp; Care Worker visa, the Independent Chief Inspector for Borders and Immigration (</w:t>
      </w:r>
      <w:r w:rsidRPr="00EB1157">
        <w:rPr>
          <w:rFonts w:ascii="Calibri" w:eastAsia="Public Sans Light" w:hAnsi="Calibri" w:cs="Calibri"/>
          <w:sz w:val="24"/>
          <w:szCs w:val="24"/>
        </w:rPr>
        <w:t>ICIBI</w:t>
      </w:r>
      <w:r w:rsidRPr="00EB1157">
        <w:rPr>
          <w:rFonts w:ascii="Calibri" w:eastAsia="Public Sans Light" w:hAnsi="Calibri" w:cs="Calibri"/>
          <w:sz w:val="24"/>
          <w:szCs w:val="24"/>
        </w:rPr>
        <w:t xml:space="preserve">) </w:t>
      </w:r>
      <w:r w:rsidRPr="00EB1157">
        <w:rPr>
          <w:rFonts w:ascii="Calibri" w:eastAsia="Public Sans Light" w:hAnsi="Calibri" w:cs="Calibri"/>
          <w:sz w:val="24"/>
          <w:szCs w:val="24"/>
        </w:rPr>
        <w:t>emphasised</w:t>
      </w:r>
      <w:r w:rsidRPr="00EB1157">
        <w:rPr>
          <w:rFonts w:ascii="Calibri" w:eastAsia="Public Sans Light" w:hAnsi="Calibri" w:cs="Calibri"/>
          <w:sz w:val="24"/>
          <w:szCs w:val="24"/>
        </w:rPr>
        <w:t xml:space="preserve"> the inappropriateness of the sponsor licensing </w:t>
      </w:r>
      <w:r w:rsidRPr="00EB1157">
        <w:rPr>
          <w:rFonts w:ascii="Calibri" w:eastAsia="Public Sans Light" w:hAnsi="Calibri" w:cs="Calibri"/>
          <w:sz w:val="24"/>
          <w:szCs w:val="24"/>
        </w:rPr>
        <w:t xml:space="preserve">structure for care work and raised concern around the lack of measures taken by the Home Office to mitigate risks for workers on the visa. The ICIBI noted that the Home Office only put one compliance officer in place for every 1,600 employers licensed to sponsor migrant workers and the Home Office was not prepared for the number of employers looking to sponsor care workers on the Health &amp; Care Worker visa. Stakeholders told the ICIBI that the </w:t>
      </w:r>
      <w:r w:rsidRPr="00EB1157">
        <w:rPr>
          <w:rFonts w:ascii="Calibri" w:eastAsia="Public Sans Light" w:hAnsi="Calibri" w:cs="Calibri"/>
          <w:sz w:val="24"/>
          <w:szCs w:val="24"/>
        </w:rPr>
        <w:t xml:space="preserve">checks carried out by the Home Office compliance team were not effective in identifying employers who wished to abuse the </w:t>
      </w:r>
      <w:r w:rsidRPr="00EB1157">
        <w:rPr>
          <w:rFonts w:ascii="Calibri" w:eastAsia="Public Sans Light" w:hAnsi="Calibri" w:cs="Calibri"/>
          <w:sz w:val="24"/>
          <w:szCs w:val="24"/>
        </w:rPr>
        <w:t>system</w:t>
      </w:r>
      <w:r w:rsidRPr="00EB1157">
        <w:rPr>
          <w:rFonts w:ascii="Calibri" w:eastAsia="Public Sans Light" w:hAnsi="Calibri" w:cs="Calibri"/>
          <w:sz w:val="24"/>
          <w:szCs w:val="24"/>
        </w:rPr>
        <w:t xml:space="preserve"> and they merely checked the legal existence of an </w:t>
      </w:r>
      <w:r w:rsidRPr="00EB1157">
        <w:rPr>
          <w:rFonts w:ascii="Calibri" w:eastAsia="Public Sans Light" w:hAnsi="Calibri" w:cs="Calibri"/>
          <w:sz w:val="24"/>
          <w:szCs w:val="24"/>
        </w:rPr>
        <w:t>organisation</w:t>
      </w:r>
      <w:r w:rsidRPr="00EB1157">
        <w:rPr>
          <w:rFonts w:ascii="Calibri" w:eastAsia="Public Sans Light" w:hAnsi="Calibri" w:cs="Calibri"/>
          <w:sz w:val="24"/>
          <w:szCs w:val="24"/>
        </w:rPr>
        <w:t xml:space="preserve"> and their registered address. Yet the ICIBI found that even this information was not thoroughly checked by the Home Office, since inspectors uncovered ‘16 pages’ of sponsors using the same address.</w:t>
      </w:r>
      <w:r>
        <w:rPr>
          <w:rFonts w:ascii="Calibri" w:eastAsia="Public Sans Light" w:hAnsi="Calibri" w:cs="Calibri"/>
          <w:sz w:val="24"/>
          <w:szCs w:val="24"/>
          <w:vertAlign w:val="superscript"/>
        </w:rPr>
        <w:footnoteReference w:id="12"/>
      </w:r>
    </w:p>
    <w:p w:rsidR="003813B8" w:rsidRPr="00EB1157" w:rsidP="00EB1157">
      <w:pPr>
        <w:pBdr>
          <w:top w:val="nil"/>
          <w:left w:val="nil"/>
          <w:bottom w:val="nil"/>
          <w:right w:val="nil"/>
          <w:between w:val="nil"/>
        </w:pBdr>
        <w:contextualSpacing/>
        <w:rPr>
          <w:rFonts w:ascii="Calibri" w:eastAsia="Public Sans" w:hAnsi="Calibri" w:cs="Calibri"/>
          <w:b/>
          <w:sz w:val="24"/>
          <w:szCs w:val="24"/>
        </w:rPr>
      </w:pPr>
      <w:r w:rsidRPr="00EB1157">
        <w:rPr>
          <w:rFonts w:ascii="Calibri" w:eastAsia="Public Sans" w:hAnsi="Calibri" w:cs="Calibri"/>
          <w:b/>
          <w:sz w:val="24"/>
          <w:szCs w:val="24"/>
        </w:rPr>
        <w:t>Barriers to use of the Skilled Worker Visa route and implications of this</w:t>
      </w:r>
    </w:p>
    <w:p w:rsidR="003813B8" w:rsidRPr="00EB1157" w:rsidP="00EB1157">
      <w:pPr>
        <w:numPr>
          <w:ilvl w:val="0"/>
          <w:numId w:val="1"/>
        </w:numPr>
        <w:pBdr>
          <w:top w:val="nil"/>
          <w:left w:val="nil"/>
          <w:bottom w:val="nil"/>
          <w:right w:val="nil"/>
          <w:between w:val="nil"/>
        </w:pBdr>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FLEX’s recent research report on </w:t>
      </w:r>
      <w:r>
        <w:fldChar w:fldCharType="begin"/>
      </w:r>
      <w:r>
        <w:instrText xml:space="preserve"> HYPERLINK "https://labourexploitation.org/publications/the-uk-labour-migration-system-after-the-end-of-free-movement-employer-views-on-recruitment/" </w:instrText>
      </w:r>
      <w:r>
        <w:fldChar w:fldCharType="separate"/>
      </w:r>
      <w:r w:rsidRPr="00EB1157">
        <w:rPr>
          <w:rFonts w:ascii="Calibri" w:eastAsia="Public Sans Light" w:hAnsi="Calibri" w:cs="Calibri"/>
          <w:sz w:val="24"/>
          <w:szCs w:val="24"/>
          <w:u w:val="single"/>
        </w:rPr>
        <w:t xml:space="preserve">employers’ views on recruitment in the context of the UK’s </w:t>
      </w:r>
      <w:r w:rsidRPr="00EB1157">
        <w:rPr>
          <w:rFonts w:ascii="Calibri" w:eastAsia="Public Sans Light" w:hAnsi="Calibri" w:cs="Calibri"/>
          <w:sz w:val="24"/>
          <w:szCs w:val="24"/>
          <w:u w:val="single"/>
        </w:rPr>
        <w:t>labour</w:t>
      </w:r>
      <w:r w:rsidRPr="00EB1157">
        <w:rPr>
          <w:rFonts w:ascii="Calibri" w:eastAsia="Public Sans Light" w:hAnsi="Calibri" w:cs="Calibri"/>
          <w:sz w:val="24"/>
          <w:szCs w:val="24"/>
          <w:u w:val="single"/>
        </w:rPr>
        <w:t xml:space="preserve"> migration system after the end of free movement</w:t>
      </w:r>
      <w:r>
        <w:fldChar w:fldCharType="end"/>
      </w:r>
      <w:r w:rsidRPr="00EB1157">
        <w:rPr>
          <w:rFonts w:ascii="Calibri" w:eastAsia="Public Sans Light" w:hAnsi="Calibri" w:cs="Calibri"/>
          <w:sz w:val="24"/>
          <w:szCs w:val="24"/>
        </w:rPr>
        <w:t xml:space="preserve"> found that the cost of sponsorship and administrative burden were the two most cited reasons for a lack of employer’s engagement with visa routes whereas migrant workers cited recruitment related costs which can amount to significant sums creating risks of debt bondage.</w:t>
      </w:r>
      <w:r>
        <w:rPr>
          <w:rFonts w:ascii="Calibri" w:eastAsia="Public Sans Light" w:hAnsi="Calibri" w:cs="Calibri"/>
          <w:sz w:val="24"/>
          <w:szCs w:val="24"/>
          <w:vertAlign w:val="superscript"/>
        </w:rPr>
        <w:footnoteReference w:id="13"/>
      </w:r>
      <w:r w:rsidRPr="00EB1157">
        <w:rPr>
          <w:rFonts w:ascii="Calibri" w:eastAsia="Public Sans Light" w:hAnsi="Calibri" w:cs="Calibri"/>
          <w:sz w:val="24"/>
          <w:szCs w:val="24"/>
        </w:rPr>
        <w:t xml:space="preserve"> It is especially important that the use of restrictive or short term visas are not allowed to prevent the improvement of working conditions and pay in certain work sectors through facilitating access to workers who, due to immigration restrictions, are unable to challenge poor working conditions. </w:t>
      </w:r>
    </w:p>
    <w:p w:rsidR="003813B8" w:rsidRPr="00EB1157" w:rsidP="00EB1157">
      <w:pPr>
        <w:numPr>
          <w:ilvl w:val="0"/>
          <w:numId w:val="1"/>
        </w:numPr>
        <w:pBdr>
          <w:top w:val="nil"/>
          <w:left w:val="nil"/>
          <w:bottom w:val="nil"/>
          <w:right w:val="nil"/>
          <w:between w:val="nil"/>
        </w:pBdr>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In fishing there has been an increasing reliance on non-European Economic Area (EEA) migrant fishers, </w:t>
      </w:r>
      <w:r>
        <w:fldChar w:fldCharType="begin"/>
      </w:r>
      <w:r>
        <w:instrText xml:space="preserve"> HYPERLINK "https://labourexploitation.org/publications/closing-the-loophole-exploitation-of-migrant-fishing-workers/" </w:instrText>
      </w:r>
      <w:r>
        <w:fldChar w:fldCharType="separate"/>
      </w:r>
      <w:r w:rsidRPr="00EB1157">
        <w:rPr>
          <w:rFonts w:ascii="Calibri" w:eastAsia="Public Sans Light" w:hAnsi="Calibri" w:cs="Calibri"/>
          <w:sz w:val="24"/>
          <w:szCs w:val="24"/>
          <w:u w:val="single"/>
        </w:rPr>
        <w:t>FLEX’s briefing on the use of the ‘transit loophole’</w:t>
      </w:r>
      <w:r>
        <w:fldChar w:fldCharType="end"/>
      </w:r>
      <w:r w:rsidRPr="00EB1157">
        <w:rPr>
          <w:rFonts w:ascii="Calibri" w:eastAsia="Public Sans Light" w:hAnsi="Calibri" w:cs="Calibri"/>
          <w:sz w:val="24"/>
          <w:szCs w:val="24"/>
        </w:rPr>
        <w:t xml:space="preserve"> (formally known as Code 7 leave) for contract seaman sets out how this leaves migrant fishers exposed to exploitation risks and at risk of </w:t>
      </w:r>
      <w:r w:rsidRPr="00EB1157">
        <w:rPr>
          <w:rFonts w:ascii="Calibri" w:eastAsia="Public Sans Light" w:hAnsi="Calibri" w:cs="Calibri"/>
          <w:sz w:val="24"/>
          <w:szCs w:val="24"/>
        </w:rPr>
        <w:t>criminalisation</w:t>
      </w:r>
      <w:r w:rsidRPr="00EB1157">
        <w:rPr>
          <w:rFonts w:ascii="Calibri" w:eastAsia="Public Sans Light" w:hAnsi="Calibri" w:cs="Calibri"/>
          <w:sz w:val="24"/>
          <w:szCs w:val="24"/>
        </w:rPr>
        <w:t xml:space="preserve"> through the immigration rules. Fishers with a Code 7 stamp are left with few options if they are exploited. If they are working more than 12 nautical miles from the UK </w:t>
      </w:r>
      <w:r w:rsidRPr="00EB1157">
        <w:rPr>
          <w:rFonts w:ascii="Calibri" w:eastAsia="Public Sans Light" w:hAnsi="Calibri" w:cs="Calibri"/>
          <w:sz w:val="24"/>
          <w:szCs w:val="24"/>
        </w:rPr>
        <w:t>coast</w:t>
      </w:r>
      <w:r w:rsidRPr="00EB1157">
        <w:rPr>
          <w:rFonts w:ascii="Calibri" w:eastAsia="Public Sans Light" w:hAnsi="Calibri" w:cs="Calibri"/>
          <w:sz w:val="24"/>
          <w:szCs w:val="24"/>
        </w:rPr>
        <w:t xml:space="preserve"> they are outside of UK jurisdiction. If they are closer, even if for a limited period, they are breaching the immigration rules. This means that these workers are </w:t>
      </w:r>
      <w:r w:rsidRPr="00EB1157">
        <w:rPr>
          <w:rFonts w:ascii="Calibri" w:eastAsia="Public Sans Light" w:hAnsi="Calibri" w:cs="Calibri"/>
          <w:sz w:val="24"/>
          <w:szCs w:val="24"/>
        </w:rPr>
        <w:t>criminalised</w:t>
      </w:r>
      <w:r w:rsidRPr="00EB1157">
        <w:rPr>
          <w:rFonts w:ascii="Calibri" w:eastAsia="Public Sans Light" w:hAnsi="Calibri" w:cs="Calibri"/>
          <w:sz w:val="24"/>
          <w:szCs w:val="24"/>
        </w:rPr>
        <w:t>, and e</w:t>
      </w:r>
      <w:r w:rsidRPr="00EB1157">
        <w:rPr>
          <w:rFonts w:ascii="Calibri" w:eastAsia="Public Sans Light" w:hAnsi="Calibri" w:cs="Calibri"/>
          <w:sz w:val="24"/>
          <w:szCs w:val="24"/>
        </w:rPr>
        <w:t xml:space="preserve">ven if they are exploited, contacting the authorities will more likely lead to an immigration enforcement response than support to access rights. The limited support that exists, such as the UK’s National Referral Mechanism for identifying victims of trafficking, is difficult to access, rife with delays and does not allow people to work. The immigration restrictions for workers relying on a Code 7 stamp facilitate exploitation as they restrict access to external support and to rest opportunities as well as </w:t>
      </w:r>
      <w:r w:rsidRPr="00EB1157">
        <w:rPr>
          <w:rFonts w:ascii="Calibri" w:eastAsia="Public Sans Light" w:hAnsi="Calibri" w:cs="Calibri"/>
          <w:sz w:val="24"/>
          <w:szCs w:val="24"/>
        </w:rPr>
        <w:t xml:space="preserve">access to medical support. This means that unscrupulous employers can use the limitations of the ‘transit loophole’ to control workers. </w:t>
      </w:r>
    </w:p>
    <w:p w:rsidR="003813B8" w:rsidRPr="00EB1157" w:rsidP="00EB1157">
      <w:pPr>
        <w:numPr>
          <w:ilvl w:val="0"/>
          <w:numId w:val="1"/>
        </w:numPr>
        <w:pBdr>
          <w:top w:val="nil"/>
          <w:left w:val="nil"/>
          <w:bottom w:val="nil"/>
          <w:right w:val="nil"/>
          <w:between w:val="nil"/>
        </w:pBdr>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A recent Article 4 ECHR challenge, taken by migrant fishers against the Home Office, and reported on as settled by the Home Office on 24th October 2024, with settlement payments to each of the claimants argued that the Home Office breached the migrant fishers’ rights protected by Article 4 ECHR by failing to have in place systems to protect their rights and the rights of contract seamen like them from human trafficking, modern slavery and forced </w:t>
      </w:r>
      <w:r w:rsidRPr="00EB1157">
        <w:rPr>
          <w:rFonts w:ascii="Calibri" w:eastAsia="Public Sans Light" w:hAnsi="Calibri" w:cs="Calibri"/>
          <w:sz w:val="24"/>
          <w:szCs w:val="24"/>
        </w:rPr>
        <w:t>labour</w:t>
      </w:r>
      <w:r w:rsidRPr="00EB1157">
        <w:rPr>
          <w:rFonts w:ascii="Calibri" w:eastAsia="Public Sans Light" w:hAnsi="Calibri" w:cs="Calibri"/>
          <w:sz w:val="24"/>
          <w:szCs w:val="24"/>
        </w:rPr>
        <w:t>.</w:t>
      </w:r>
      <w:r>
        <w:rPr>
          <w:rFonts w:ascii="Calibri" w:eastAsia="Public Sans Light" w:hAnsi="Calibri" w:cs="Calibri"/>
          <w:sz w:val="24"/>
          <w:szCs w:val="24"/>
          <w:vertAlign w:val="superscript"/>
        </w:rPr>
        <w:footnoteReference w:id="14"/>
      </w:r>
      <w:r w:rsidRPr="00EB1157">
        <w:rPr>
          <w:rFonts w:ascii="Calibri" w:eastAsia="Public Sans Light" w:hAnsi="Calibri" w:cs="Calibri"/>
          <w:sz w:val="24"/>
          <w:szCs w:val="24"/>
        </w:rPr>
        <w:t xml:space="preserve"> </w:t>
      </w:r>
    </w:p>
    <w:p w:rsidR="003813B8" w:rsidRPr="00EB1157" w:rsidP="00EB1157">
      <w:pPr>
        <w:numPr>
          <w:ilvl w:val="0"/>
          <w:numId w:val="1"/>
        </w:numPr>
        <w:contextualSpacing/>
        <w:rPr>
          <w:rFonts w:ascii="Calibri" w:eastAsia="Public Sans Light" w:hAnsi="Calibri" w:cs="Calibri"/>
          <w:sz w:val="24"/>
          <w:szCs w:val="24"/>
        </w:rPr>
      </w:pPr>
      <w:r w:rsidRPr="00EB1157">
        <w:rPr>
          <w:rFonts w:ascii="Calibri" w:eastAsia="Public Sans Light" w:hAnsi="Calibri" w:cs="Calibri"/>
          <w:sz w:val="24"/>
          <w:szCs w:val="24"/>
        </w:rPr>
        <w:t>Fishing workers are included on the Immigration Salary List (codes 5119 and 9119). In 2024, despite a recommendation from the Migration Advisory Committee to exclude fishing roles on the new Immigration Salary List in order to address the risks of exploitation for migrant workers, the Government did not accept this recommendation (while accepting all other ISL recommendations).</w:t>
      </w:r>
      <w:r>
        <w:rPr>
          <w:rFonts w:ascii="Calibri" w:eastAsia="Public Sans Light" w:hAnsi="Calibri" w:cs="Calibri"/>
          <w:sz w:val="24"/>
          <w:szCs w:val="24"/>
          <w:vertAlign w:val="superscript"/>
        </w:rPr>
        <w:footnoteReference w:id="15"/>
      </w:r>
      <w:r w:rsidRPr="00EB1157">
        <w:rPr>
          <w:rFonts w:ascii="Calibri" w:eastAsia="Public Sans Light" w:hAnsi="Calibri" w:cs="Calibri"/>
          <w:sz w:val="24"/>
          <w:szCs w:val="24"/>
        </w:rPr>
        <w:t xml:space="preserve"> Where migrant fishers enter the UK on a Skilled Worker visa there is far more clarity about their rights and entitlements under UK law. For example, workers have been able to leave abusive employers and, with assistance, find new work in fishing with a different employer willing and able to sponsor their visa.</w:t>
      </w:r>
    </w:p>
    <w:p w:rsidR="003813B8" w:rsidRPr="00EB1157" w:rsidP="00EB1157">
      <w:pPr>
        <w:numPr>
          <w:ilvl w:val="0"/>
          <w:numId w:val="1"/>
        </w:numPr>
        <w:contextualSpacing/>
        <w:rPr>
          <w:rFonts w:ascii="Calibri" w:eastAsia="Public Sans Light" w:hAnsi="Calibri" w:cs="Calibri"/>
          <w:sz w:val="24"/>
          <w:szCs w:val="24"/>
        </w:rPr>
      </w:pPr>
      <w:r w:rsidRPr="00EB1157">
        <w:rPr>
          <w:rFonts w:ascii="Calibri" w:eastAsia="Public Sans Light" w:hAnsi="Calibri" w:cs="Calibri"/>
          <w:sz w:val="24"/>
          <w:szCs w:val="24"/>
        </w:rPr>
        <w:t>Industry figures in fishing have stated that the Skilled Worker route is not suited to the sector.</w:t>
      </w:r>
      <w:r>
        <w:rPr>
          <w:rFonts w:ascii="Calibri" w:eastAsia="Public Sans Light" w:hAnsi="Calibri" w:cs="Calibri"/>
          <w:sz w:val="24"/>
          <w:szCs w:val="24"/>
          <w:vertAlign w:val="superscript"/>
        </w:rPr>
        <w:footnoteReference w:id="16"/>
      </w:r>
      <w:r w:rsidRPr="00EB1157">
        <w:rPr>
          <w:rFonts w:ascii="Calibri" w:eastAsia="Public Sans Light" w:hAnsi="Calibri" w:cs="Calibri"/>
          <w:sz w:val="24"/>
          <w:szCs w:val="24"/>
        </w:rPr>
        <w:t xml:space="preserve"> The English language requirement is viewed as a major impediment. Additionally, while only the lowered Immigration Salary List visa fees are applicable, employers may be dissuaded by the costs in comparison to the ‘transit loophole’, as well as a minimum salary of £30,960, or a lower salary of £25,000 where the worker is under 26, studying or a recent graduate, or in professional training.</w:t>
      </w:r>
      <w:r>
        <w:rPr>
          <w:rFonts w:ascii="Calibri" w:eastAsia="Public Sans Light" w:hAnsi="Calibri" w:cs="Calibri"/>
          <w:sz w:val="24"/>
          <w:szCs w:val="24"/>
          <w:vertAlign w:val="superscript"/>
        </w:rPr>
        <w:footnoteReference w:id="17"/>
      </w:r>
    </w:p>
    <w:p w:rsidR="003813B8" w:rsidRPr="00EB1157" w:rsidP="00EB1157">
      <w:pPr>
        <w:contextualSpacing/>
        <w:rPr>
          <w:rFonts w:ascii="Calibri" w:eastAsia="Public Sans" w:hAnsi="Calibri" w:cs="Calibri"/>
          <w:b/>
          <w:sz w:val="24"/>
          <w:szCs w:val="24"/>
        </w:rPr>
      </w:pPr>
      <w:r w:rsidRPr="00EB1157">
        <w:rPr>
          <w:rFonts w:ascii="Calibri" w:eastAsia="Public Sans" w:hAnsi="Calibri" w:cs="Calibri"/>
          <w:b/>
          <w:sz w:val="24"/>
          <w:szCs w:val="24"/>
        </w:rPr>
        <w:t>Recommendations</w:t>
      </w:r>
    </w:p>
    <w:p w:rsidR="003813B8" w:rsidRPr="00EB1157" w:rsidP="00EB1157">
      <w:pPr>
        <w:numPr>
          <w:ilvl w:val="0"/>
          <w:numId w:val="1"/>
        </w:numPr>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The UK’s work visa system needs to proactively mitigate the dependencies created by the employer / sponsor relationship. </w:t>
      </w:r>
    </w:p>
    <w:p w:rsidR="003813B8" w:rsidRPr="00EB1157" w:rsidP="00EB1157">
      <w:pPr>
        <w:numPr>
          <w:ilvl w:val="0"/>
          <w:numId w:val="1"/>
        </w:numPr>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While outside the scope of this audit the use of </w:t>
      </w:r>
      <w:r w:rsidRPr="00EB1157">
        <w:rPr>
          <w:rFonts w:ascii="Calibri" w:eastAsia="Public Sans Light" w:hAnsi="Calibri" w:cs="Calibri"/>
          <w:sz w:val="24"/>
          <w:szCs w:val="24"/>
        </w:rPr>
        <w:t>short term</w:t>
      </w:r>
      <w:r w:rsidRPr="00EB1157">
        <w:rPr>
          <w:rFonts w:ascii="Calibri" w:eastAsia="Public Sans Light" w:hAnsi="Calibri" w:cs="Calibri"/>
          <w:sz w:val="24"/>
          <w:szCs w:val="24"/>
        </w:rPr>
        <w:t xml:space="preserve"> work visas in particular creates dependencies and an inability to improve working conditions in the UK which undermines access to rights. The recent example of the revocation of a sponsor’s </w:t>
      </w:r>
      <w:r w:rsidRPr="00EB1157">
        <w:rPr>
          <w:rFonts w:ascii="Calibri" w:eastAsia="Public Sans Light" w:hAnsi="Calibri" w:cs="Calibri"/>
          <w:sz w:val="24"/>
          <w:szCs w:val="24"/>
        </w:rPr>
        <w:t>licence</w:t>
      </w:r>
      <w:r w:rsidRPr="00EB1157">
        <w:rPr>
          <w:rFonts w:ascii="Calibri" w:eastAsia="Public Sans Light" w:hAnsi="Calibri" w:cs="Calibri"/>
          <w:sz w:val="24"/>
          <w:szCs w:val="24"/>
        </w:rPr>
        <w:t xml:space="preserve"> within the agricultural seasonal worker visa scheme</w:t>
      </w:r>
      <w:r>
        <w:rPr>
          <w:rFonts w:ascii="Calibri" w:eastAsia="Public Sans Light" w:hAnsi="Calibri" w:cs="Calibri"/>
          <w:sz w:val="24"/>
          <w:szCs w:val="24"/>
          <w:vertAlign w:val="superscript"/>
        </w:rPr>
        <w:footnoteReference w:id="18"/>
      </w:r>
      <w:r w:rsidRPr="00EB1157">
        <w:rPr>
          <w:rFonts w:ascii="Calibri" w:eastAsia="Public Sans Light" w:hAnsi="Calibri" w:cs="Calibri"/>
          <w:sz w:val="24"/>
          <w:szCs w:val="24"/>
        </w:rPr>
        <w:t xml:space="preserve"> has demonstrated how the guidance is overly inflexible, with the Home Office having confirmed it has placed workers on the scheme with other operators to avoid them being unfairly affected by the revocation and losing their visas and jobs.</w:t>
      </w:r>
      <w:r>
        <w:rPr>
          <w:rFonts w:ascii="Calibri" w:eastAsia="Public Sans Light" w:hAnsi="Calibri" w:cs="Calibri"/>
          <w:sz w:val="24"/>
          <w:szCs w:val="24"/>
          <w:vertAlign w:val="superscript"/>
        </w:rPr>
        <w:footnoteReference w:id="19"/>
      </w:r>
      <w:r w:rsidRPr="00EB1157">
        <w:rPr>
          <w:rFonts w:ascii="Calibri" w:eastAsia="Public Sans Light" w:hAnsi="Calibri" w:cs="Calibri"/>
          <w:sz w:val="24"/>
          <w:szCs w:val="24"/>
        </w:rPr>
        <w:t xml:space="preserve"> While it is commendable that workers were supported in this instance it is </w:t>
      </w:r>
      <w:r w:rsidRPr="00EB1157">
        <w:rPr>
          <w:rFonts w:ascii="Calibri" w:eastAsia="Public Sans Light" w:hAnsi="Calibri" w:cs="Calibri"/>
          <w:sz w:val="24"/>
          <w:szCs w:val="24"/>
        </w:rPr>
        <w:t xml:space="preserve">vital that the scheme guidance is updated to provide all workers on the scheme with the assurance that they will not lose their visa in the event of their sponsor’s </w:t>
      </w:r>
      <w:r w:rsidRPr="00EB1157">
        <w:rPr>
          <w:rFonts w:ascii="Calibri" w:eastAsia="Public Sans Light" w:hAnsi="Calibri" w:cs="Calibri"/>
          <w:sz w:val="24"/>
          <w:szCs w:val="24"/>
        </w:rPr>
        <w:t>licence</w:t>
      </w:r>
      <w:r w:rsidRPr="00EB1157">
        <w:rPr>
          <w:rFonts w:ascii="Calibri" w:eastAsia="Public Sans Light" w:hAnsi="Calibri" w:cs="Calibri"/>
          <w:sz w:val="24"/>
          <w:szCs w:val="24"/>
        </w:rPr>
        <w:t xml:space="preserve"> revocation. Ultimately, FLEX together with other members of the Seasonal Worker Interest Group is calling for an urgent overhaul of the scheme to address the risks to migrant workers.</w:t>
      </w:r>
      <w:r>
        <w:rPr>
          <w:rFonts w:ascii="Calibri" w:eastAsia="Public Sans Light" w:hAnsi="Calibri" w:cs="Calibri"/>
          <w:sz w:val="24"/>
          <w:szCs w:val="24"/>
          <w:vertAlign w:val="superscript"/>
        </w:rPr>
        <w:footnoteReference w:id="20"/>
      </w:r>
      <w:r w:rsidRPr="00EB1157">
        <w:rPr>
          <w:rFonts w:ascii="Calibri" w:eastAsia="Public Sans Light" w:hAnsi="Calibri" w:cs="Calibri"/>
          <w:sz w:val="24"/>
          <w:szCs w:val="24"/>
        </w:rPr>
        <w:t xml:space="preserve"> </w:t>
      </w:r>
    </w:p>
    <w:p w:rsidR="003813B8" w:rsidRPr="00EB1157" w:rsidP="00EB1157">
      <w:pPr>
        <w:ind w:left="720"/>
        <w:contextualSpacing/>
        <w:rPr>
          <w:rFonts w:ascii="Calibri" w:eastAsia="Public Sans" w:hAnsi="Calibri" w:cs="Calibri"/>
          <w:b/>
          <w:sz w:val="24"/>
          <w:szCs w:val="24"/>
        </w:rPr>
      </w:pPr>
      <w:r w:rsidRPr="00EB1157">
        <w:rPr>
          <w:rFonts w:ascii="Calibri" w:eastAsia="Public Sans" w:hAnsi="Calibri" w:cs="Calibri"/>
          <w:b/>
          <w:sz w:val="24"/>
          <w:szCs w:val="24"/>
        </w:rPr>
        <w:t xml:space="preserve">End the use of </w:t>
      </w:r>
      <w:r w:rsidRPr="00EB1157">
        <w:rPr>
          <w:rFonts w:ascii="Calibri" w:eastAsia="Public Sans" w:hAnsi="Calibri" w:cs="Calibri"/>
          <w:b/>
          <w:sz w:val="24"/>
          <w:szCs w:val="24"/>
        </w:rPr>
        <w:t>short term</w:t>
      </w:r>
      <w:r w:rsidRPr="00EB1157">
        <w:rPr>
          <w:rFonts w:ascii="Calibri" w:eastAsia="Public Sans" w:hAnsi="Calibri" w:cs="Calibri"/>
          <w:b/>
          <w:sz w:val="24"/>
          <w:szCs w:val="24"/>
        </w:rPr>
        <w:t xml:space="preserve"> visas</w:t>
      </w:r>
    </w:p>
    <w:p w:rsidR="003813B8" w:rsidRPr="00EB1157" w:rsidP="00EB1157">
      <w:pPr>
        <w:numPr>
          <w:ilvl w:val="0"/>
          <w:numId w:val="1"/>
        </w:numPr>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All UK work visas should be renewable subject to ongoing employment, with a pathway to settlement. This would benefit both workers and employers, with employers having an option to retain experienced workers and workers having the option to apply to renew their visa, if they had an offer of ongoing employment, and wanted to do so. It would reduce the risks of migration costs and mean that migrant workers would be better placed to </w:t>
      </w:r>
      <w:r w:rsidRPr="00EB1157">
        <w:rPr>
          <w:rFonts w:ascii="Calibri" w:eastAsia="Public Sans Light" w:hAnsi="Calibri" w:cs="Calibri"/>
          <w:sz w:val="24"/>
          <w:szCs w:val="24"/>
        </w:rPr>
        <w:t>organise</w:t>
      </w:r>
      <w:r w:rsidRPr="00EB1157">
        <w:rPr>
          <w:rFonts w:ascii="Calibri" w:eastAsia="Public Sans Light" w:hAnsi="Calibri" w:cs="Calibri"/>
          <w:sz w:val="24"/>
          <w:szCs w:val="24"/>
        </w:rPr>
        <w:t xml:space="preserve"> and build networks, increasing their security in the UK and negotiating power. All work visas should include the flexibility for workers to switch employers to prevent exploitation and to drive up standards. </w:t>
      </w:r>
    </w:p>
    <w:p w:rsidR="003813B8" w:rsidRPr="00EB1157" w:rsidP="00EB1157">
      <w:pPr>
        <w:ind w:left="720"/>
        <w:contextualSpacing/>
        <w:rPr>
          <w:rFonts w:ascii="Calibri" w:eastAsia="Public Sans" w:hAnsi="Calibri" w:cs="Calibri"/>
          <w:b/>
          <w:sz w:val="24"/>
          <w:szCs w:val="24"/>
        </w:rPr>
      </w:pPr>
      <w:r w:rsidRPr="00EB1157">
        <w:rPr>
          <w:rFonts w:ascii="Calibri" w:eastAsia="Public Sans" w:hAnsi="Calibri" w:cs="Calibri"/>
          <w:b/>
          <w:sz w:val="24"/>
          <w:szCs w:val="24"/>
        </w:rPr>
        <w:t xml:space="preserve">Secure reporting </w:t>
      </w:r>
    </w:p>
    <w:p w:rsidR="003813B8" w:rsidRPr="00EB1157" w:rsidP="00EB1157">
      <w:pPr>
        <w:numPr>
          <w:ilvl w:val="0"/>
          <w:numId w:val="1"/>
        </w:numPr>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Access to secure reporting pathways is key to ensuring that all workers can report exploitation and crimes committed against them or others, without fear their data will be shared with immigration enforcement. Without secure reporting pathways unscrupulous employers will continue to use threats of immigration enforcement and visa cancellation to prevent workers speaking up about mistreatment or accessing redress. </w:t>
      </w:r>
    </w:p>
    <w:p w:rsidR="003813B8" w:rsidRPr="00EB1157" w:rsidP="00EB1157">
      <w:pPr>
        <w:pBdr>
          <w:top w:val="nil"/>
          <w:left w:val="nil"/>
          <w:bottom w:val="nil"/>
          <w:right w:val="nil"/>
          <w:between w:val="nil"/>
        </w:pBdr>
        <w:ind w:left="720"/>
        <w:contextualSpacing/>
        <w:rPr>
          <w:rFonts w:ascii="Calibri" w:eastAsia="Public Sans" w:hAnsi="Calibri" w:cs="Calibri"/>
          <w:b/>
          <w:sz w:val="24"/>
          <w:szCs w:val="24"/>
        </w:rPr>
      </w:pPr>
      <w:r w:rsidRPr="00EB1157">
        <w:rPr>
          <w:rFonts w:ascii="Calibri" w:eastAsia="Public Sans" w:hAnsi="Calibri" w:cs="Calibri"/>
          <w:b/>
          <w:sz w:val="24"/>
          <w:szCs w:val="24"/>
        </w:rPr>
        <w:t>Bridging Visas and non-cancellation clauses</w:t>
      </w:r>
    </w:p>
    <w:p w:rsidR="003813B8" w:rsidRPr="00EB1157" w:rsidP="00EB1157">
      <w:pPr>
        <w:numPr>
          <w:ilvl w:val="0"/>
          <w:numId w:val="1"/>
        </w:numPr>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For workers to be able to avail of their rights and hold exploitative employers to account, they need to feel able to come forward, and to not be pushed into becoming undocumented or </w:t>
      </w:r>
      <w:r w:rsidRPr="00EB1157">
        <w:rPr>
          <w:rFonts w:ascii="Calibri" w:eastAsia="Public Sans Light" w:hAnsi="Calibri" w:cs="Calibri"/>
          <w:sz w:val="24"/>
          <w:szCs w:val="24"/>
        </w:rPr>
        <w:t>criminalised</w:t>
      </w:r>
      <w:r w:rsidRPr="00EB1157">
        <w:rPr>
          <w:rFonts w:ascii="Calibri" w:eastAsia="Public Sans Light" w:hAnsi="Calibri" w:cs="Calibri"/>
          <w:sz w:val="24"/>
          <w:szCs w:val="24"/>
        </w:rPr>
        <w:t xml:space="preserve"> by the actions of their exploiter. While creating secure reporting pathways is central to this, without bridging visas, or ways to prevent an employer cancelling their employees visa in retribution, many workers will still feel it is too risky to speak out. </w:t>
      </w:r>
    </w:p>
    <w:p w:rsidR="003813B8" w:rsidRPr="00EB1157" w:rsidP="00EB1157">
      <w:pPr>
        <w:numPr>
          <w:ilvl w:val="0"/>
          <w:numId w:val="1"/>
        </w:numPr>
        <w:contextualSpacing/>
        <w:rPr>
          <w:rFonts w:ascii="Calibri" w:eastAsia="Public Sans Light" w:hAnsi="Calibri" w:cs="Calibri"/>
          <w:sz w:val="24"/>
          <w:szCs w:val="24"/>
        </w:rPr>
      </w:pPr>
      <w:r w:rsidRPr="00EB1157">
        <w:rPr>
          <w:rFonts w:ascii="Calibri" w:eastAsia="Public Sans Light" w:hAnsi="Calibri" w:cs="Calibri"/>
          <w:sz w:val="24"/>
          <w:szCs w:val="24"/>
        </w:rPr>
        <w:t>Bridging visas would mean that workers are able to enforce their rights and continue to contribute to the UK economy without fear of exploitation. International practice exists across the world that can be drawn from in developing a model that works for the UK context. This includes the ‘Workplace Justice visa’ in Australia, the Employment Reactivation Permit in the Republic of Ireland and the Open Work Permit in Canada. Moreover, it would act as an extension of existing practice in delaying the issuance of</w:t>
      </w:r>
      <w:r w:rsidRPr="00EB1157">
        <w:rPr>
          <w:rFonts w:ascii="Calibri" w:eastAsia="Public Sans Light" w:hAnsi="Calibri" w:cs="Calibri"/>
          <w:sz w:val="24"/>
          <w:szCs w:val="24"/>
        </w:rPr>
        <w:t xml:space="preserve"> curtailment letters to workers on the Health &amp; Care Work visa whose sponsor has had their sponsorship license revoked. This would act to provide greater clarity and transparency to existing </w:t>
      </w:r>
      <w:r w:rsidRPr="00EB1157">
        <w:rPr>
          <w:rFonts w:ascii="Calibri" w:eastAsia="Public Sans Light" w:hAnsi="Calibri" w:cs="Calibri"/>
          <w:sz w:val="24"/>
          <w:szCs w:val="24"/>
        </w:rPr>
        <w:t>practice, and</w:t>
      </w:r>
      <w:r w:rsidRPr="00EB1157">
        <w:rPr>
          <w:rFonts w:ascii="Calibri" w:eastAsia="Public Sans Light" w:hAnsi="Calibri" w:cs="Calibri"/>
          <w:sz w:val="24"/>
          <w:szCs w:val="24"/>
        </w:rPr>
        <w:t xml:space="preserve"> </w:t>
      </w:r>
      <w:r w:rsidRPr="00EB1157">
        <w:rPr>
          <w:rFonts w:ascii="Calibri" w:eastAsia="Public Sans Light" w:hAnsi="Calibri" w:cs="Calibri"/>
          <w:sz w:val="24"/>
          <w:szCs w:val="24"/>
        </w:rPr>
        <w:t>ensure that workers would be able to challenge exploitative practices without fear of detriment.</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360"/>
      </w:tblGrid>
      <w:tr>
        <w:tblPrEx>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Ex>
        <w:tc>
          <w:tcPr>
            <w:tcW w:w="9360" w:type="dxa"/>
            <w:tcBorders>
              <w:top w:val="nil"/>
              <w:left w:val="nil"/>
              <w:bottom w:val="nil"/>
              <w:right w:val="nil"/>
            </w:tcBorders>
            <w:shd w:val="clear" w:color="auto" w:fill="F3F3F3"/>
            <w:tcMar>
              <w:top w:w="100" w:type="dxa"/>
              <w:left w:w="100" w:type="dxa"/>
              <w:bottom w:w="100" w:type="dxa"/>
              <w:right w:w="100" w:type="dxa"/>
            </w:tcMar>
          </w:tcPr>
          <w:p w:rsidR="003813B8" w:rsidRPr="00EB1157" w:rsidP="00EB1157">
            <w:pPr>
              <w:widowControl w:val="0"/>
              <w:contextualSpacing/>
              <w:rPr>
                <w:rFonts w:ascii="Calibri" w:eastAsia="Public Sans" w:hAnsi="Calibri" w:cs="Calibri"/>
                <w:b/>
                <w:sz w:val="24"/>
                <w:szCs w:val="24"/>
              </w:rPr>
            </w:pPr>
            <w:r w:rsidRPr="00EB1157">
              <w:rPr>
                <w:rFonts w:ascii="Calibri" w:eastAsia="Public Sans" w:hAnsi="Calibri" w:cs="Calibri"/>
                <w:b/>
                <w:sz w:val="24"/>
                <w:szCs w:val="24"/>
              </w:rPr>
              <w:t>Australian Workplace Justice visa</w:t>
            </w:r>
          </w:p>
          <w:p w:rsidR="003813B8" w:rsidRPr="00EB1157" w:rsidP="00EB1157">
            <w:pPr>
              <w:widowControl w:val="0"/>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The Workplace Justice visa is a temporary visa that allows temporary visa holders, or recent temporary visa holders, to stay in Australia to take legal action if they have been exploited at work. They must hold, or have held, a temporary visa with work rights to obtain a Workplace Justice visa. </w:t>
            </w:r>
          </w:p>
          <w:p w:rsidR="003813B8" w:rsidRPr="00EB1157" w:rsidP="00EB1157">
            <w:pPr>
              <w:widowControl w:val="0"/>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It allows workers to remain in Australia for 6 to 12 months to pursue a workplace exploitation claim relating to their employer. They are allowed to work while they hold this visa. The visa application can also include family </w:t>
            </w:r>
            <w:r w:rsidRPr="00EB1157">
              <w:rPr>
                <w:rFonts w:ascii="Calibri" w:eastAsia="Public Sans Light" w:hAnsi="Calibri" w:cs="Calibri"/>
                <w:sz w:val="24"/>
                <w:szCs w:val="24"/>
              </w:rPr>
              <w:t>members if they are in Australia with the worker.</w:t>
            </w:r>
          </w:p>
          <w:p w:rsidR="003813B8" w:rsidRPr="00EB1157" w:rsidP="00EB1157">
            <w:pPr>
              <w:widowControl w:val="0"/>
              <w:contextualSpacing/>
              <w:rPr>
                <w:rFonts w:ascii="Calibri" w:eastAsia="Public Sans Light" w:hAnsi="Calibri" w:cs="Calibri"/>
                <w:sz w:val="24"/>
                <w:szCs w:val="24"/>
              </w:rPr>
            </w:pPr>
            <w:r w:rsidRPr="00EB1157">
              <w:rPr>
                <w:rFonts w:ascii="Calibri" w:eastAsia="Public Sans Light" w:hAnsi="Calibri" w:cs="Calibri"/>
                <w:sz w:val="24"/>
                <w:szCs w:val="24"/>
              </w:rPr>
              <w:t>In addition to the visa Australia has also introduced non visa cancellation provisions in the form of the Strengthening Reporting Protections Pilot which allows some temporary visa holders who have been exploited at work to apply for a protection against their visa being cancelled.</w:t>
            </w:r>
          </w:p>
        </w:tc>
      </w:tr>
    </w:tbl>
    <w:p w:rsidR="003813B8" w:rsidRPr="00EB1157" w:rsidP="00EB1157">
      <w:pPr>
        <w:numPr>
          <w:ilvl w:val="0"/>
          <w:numId w:val="1"/>
        </w:numPr>
        <w:contextualSpacing/>
        <w:rPr>
          <w:rFonts w:ascii="Calibri" w:eastAsia="Public Sans Light" w:hAnsi="Calibri" w:cs="Calibri"/>
          <w:sz w:val="24"/>
          <w:szCs w:val="24"/>
        </w:rPr>
      </w:pPr>
      <w:r w:rsidRPr="00EB1157">
        <w:rPr>
          <w:rFonts w:ascii="Calibri" w:eastAsia="Public Sans Light" w:hAnsi="Calibri" w:cs="Calibri"/>
          <w:sz w:val="24"/>
          <w:szCs w:val="24"/>
        </w:rPr>
        <w:t xml:space="preserve">The UK also has precedent of good practice such as the introduction of the original Overseas Domestic Worker visa in 1998, </w:t>
      </w:r>
      <w:r w:rsidRPr="00EB1157">
        <w:rPr>
          <w:rFonts w:ascii="Calibri" w:eastAsia="Public Sans Light" w:hAnsi="Calibri" w:cs="Calibri"/>
          <w:sz w:val="24"/>
          <w:szCs w:val="24"/>
        </w:rPr>
        <w:t>regularising</w:t>
      </w:r>
      <w:r w:rsidRPr="00EB1157">
        <w:rPr>
          <w:rFonts w:ascii="Calibri" w:eastAsia="Public Sans Light" w:hAnsi="Calibri" w:cs="Calibri"/>
          <w:sz w:val="24"/>
          <w:szCs w:val="24"/>
        </w:rPr>
        <w:t xml:space="preserve"> domestic workers who had entered the UK with their employers under a concession leaving them with unclear status and unable to access employment rights. More recently, UK’s Ukraine Extension Schemes allowed those who met the criteria to switch onto this status giving them permission to work in any sector and recourse to public funds. For </w:t>
      </w:r>
      <w:r w:rsidRPr="00EB1157">
        <w:rPr>
          <w:rFonts w:ascii="Calibri" w:eastAsia="Public Sans Light" w:hAnsi="Calibri" w:cs="Calibri"/>
          <w:sz w:val="24"/>
          <w:szCs w:val="24"/>
        </w:rPr>
        <w:t>example</w:t>
      </w:r>
      <w:r w:rsidRPr="00EB1157">
        <w:rPr>
          <w:rFonts w:ascii="Calibri" w:eastAsia="Public Sans Light" w:hAnsi="Calibri" w:cs="Calibri"/>
          <w:sz w:val="24"/>
          <w:szCs w:val="24"/>
        </w:rPr>
        <w:t xml:space="preserve"> eligible Ukrainian nationals on the Seasonal Worker visa were able to switch onto the scheme. The protections within the schemes have been </w:t>
      </w:r>
      <w:r w:rsidRPr="00EB1157">
        <w:rPr>
          <w:rFonts w:ascii="Calibri" w:eastAsia="Public Sans Light" w:hAnsi="Calibri" w:cs="Calibri"/>
          <w:sz w:val="24"/>
          <w:szCs w:val="24"/>
        </w:rPr>
        <w:t>recognised</w:t>
      </w:r>
      <w:r w:rsidRPr="00EB1157">
        <w:rPr>
          <w:rFonts w:ascii="Calibri" w:eastAsia="Public Sans Light" w:hAnsi="Calibri" w:cs="Calibri"/>
          <w:sz w:val="24"/>
          <w:szCs w:val="24"/>
        </w:rPr>
        <w:t xml:space="preserve"> a</w:t>
      </w:r>
      <w:r w:rsidRPr="00EB1157">
        <w:rPr>
          <w:rFonts w:ascii="Calibri" w:eastAsia="Public Sans Light" w:hAnsi="Calibri" w:cs="Calibri"/>
          <w:sz w:val="24"/>
          <w:szCs w:val="24"/>
        </w:rPr>
        <w:t>s actively reducing the risk of exploitation.</w:t>
      </w:r>
      <w:r>
        <w:rPr>
          <w:rFonts w:ascii="Calibri" w:eastAsia="Public Sans Light" w:hAnsi="Calibri" w:cs="Calibri"/>
          <w:sz w:val="24"/>
          <w:szCs w:val="24"/>
          <w:vertAlign w:val="superscript"/>
        </w:rPr>
        <w:footnoteReference w:id="21"/>
      </w:r>
      <w:r w:rsidRPr="00EB1157">
        <w:rPr>
          <w:rFonts w:ascii="Calibri" w:eastAsia="Public Sans Light" w:hAnsi="Calibri" w:cs="Calibri"/>
          <w:sz w:val="24"/>
          <w:szCs w:val="24"/>
        </w:rPr>
        <w:t xml:space="preserve"> </w:t>
      </w:r>
    </w:p>
    <w:sectPr>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917CE4A-B255-4B97-90A8-E0B293C4A48D}"/>
    <w:embedBold r:id="rId2" w:fontKey="{59512C16-0E94-4165-AE65-321C2F93F9A5}"/>
    <w:embedItalic r:id="rId3" w:fontKey="{6CCEFCD9-D99D-4226-8F69-10D8A82B5A32}"/>
  </w:font>
  <w:font w:name="Public Sans Light">
    <w:charset w:val="4D"/>
    <w:family w:val="auto"/>
    <w:pitch w:val="variable"/>
    <w:sig w:usb0="A00000FF" w:usb1="4000205B" w:usb2="00000000" w:usb3="00000000" w:csb0="00000193" w:csb1="00000000"/>
  </w:font>
  <w:font w:name="Public Sans">
    <w:charset w:val="4D"/>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embedRegular r:id="rId4" w:fontKey="{927788B8-8C1A-4437-AC69-54BB4CB706E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B11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B11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B11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733C03">
      <w:pPr>
        <w:spacing w:line="240" w:lineRule="auto"/>
      </w:pPr>
      <w:r>
        <w:separator/>
      </w:r>
    </w:p>
  </w:footnote>
  <w:footnote w:type="continuationSeparator" w:id="1">
    <w:p w:rsidR="00733C03">
      <w:pPr>
        <w:spacing w:line="240" w:lineRule="auto"/>
      </w:pPr>
      <w:r>
        <w:continuationSeparator/>
      </w:r>
    </w:p>
  </w:footnote>
  <w:footnote w:id="2">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FLEX (2019), Disposable Workers: the future of the UK’s migrant workforce, p.6. Available at: </w:t>
      </w:r>
      <w:r w:rsidRPr="00EB1157">
        <w:rPr>
          <w:rFonts w:ascii="Calibri" w:hAnsi="Calibri" w:cs="Calibri"/>
          <w:sz w:val="16"/>
          <w:szCs w:val="16"/>
        </w:rPr>
        <w:t>https://labourexploitation.org/app/uploads/2019/03/FLEX_Briefing_DisposableWorkers_Final.pdf ;</w:t>
      </w:r>
      <w:r w:rsidRPr="00EB1157">
        <w:rPr>
          <w:rFonts w:ascii="Calibri" w:hAnsi="Calibri" w:cs="Calibri"/>
          <w:sz w:val="16"/>
          <w:szCs w:val="16"/>
        </w:rPr>
        <w:t xml:space="preserve"> FLEX (2019), The Risks of Exploitation in Temporary Migration </w:t>
      </w:r>
      <w:r w:rsidRPr="00EB1157">
        <w:rPr>
          <w:rFonts w:ascii="Calibri" w:hAnsi="Calibri" w:cs="Calibri"/>
          <w:sz w:val="16"/>
          <w:szCs w:val="16"/>
        </w:rPr>
        <w:t>Programmes</w:t>
      </w:r>
      <w:r w:rsidRPr="00EB1157">
        <w:rPr>
          <w:rFonts w:ascii="Calibri" w:hAnsi="Calibri" w:cs="Calibri"/>
          <w:sz w:val="16"/>
          <w:szCs w:val="16"/>
        </w:rPr>
        <w:t>: A FLEX response to the 2018 Immigration White Paper, p.16. Available at: https://labourexploitation.org/app/uploads/2019/05/Report_Risks-of-Exploitation-in-TMPs_May-2019_Final.pdf; FLEX (2018), Preventing exploitation in the shadow of Brexit: The r</w:t>
      </w:r>
      <w:r w:rsidRPr="00EB1157">
        <w:rPr>
          <w:rFonts w:ascii="Calibri" w:hAnsi="Calibri" w:cs="Calibri"/>
          <w:sz w:val="16"/>
          <w:szCs w:val="16"/>
        </w:rPr>
        <w:t xml:space="preserve">isks of temporary migration </w:t>
      </w:r>
      <w:r w:rsidRPr="00EB1157">
        <w:rPr>
          <w:rFonts w:ascii="Calibri" w:hAnsi="Calibri" w:cs="Calibri"/>
          <w:sz w:val="16"/>
          <w:szCs w:val="16"/>
        </w:rPr>
        <w:t>programmes</w:t>
      </w:r>
      <w:r w:rsidRPr="00EB1157">
        <w:rPr>
          <w:rFonts w:ascii="Calibri" w:hAnsi="Calibri" w:cs="Calibri"/>
          <w:sz w:val="16"/>
          <w:szCs w:val="16"/>
        </w:rPr>
        <w:t xml:space="preserve">, p.6, Available at: https://labourexploitation.org/app/uploads/2018/09/FLEX-Briefing-temporary-migration_FINAL.pdf; FLEX &amp; LEAG (2017), Lost in Translation: Brexit &amp; </w:t>
      </w:r>
      <w:r w:rsidRPr="00EB1157">
        <w:rPr>
          <w:rFonts w:ascii="Calibri" w:hAnsi="Calibri" w:cs="Calibri"/>
          <w:sz w:val="16"/>
          <w:szCs w:val="16"/>
        </w:rPr>
        <w:t>labour</w:t>
      </w:r>
      <w:r w:rsidRPr="00EB1157">
        <w:rPr>
          <w:rFonts w:ascii="Calibri" w:hAnsi="Calibri" w:cs="Calibri"/>
          <w:sz w:val="16"/>
          <w:szCs w:val="16"/>
        </w:rPr>
        <w:t xml:space="preserve"> exploitation, p.12. Available at: https://labourexploitation.org/app/uploads/2017/08/LEAGPOSITION-Impacts-of-Brexit-Final.pdf.</w:t>
      </w:r>
    </w:p>
  </w:footnote>
  <w:footnote w:id="3">
    <w:p w:rsidR="003813B8" w:rsidRPr="00EB1157">
      <w:pPr>
        <w:pBdr>
          <w:top w:val="nil"/>
          <w:left w:val="nil"/>
          <w:bottom w:val="nil"/>
          <w:right w:val="nil"/>
          <w:between w:val="nil"/>
        </w:pBd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Kalayaan (2024) 12 YEARS OF MODERN </w:t>
      </w:r>
      <w:r w:rsidRPr="00EB1157">
        <w:rPr>
          <w:rFonts w:ascii="Calibri" w:hAnsi="Calibri" w:cs="Calibri"/>
          <w:sz w:val="16"/>
          <w:szCs w:val="16"/>
        </w:rPr>
        <w:t>SLAVERY :</w:t>
      </w:r>
      <w:r w:rsidRPr="00EB1157">
        <w:rPr>
          <w:rFonts w:ascii="Calibri" w:hAnsi="Calibri" w:cs="Calibri"/>
          <w:sz w:val="16"/>
          <w:szCs w:val="16"/>
        </w:rPr>
        <w:t xml:space="preserve"> the smokescreen used to deflect state accountability for migrant domestic workers</w:t>
      </w:r>
    </w:p>
  </w:footnote>
  <w:footnote w:id="4">
    <w:p w:rsidR="003813B8" w:rsidRPr="00EB1157">
      <w:pPr>
        <w:pBdr>
          <w:top w:val="nil"/>
          <w:left w:val="nil"/>
          <w:bottom w:val="nil"/>
          <w:right w:val="nil"/>
          <w:between w:val="nil"/>
        </w:pBd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DEFRA Press release Government provides certainty to horticulture and poultry businesses, 21 October 2024. Available at: </w:t>
      </w:r>
      <w:r>
        <w:fldChar w:fldCharType="begin"/>
      </w:r>
      <w:r>
        <w:instrText xml:space="preserve"> HYPERLINK "https://www.gov.uk/government/news/government-provides-certainty-to-horticulture-and-poultry-businesses" \l ":~:text=Underlining%20the%20government's%20commitment%20to,2%2C000%20for%20poultry%20next%20year" </w:instrText>
      </w:r>
      <w:r>
        <w:fldChar w:fldCharType="separate"/>
      </w:r>
      <w:r w:rsidRPr="00EB1157">
        <w:rPr>
          <w:rFonts w:ascii="Calibri" w:hAnsi="Calibri" w:cs="Calibri"/>
          <w:color w:val="1155CC"/>
          <w:sz w:val="16"/>
          <w:szCs w:val="16"/>
          <w:u w:val="single"/>
        </w:rPr>
        <w:t>https://www.gov.uk/government/news/government-provides-certainty-to-horticulture-and-poultry-businesses#:~:text=Underlining%20the%20government's%20commitment%20to,2%2C000%20for%20poultry%20next%20year</w:t>
      </w:r>
      <w:r>
        <w:fldChar w:fldCharType="end"/>
      </w:r>
      <w:r w:rsidRPr="00EB1157">
        <w:rPr>
          <w:rFonts w:ascii="Calibri" w:hAnsi="Calibri" w:cs="Calibri"/>
          <w:color w:val="1155CC"/>
          <w:sz w:val="16"/>
          <w:szCs w:val="16"/>
          <w:u w:val="single"/>
        </w:rPr>
        <w:t xml:space="preserve"> </w:t>
      </w:r>
    </w:p>
  </w:footnote>
  <w:footnote w:id="5">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FLEX (2021) Assessment of the risks of human trafficking for forced </w:t>
      </w:r>
      <w:r w:rsidRPr="00EB1157">
        <w:rPr>
          <w:rFonts w:ascii="Calibri" w:hAnsi="Calibri" w:cs="Calibri"/>
          <w:sz w:val="16"/>
          <w:szCs w:val="16"/>
        </w:rPr>
        <w:t>labour</w:t>
      </w:r>
      <w:r w:rsidRPr="00EB1157">
        <w:rPr>
          <w:rFonts w:ascii="Calibri" w:hAnsi="Calibri" w:cs="Calibri"/>
          <w:sz w:val="16"/>
          <w:szCs w:val="16"/>
        </w:rPr>
        <w:t xml:space="preserve"> on the UK Seasonal Workers Pilot. Available at: </w:t>
      </w:r>
      <w:r>
        <w:fldChar w:fldCharType="begin"/>
      </w:r>
      <w:r>
        <w:instrText xml:space="preserve"> HYPERLINK "https://labourexploitation.org/publications/assessment-of-the-risks-of-human-trafficking-for-forced-labour-on-the-uk-seasonal-workers-pilot/" </w:instrText>
      </w:r>
      <w:r>
        <w:fldChar w:fldCharType="separate"/>
      </w:r>
      <w:r w:rsidRPr="00EB1157">
        <w:rPr>
          <w:rFonts w:ascii="Calibri" w:hAnsi="Calibri" w:cs="Calibri"/>
          <w:color w:val="1155CC"/>
          <w:sz w:val="16"/>
          <w:szCs w:val="16"/>
          <w:u w:val="single"/>
        </w:rPr>
        <w:t>https://labourexploitation.org/publications/assessment-of-the-risks-of-human-trafficking-for-forced-labour-on-the-uk-seasonal-workers-pilot/</w:t>
      </w:r>
      <w:r>
        <w:fldChar w:fldCharType="end"/>
      </w:r>
      <w:r w:rsidRPr="00EB1157">
        <w:rPr>
          <w:rFonts w:ascii="Calibri" w:hAnsi="Calibri" w:cs="Calibri"/>
          <w:sz w:val="16"/>
          <w:szCs w:val="16"/>
        </w:rPr>
        <w:t xml:space="preserve"> </w:t>
      </w:r>
    </w:p>
  </w:footnote>
  <w:footnote w:id="6">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FLEX (2024</w:t>
      </w:r>
      <w:r w:rsidRPr="00EB1157">
        <w:rPr>
          <w:rFonts w:ascii="Calibri" w:hAnsi="Calibri" w:cs="Calibri"/>
          <w:sz w:val="16"/>
          <w:szCs w:val="16"/>
        </w:rPr>
        <w:t>)  Making</w:t>
      </w:r>
      <w:r w:rsidRPr="00EB1157">
        <w:rPr>
          <w:rFonts w:ascii="Calibri" w:hAnsi="Calibri" w:cs="Calibri"/>
          <w:sz w:val="16"/>
          <w:szCs w:val="16"/>
        </w:rPr>
        <w:t xml:space="preserve"> the Seasonal Worker Scheme safer and fairer: Recruitment, redress, and working conditions. Available at: </w:t>
      </w:r>
      <w:r>
        <w:fldChar w:fldCharType="begin"/>
      </w:r>
      <w:r>
        <w:instrText xml:space="preserve"> HYPERLINK "https://labourexploitation.org/publications/making-the-seasonal-worker-scheme-safer-and-fairer-recruitment-redress-and-working-conditions/" </w:instrText>
      </w:r>
      <w:r>
        <w:fldChar w:fldCharType="separate"/>
      </w:r>
      <w:r w:rsidRPr="00EB1157">
        <w:rPr>
          <w:rFonts w:ascii="Calibri" w:hAnsi="Calibri" w:cs="Calibri"/>
          <w:color w:val="1155CC"/>
          <w:sz w:val="16"/>
          <w:szCs w:val="16"/>
          <w:u w:val="single"/>
        </w:rPr>
        <w:t>https://labourexploitation.org/publications/making-the-seasonal-worker-scheme-safer-and-fairer-recruitment-redress-and-working-conditions/</w:t>
      </w:r>
      <w:r>
        <w:fldChar w:fldCharType="end"/>
      </w:r>
      <w:r w:rsidRPr="00EB1157">
        <w:rPr>
          <w:rFonts w:ascii="Calibri" w:hAnsi="Calibri" w:cs="Calibri"/>
          <w:sz w:val="16"/>
          <w:szCs w:val="16"/>
        </w:rPr>
        <w:t xml:space="preserve">  </w:t>
      </w:r>
    </w:p>
  </w:footnote>
  <w:footnote w:id="7">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See for example our briefing on the Employment Rights Bill: Tackle Restrictive Visas or Increase Inequality. Available at: </w:t>
      </w:r>
      <w:r>
        <w:fldChar w:fldCharType="begin"/>
      </w:r>
      <w:r>
        <w:instrText xml:space="preserve"> HYPERLINK "https://labourexploitation.org/publications/employment-rights-bill-tackle-restrictive-visas-or-increase-inequality/" </w:instrText>
      </w:r>
      <w:r>
        <w:fldChar w:fldCharType="separate"/>
      </w:r>
      <w:r w:rsidRPr="00EB1157">
        <w:rPr>
          <w:rFonts w:ascii="Calibri" w:hAnsi="Calibri" w:cs="Calibri"/>
          <w:color w:val="1155CC"/>
          <w:sz w:val="16"/>
          <w:szCs w:val="16"/>
          <w:u w:val="single"/>
        </w:rPr>
        <w:t>https://labourexploitation.org/publications/employment-rights-bill-tackle-restrictive-visas-or-increase-inequality/</w:t>
      </w:r>
      <w:r>
        <w:fldChar w:fldCharType="end"/>
      </w:r>
      <w:r w:rsidRPr="00EB1157">
        <w:rPr>
          <w:rFonts w:ascii="Calibri" w:hAnsi="Calibri" w:cs="Calibri"/>
          <w:sz w:val="16"/>
          <w:szCs w:val="16"/>
        </w:rPr>
        <w:t xml:space="preserve"> </w:t>
      </w:r>
    </w:p>
  </w:footnote>
  <w:footnote w:id="8">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https://www.gov.uk/government/publications/skilled-worker-visa-immigration-salary-list</w:t>
      </w:r>
    </w:p>
  </w:footnote>
  <w:footnote w:id="9">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Home Office (2023), National statistics - Why do people come to the UK? To work. Available at: https://www.gov.uk/government/statistics/immigration-system-statistics-year-ending-june-2023/why-do-people-come-to-the-uk-to-work (Accessed 11 December 2023).</w:t>
      </w:r>
    </w:p>
  </w:footnote>
  <w:footnote w:id="10">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See: Gayle, V. (2024) Visa system forces care workers to stay silent on rape and abuse.</w:t>
      </w:r>
      <w:r w:rsidRPr="00EB1157">
        <w:rPr>
          <w:rFonts w:ascii="Calibri" w:hAnsi="Calibri" w:cs="Calibri"/>
          <w:i/>
          <w:sz w:val="16"/>
          <w:szCs w:val="16"/>
        </w:rPr>
        <w:t xml:space="preserve"> The Bureau for Investigative Journalism</w:t>
      </w:r>
      <w:r w:rsidRPr="00EB1157">
        <w:rPr>
          <w:rFonts w:ascii="Calibri" w:hAnsi="Calibri" w:cs="Calibri"/>
          <w:sz w:val="16"/>
          <w:szCs w:val="16"/>
        </w:rPr>
        <w:t xml:space="preserve">. Available at: </w:t>
      </w:r>
      <w:r>
        <w:fldChar w:fldCharType="begin"/>
      </w:r>
      <w:r>
        <w:instrText xml:space="preserve"> HYPERLINK "https://www.thebureauinvestigates.com/stories/2024-03-11/visa-system-forces-care-workers-to-stay-silent-on-rape-and-abuse/" </w:instrText>
      </w:r>
      <w:r>
        <w:fldChar w:fldCharType="separate"/>
      </w:r>
      <w:r w:rsidRPr="00EB1157">
        <w:rPr>
          <w:rFonts w:ascii="Calibri" w:hAnsi="Calibri" w:cs="Calibri"/>
          <w:color w:val="1155CC"/>
          <w:sz w:val="16"/>
          <w:szCs w:val="16"/>
          <w:u w:val="single"/>
        </w:rPr>
        <w:t>https://www.thebureauinvestigates.com/stories/2024-03-11/visa-system-forces-care-workers-to-stay-silent-on-rape-and-abuse/</w:t>
      </w:r>
      <w:r>
        <w:fldChar w:fldCharType="end"/>
      </w:r>
      <w:r w:rsidRPr="00EB1157">
        <w:rPr>
          <w:rFonts w:ascii="Calibri" w:hAnsi="Calibri" w:cs="Calibri"/>
          <w:sz w:val="16"/>
          <w:szCs w:val="16"/>
        </w:rPr>
        <w:t xml:space="preserve"> </w:t>
      </w:r>
    </w:p>
  </w:footnote>
  <w:footnote w:id="11">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w:t>
      </w:r>
      <w:r w:rsidRPr="00EB1157">
        <w:rPr>
          <w:rFonts w:ascii="Calibri" w:eastAsia="Public Sans Light" w:hAnsi="Calibri" w:cs="Calibri"/>
          <w:sz w:val="16"/>
          <w:szCs w:val="16"/>
        </w:rPr>
        <w:t xml:space="preserve">NAO, ‘Immigration: Skilled Worker visas,’ 2025 </w:t>
      </w:r>
      <w:r>
        <w:fldChar w:fldCharType="begin"/>
      </w:r>
      <w:r>
        <w:instrText xml:space="preserve"> HYPERLINK "https://www.nao.org.uk/press-releases/changes-to-skilled-worker-visas-need-whole-government-collaboration/" \l "report" </w:instrText>
      </w:r>
      <w:r>
        <w:fldChar w:fldCharType="separate"/>
      </w:r>
      <w:r w:rsidRPr="00EB1157">
        <w:rPr>
          <w:rFonts w:ascii="Calibri" w:eastAsia="Public Sans Light" w:hAnsi="Calibri" w:cs="Calibri"/>
          <w:color w:val="1155CC"/>
          <w:sz w:val="16"/>
          <w:szCs w:val="16"/>
          <w:u w:val="single"/>
        </w:rPr>
        <w:t>https://www.nao.org.uk/press-releases/changes-to-skilled-worker-visas-need-whole-government-collaboration/#report</w:t>
      </w:r>
      <w:r>
        <w:fldChar w:fldCharType="end"/>
      </w:r>
      <w:r w:rsidRPr="00EB1157">
        <w:rPr>
          <w:rFonts w:ascii="Calibri" w:eastAsia="Public Sans Light" w:hAnsi="Calibri" w:cs="Calibri"/>
          <w:color w:val="1155CC"/>
          <w:sz w:val="16"/>
          <w:szCs w:val="16"/>
          <w:u w:val="single"/>
        </w:rPr>
        <w:t xml:space="preserve"> </w:t>
      </w:r>
    </w:p>
  </w:footnote>
  <w:footnote w:id="12">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Independent Chief Inspector of Borders and Immigration (ICIBI), ‘An Inspection of the Immigration System as It Relates to the Social Care Sector’, 2, 32-33. </w:t>
      </w:r>
    </w:p>
  </w:footnote>
  <w:footnote w:id="13">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Focus on </w:t>
      </w:r>
      <w:r w:rsidRPr="00EB1157">
        <w:rPr>
          <w:rFonts w:ascii="Calibri" w:hAnsi="Calibri" w:cs="Calibri"/>
          <w:sz w:val="16"/>
          <w:szCs w:val="16"/>
        </w:rPr>
        <w:t>Labour</w:t>
      </w:r>
      <w:r w:rsidRPr="00EB1157">
        <w:rPr>
          <w:rFonts w:ascii="Calibri" w:hAnsi="Calibri" w:cs="Calibri"/>
          <w:sz w:val="16"/>
          <w:szCs w:val="16"/>
        </w:rPr>
        <w:t xml:space="preserve"> Exploitation. 2024. The UK </w:t>
      </w:r>
      <w:r w:rsidRPr="00EB1157">
        <w:rPr>
          <w:rFonts w:ascii="Calibri" w:hAnsi="Calibri" w:cs="Calibri"/>
          <w:sz w:val="16"/>
          <w:szCs w:val="16"/>
        </w:rPr>
        <w:t>labour</w:t>
      </w:r>
      <w:r w:rsidRPr="00EB1157">
        <w:rPr>
          <w:rFonts w:ascii="Calibri" w:hAnsi="Calibri" w:cs="Calibri"/>
          <w:sz w:val="16"/>
          <w:szCs w:val="16"/>
        </w:rPr>
        <w:t xml:space="preserve"> migration system after the end of free movement: Employer views on recruitment.</w:t>
      </w:r>
    </w:p>
  </w:footnote>
  <w:footnote w:id="14">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w:t>
      </w:r>
      <w:r>
        <w:fldChar w:fldCharType="begin"/>
      </w:r>
      <w:r>
        <w:instrText xml:space="preserve"> HYPERLINK "https://www.leighday.co.uk/news/news/2024-news/fishermen-rescued-from-tn-trawlers-boat-settle-claim-against-home-office/" </w:instrText>
      </w:r>
      <w:r>
        <w:fldChar w:fldCharType="separate"/>
      </w:r>
      <w:r w:rsidRPr="00EB1157">
        <w:rPr>
          <w:rFonts w:ascii="Calibri" w:hAnsi="Calibri" w:cs="Calibri"/>
          <w:color w:val="1155CC"/>
          <w:sz w:val="16"/>
          <w:szCs w:val="16"/>
          <w:u w:val="single"/>
        </w:rPr>
        <w:t>https://www.leighday.co.uk/news/news/2024-news/fishermen-rescued-from-tn-trawlers-boat-settle-claim-against-home-office/#</w:t>
      </w:r>
      <w:r>
        <w:fldChar w:fldCharType="end"/>
      </w:r>
    </w:p>
  </w:footnote>
  <w:footnote w:id="15">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Defra (2024). Policy paper: Independent review into </w:t>
      </w:r>
      <w:r w:rsidRPr="00EB1157">
        <w:rPr>
          <w:rFonts w:ascii="Calibri" w:hAnsi="Calibri" w:cs="Calibri"/>
          <w:sz w:val="16"/>
          <w:szCs w:val="16"/>
        </w:rPr>
        <w:t>labour</w:t>
      </w:r>
      <w:r w:rsidRPr="00EB1157">
        <w:rPr>
          <w:rFonts w:ascii="Calibri" w:hAnsi="Calibri" w:cs="Calibri"/>
          <w:sz w:val="16"/>
          <w:szCs w:val="16"/>
        </w:rPr>
        <w:t xml:space="preserve"> shortages in the food supply chain: government response.</w:t>
      </w:r>
    </w:p>
  </w:footnote>
  <w:footnote w:id="16">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McBride, O. (2024) Impact of Skilled Worker Visa Changes on the UK Seafood Sector. The Fishing Daily. Available at: https:// thefishingdaily.com/latest-news/impact-of-skilled-worker-visa-changes-on-the-uk-seafood-sector/ </w:t>
      </w:r>
    </w:p>
  </w:footnote>
  <w:footnote w:id="17">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A worker under 26, studying or a recent graduate, or in professional training can be paid 70% of their job’s standard going rate if their salary will be at least £30,960 per year and one of the following applies: The worker is under 26 on the date they apply; they are currently in the UK on a Student visa studying at bachelor’s degree level or above - or have been in the last 2 years, and a Student or visit visa was their most recent visa; they are currently in the UK on a Graduate visa, or have been in th</w:t>
      </w:r>
      <w:r w:rsidRPr="00EB1157">
        <w:rPr>
          <w:rFonts w:ascii="Calibri" w:hAnsi="Calibri" w:cs="Calibri"/>
          <w:sz w:val="16"/>
          <w:szCs w:val="16"/>
        </w:rPr>
        <w:t xml:space="preserve">e last 2 years; they will be working towards a </w:t>
      </w:r>
      <w:r w:rsidRPr="00EB1157">
        <w:rPr>
          <w:rFonts w:ascii="Calibri" w:hAnsi="Calibri" w:cs="Calibri"/>
          <w:sz w:val="16"/>
          <w:szCs w:val="16"/>
        </w:rPr>
        <w:t>recognised</w:t>
      </w:r>
      <w:r w:rsidRPr="00EB1157">
        <w:rPr>
          <w:rFonts w:ascii="Calibri" w:hAnsi="Calibri" w:cs="Calibri"/>
          <w:sz w:val="16"/>
          <w:szCs w:val="16"/>
        </w:rPr>
        <w:t xml:space="preserve"> qualification in a UK regulated profession; they will be working towards full registration or chartered status in the job they are being sponsored for. See: https://www.gov.uk/skilled-worker-visa/when-you-can-be-paid-less </w:t>
      </w:r>
    </w:p>
  </w:footnote>
  <w:footnote w:id="18">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August 2024 NGOs call for the UK’s Seasonal worker visa scheme to be overhauled as scheme operator loses </w:t>
      </w:r>
      <w:r w:rsidRPr="00EB1157">
        <w:rPr>
          <w:rFonts w:ascii="Calibri" w:hAnsi="Calibri" w:cs="Calibri"/>
          <w:sz w:val="16"/>
          <w:szCs w:val="16"/>
        </w:rPr>
        <w:t>licence</w:t>
      </w:r>
      <w:r w:rsidRPr="00EB1157">
        <w:rPr>
          <w:rFonts w:ascii="Calibri" w:hAnsi="Calibri" w:cs="Calibri"/>
          <w:sz w:val="16"/>
          <w:szCs w:val="16"/>
        </w:rPr>
        <w:t>. Available at https://labourexploitation.org/news/__trashed/</w:t>
      </w:r>
    </w:p>
  </w:footnote>
  <w:footnote w:id="19">
    <w:p w:rsidR="003813B8" w:rsidRPr="00EB1157">
      <w:pPr>
        <w:spacing w:line="240" w:lineRule="auto"/>
        <w:rPr>
          <w:rFonts w:ascii="Calibri" w:hAnsi="Calibri" w:cs="Calibri"/>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See written answer UIN HL1287 on Visas: Seasonal Workers</w:t>
      </w:r>
    </w:p>
  </w:footnote>
  <w:footnote w:id="20">
    <w:p w:rsidR="003813B8" w:rsidRPr="00EB1157">
      <w:pPr>
        <w:spacing w:line="240" w:lineRule="auto"/>
        <w:rPr>
          <w:rFonts w:ascii="Calibri" w:hAnsi="Calibri" w:cs="Calibri"/>
          <w:b/>
          <w:color w:val="132C44"/>
          <w:sz w:val="16"/>
          <w:szCs w:val="16"/>
        </w:rPr>
      </w:pPr>
      <w:r w:rsidRPr="00EB1157">
        <w:rPr>
          <w:rFonts w:ascii="Calibri" w:hAnsi="Calibri" w:cs="Calibri"/>
          <w:sz w:val="16"/>
          <w:szCs w:val="16"/>
          <w:vertAlign w:val="superscript"/>
        </w:rPr>
        <w:footnoteRef/>
      </w:r>
      <w:r w:rsidRPr="00EB1157">
        <w:rPr>
          <w:rFonts w:ascii="Calibri" w:hAnsi="Calibri" w:cs="Calibri"/>
          <w:sz w:val="16"/>
          <w:szCs w:val="16"/>
        </w:rPr>
        <w:t xml:space="preserve"> August 2024 NGOs call for the UK’s Seasonal worker visa scheme to be overhauled as scheme operator loses </w:t>
      </w:r>
      <w:r w:rsidRPr="00EB1157">
        <w:rPr>
          <w:rFonts w:ascii="Calibri" w:hAnsi="Calibri" w:cs="Calibri"/>
          <w:sz w:val="16"/>
          <w:szCs w:val="16"/>
        </w:rPr>
        <w:t>licence</w:t>
      </w:r>
      <w:r w:rsidRPr="00EB1157">
        <w:rPr>
          <w:rFonts w:ascii="Calibri" w:hAnsi="Calibri" w:cs="Calibri"/>
          <w:sz w:val="16"/>
          <w:szCs w:val="16"/>
        </w:rPr>
        <w:t>. Available at: https://labourexploitation.org/news/__trashed/</w:t>
      </w:r>
    </w:p>
    <w:p w:rsidR="003813B8" w:rsidRPr="00EB1157">
      <w:pPr>
        <w:spacing w:line="240" w:lineRule="auto"/>
        <w:rPr>
          <w:rFonts w:ascii="Calibri" w:hAnsi="Calibri" w:cs="Calibri"/>
          <w:sz w:val="16"/>
          <w:szCs w:val="16"/>
          <w:highlight w:val="yellow"/>
        </w:rPr>
      </w:pPr>
    </w:p>
  </w:footnote>
  <w:footnote w:id="21">
    <w:p w:rsidR="003813B8">
      <w:pPr>
        <w:spacing w:line="240" w:lineRule="auto"/>
        <w:rPr>
          <w:sz w:val="20"/>
          <w:szCs w:val="20"/>
        </w:rPr>
      </w:pPr>
      <w:r w:rsidRPr="00EB1157">
        <w:rPr>
          <w:rFonts w:ascii="Calibri" w:hAnsi="Calibri" w:cs="Calibri"/>
          <w:sz w:val="16"/>
          <w:szCs w:val="16"/>
          <w:vertAlign w:val="superscript"/>
        </w:rPr>
        <w:footnoteRef/>
      </w:r>
      <w:r w:rsidRPr="00EB1157">
        <w:rPr>
          <w:rFonts w:ascii="Calibri" w:hAnsi="Calibri" w:cs="Calibri"/>
          <w:sz w:val="16"/>
          <w:szCs w:val="16"/>
        </w:rPr>
        <w:t xml:space="preserve"> </w:t>
      </w:r>
      <w:r>
        <w:fldChar w:fldCharType="begin"/>
      </w:r>
      <w:r>
        <w:instrText xml:space="preserve"> HYPERLINK "https://labourexploitation.org/app/uploads/2024/03/Ukraine-schemes-2024-report.pdf" </w:instrText>
      </w:r>
      <w:r>
        <w:fldChar w:fldCharType="separate"/>
      </w:r>
      <w:r w:rsidRPr="00EB1157">
        <w:rPr>
          <w:rFonts w:ascii="Calibri" w:hAnsi="Calibri" w:cs="Calibri"/>
          <w:color w:val="1155CC"/>
          <w:sz w:val="16"/>
          <w:szCs w:val="16"/>
          <w:u w:val="single"/>
        </w:rPr>
        <w:t>https://labourexploitation.org/app/uploads/2024/03/Ukraine-schemes-2024-report.pdf</w:t>
      </w:r>
      <w:r>
        <w:fldChar w:fldCharType="end"/>
      </w:r>
      <w:r>
        <w:rPr>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B11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13B8" w:rsidRPr="00EB1157" w:rsidP="00EB1157">
    <w:pPr>
      <w:pStyle w:val="Header"/>
      <w:jc w:val="center"/>
      <w:rPr>
        <w:rFonts w:ascii="Calibri" w:hAnsi="Calibri" w:cs="Calibri"/>
        <w:b/>
        <w:bCs/>
        <w:sz w:val="28"/>
        <w:szCs w:val="28"/>
      </w:rPr>
    </w:pPr>
    <w:r w:rsidRPr="00EB1157">
      <w:rPr>
        <w:rFonts w:ascii="Calibri" w:hAnsi="Calibri" w:cs="Calibri"/>
        <w:b/>
        <w:bCs/>
        <w:sz w:val="28"/>
        <w:szCs w:val="28"/>
      </w:rPr>
      <w:t xml:space="preserve">Written evidence submitted by Focus on </w:t>
    </w:r>
    <w:r w:rsidRPr="00EB1157">
      <w:rPr>
        <w:rFonts w:ascii="Calibri" w:hAnsi="Calibri" w:cs="Calibri"/>
        <w:b/>
        <w:bCs/>
        <w:sz w:val="28"/>
        <w:szCs w:val="28"/>
      </w:rPr>
      <w:t>Labour</w:t>
    </w:r>
    <w:r w:rsidRPr="00EB1157">
      <w:rPr>
        <w:rFonts w:ascii="Calibri" w:hAnsi="Calibri" w:cs="Calibri"/>
        <w:b/>
        <w:bCs/>
        <w:sz w:val="28"/>
        <w:szCs w:val="28"/>
      </w:rPr>
      <w:t xml:space="preserve"> Exploitation (FLEX) (IMM0024)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13B8" w:rsidRPr="00EB1157" w:rsidP="00EB1157">
    <w:pPr>
      <w:pStyle w:val="Header"/>
      <w:jc w:val="center"/>
      <w:rPr>
        <w:rFonts w:ascii="Calibri" w:hAnsi="Calibri" w:cs="Calibri"/>
        <w:b/>
        <w:bCs/>
        <w:sz w:val="28"/>
        <w:szCs w:val="28"/>
      </w:rPr>
    </w:pPr>
    <w:r w:rsidRPr="00EB1157">
      <w:rPr>
        <w:rFonts w:ascii="Calibri" w:hAnsi="Calibri" w:cs="Calibri"/>
        <w:b/>
        <w:bCs/>
        <w:sz w:val="28"/>
        <w:szCs w:val="28"/>
      </w:rPr>
      <w:t xml:space="preserve">Written evidence submitted by Focus on </w:t>
    </w:r>
    <w:r w:rsidRPr="00EB1157">
      <w:rPr>
        <w:rFonts w:ascii="Calibri" w:hAnsi="Calibri" w:cs="Calibri"/>
        <w:b/>
        <w:bCs/>
        <w:sz w:val="28"/>
        <w:szCs w:val="28"/>
      </w:rPr>
      <w:t>Labour</w:t>
    </w:r>
    <w:r w:rsidRPr="00EB1157">
      <w:rPr>
        <w:rFonts w:ascii="Calibri" w:hAnsi="Calibri" w:cs="Calibri"/>
        <w:b/>
        <w:bCs/>
        <w:sz w:val="28"/>
        <w:szCs w:val="28"/>
      </w:rPr>
      <w:t xml:space="preserve"> Exploitation (FLEX) (IMM0024)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C8D0253"/>
    <w:multiLevelType w:val="multilevel"/>
    <w:tmpl w:val="C4EAFA16"/>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embedTrueTypeFonts/>
  <w:proofState w:spelling="clean" w:grammar="clean"/>
  <w:revisionView w:comments="1" w:formatting="1" w:inkAnnotations="0" w:insDel="1" w:markup="1"/>
  <w:doNotTrackMoves/>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mathPr>
  <w:themeFontLang w:val="en-GB"/>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5F0213"/>
    <w:rPr>
      <w:color w:val="0000FF" w:themeColor="hyperlink"/>
      <w:u w:val="single"/>
    </w:rPr>
  </w:style>
  <w:style w:type="character" w:customStyle="1" w:styleId="UnresolvedMention">
    <w:name w:val="Unresolved Mention"/>
    <w:basedOn w:val="DefaultParagraphFont"/>
    <w:uiPriority w:val="99"/>
    <w:semiHidden/>
    <w:unhideWhenUsed/>
    <w:rsid w:val="005F0213"/>
    <w:rPr>
      <w:color w:val="605E5C"/>
      <w:shd w:val="clear" w:color="auto" w:fill="E1DFDD"/>
    </w:r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B1157"/>
    <w:pPr>
      <w:tabs>
        <w:tab w:val="center" w:pos="4513"/>
        <w:tab w:val="right" w:pos="9026"/>
      </w:tabs>
      <w:spacing w:line="240" w:lineRule="auto"/>
    </w:pPr>
  </w:style>
  <w:style w:type="character" w:customStyle="1" w:styleId="HeaderChar">
    <w:name w:val="Header Char"/>
    <w:basedOn w:val="DefaultParagraphFont"/>
    <w:link w:val="Header"/>
    <w:uiPriority w:val="99"/>
    <w:rsid w:val="00EB1157"/>
  </w:style>
  <w:style w:type="paragraph" w:styleId="Footer">
    <w:name w:val="footer"/>
    <w:basedOn w:val="Normal"/>
    <w:link w:val="FooterChar"/>
    <w:uiPriority w:val="99"/>
    <w:unhideWhenUsed/>
    <w:rsid w:val="00EB1157"/>
    <w:pPr>
      <w:tabs>
        <w:tab w:val="center" w:pos="4513"/>
        <w:tab w:val="right" w:pos="9026"/>
      </w:tabs>
      <w:spacing w:line="240" w:lineRule="auto"/>
    </w:pPr>
  </w:style>
  <w:style w:type="character" w:customStyle="1" w:styleId="FooterChar">
    <w:name w:val="Footer Char"/>
    <w:basedOn w:val="DefaultParagraphFont"/>
    <w:link w:val="Footer"/>
    <w:uiPriority w:val="99"/>
    <w:rsid w:val="00EB1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ntTable.xml.rels>&#65279;<?xml version="1.0" encoding="utf-8" standalone="yes"?><Relationships xmlns="http://schemas.openxmlformats.org/package/2006/relationships"><Relationship Id="rId1" Type="http://schemas.openxmlformats.org/officeDocument/2006/relationships/font" Target="fonts/font1.odttf" /><Relationship Id="rId2" Type="http://schemas.openxmlformats.org/officeDocument/2006/relationships/font" Target="fonts/font2.odttf" /><Relationship Id="rId3" Type="http://schemas.openxmlformats.org/officeDocument/2006/relationships/font" Target="fonts/font3.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Yd4++d7iNX+SghPspLXEKre5fQ==">CgMxLjA4AHIhMURQRHVIZjFGUDlwRjBXOXJXNC10NERPaEk0OWVmZ0ot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a8f77787-5df4-43b6-a2a8-8d8b678a318b}" enabled="1" method="Standard" siteId="{1ce6dd9e-b337-4088-be5e-8dbbec04b34a}" contentBits="0" removed="0"/>
</clbl:labelList>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