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34BBE" w:rsidP="4C56FAF5">
      <w:pPr>
        <w:spacing w:after="240" w:line="240" w:lineRule="auto"/>
        <w:jc w:val="center"/>
        <w:rPr>
          <w:rFonts w:ascii="Aptos" w:eastAsia="Aptos" w:hAnsi="Aptos" w:cs="Aptos"/>
        </w:rPr>
      </w:pPr>
      <w:r w:rsidRPr="61495823">
        <w:rPr>
          <w:rStyle w:val="normaltextrun"/>
          <w:rFonts w:ascii="Aptos" w:eastAsia="Aptos" w:hAnsi="Aptos" w:cs="Aptos"/>
          <w:b/>
          <w:bCs/>
          <w:color w:val="000000" w:themeColor="text1"/>
          <w:lang w:val="en-GB"/>
        </w:rPr>
        <w:t>Supplementary Submission to the written evidence submitted by Medical Aid for Palestinians in January 2025 to International Development Committee Inquiry on humanitarian access and adherence to international humanitarian law</w:t>
      </w:r>
    </w:p>
    <w:p w:rsidR="00034BBE" w:rsidP="70070B98">
      <w:pPr>
        <w:spacing w:after="240" w:line="240" w:lineRule="auto"/>
        <w:jc w:val="center"/>
        <w:rPr>
          <w:rStyle w:val="normaltextrun"/>
          <w:rFonts w:ascii="Aptos" w:eastAsia="Aptos" w:hAnsi="Aptos" w:cs="Aptos"/>
          <w:b/>
          <w:bCs/>
          <w:color w:val="000000" w:themeColor="text1"/>
          <w:lang w:val="en-GB"/>
        </w:rPr>
      </w:pPr>
      <w:r w:rsidRPr="70070B98">
        <w:rPr>
          <w:rStyle w:val="normaltextrun"/>
          <w:rFonts w:ascii="Aptos" w:eastAsia="Aptos" w:hAnsi="Aptos" w:cs="Aptos"/>
          <w:b/>
          <w:bCs/>
          <w:color w:val="000000" w:themeColor="text1"/>
          <w:lang w:val="en-GB"/>
        </w:rPr>
        <w:t xml:space="preserve">April 2025 </w:t>
      </w:r>
    </w:p>
    <w:p w:rsidR="00034BBE" w:rsidP="70070B98">
      <w:pPr>
        <w:spacing w:after="240" w:line="240" w:lineRule="auto"/>
        <w:rPr>
          <w:rFonts w:ascii="Aptos" w:eastAsia="Aptos" w:hAnsi="Aptos" w:cs="Aptos"/>
          <w:b/>
          <w:bCs/>
          <w:sz w:val="28"/>
          <w:szCs w:val="28"/>
          <w:lang w:val="en-GB"/>
        </w:rPr>
      </w:pPr>
      <w:r w:rsidRPr="4000315E">
        <w:rPr>
          <w:rFonts w:ascii="Aptos" w:eastAsia="Aptos" w:hAnsi="Aptos" w:cs="Aptos"/>
          <w:b/>
          <w:bCs/>
          <w:sz w:val="28"/>
          <w:szCs w:val="28"/>
          <w:lang w:val="en-GB"/>
        </w:rPr>
        <w:t xml:space="preserve">Introduction </w:t>
      </w:r>
    </w:p>
    <w:p w:rsidR="00034BBE" w:rsidP="65D6ADB0">
      <w:pPr>
        <w:rPr>
          <w:rFonts w:ascii="Aptos" w:eastAsia="Aptos" w:hAnsi="Aptos" w:cs="Aptos"/>
          <w:sz w:val="22"/>
          <w:szCs w:val="22"/>
        </w:rPr>
      </w:pPr>
      <w:r w:rsidRPr="2AC47671">
        <w:rPr>
          <w:rFonts w:ascii="Aptos" w:eastAsia="Aptos" w:hAnsi="Aptos" w:cs="Aptos"/>
          <w:color w:val="000000" w:themeColor="text1"/>
          <w:sz w:val="22"/>
          <w:szCs w:val="22"/>
        </w:rPr>
        <w:t xml:space="preserve">This document provides additional clarification and refinement of our earlier submission to better align with the Committee’s terms of reference. </w:t>
      </w:r>
      <w:r w:rsidRPr="2AC47671">
        <w:rPr>
          <w:rFonts w:ascii="Aptos" w:eastAsia="Aptos" w:hAnsi="Aptos" w:cs="Aptos"/>
          <w:sz w:val="22"/>
          <w:szCs w:val="22"/>
        </w:rPr>
        <w:t xml:space="preserve"> </w:t>
      </w:r>
    </w:p>
    <w:p w:rsidR="00034BBE" w:rsidP="70070B98">
      <w:pPr>
        <w:pStyle w:val="Heading3"/>
        <w:spacing w:before="281" w:after="281"/>
        <w:rPr>
          <w:rFonts w:ascii="Aptos" w:eastAsia="Aptos" w:hAnsi="Aptos" w:cs="Aptos"/>
          <w:b/>
          <w:bCs/>
          <w:lang w:val="en-GB"/>
        </w:rPr>
      </w:pPr>
      <w:r w:rsidRPr="70070B98">
        <w:rPr>
          <w:rFonts w:eastAsiaTheme="minorEastAsia" w:cstheme="minorBidi"/>
          <w:b/>
          <w:bCs/>
          <w:color w:val="auto"/>
          <w:lang w:val="en-GB"/>
        </w:rPr>
        <w:t>Alignment with Inquiry Focus</w:t>
      </w:r>
    </w:p>
    <w:p w:rsidR="00034BBE" w:rsidP="70070B98">
      <w:pPr>
        <w:spacing w:before="240" w:after="240"/>
        <w:rPr>
          <w:rFonts w:ascii="Aptos" w:eastAsia="Aptos" w:hAnsi="Aptos" w:cs="Aptos"/>
          <w:b/>
          <w:bCs/>
          <w:lang w:val="en-GB"/>
        </w:rPr>
      </w:pPr>
      <w:r w:rsidRPr="4000315E">
        <w:rPr>
          <w:rFonts w:ascii="Aptos" w:eastAsia="Aptos" w:hAnsi="Aptos" w:cs="Aptos"/>
          <w:b/>
          <w:bCs/>
          <w:lang w:val="en-GB"/>
        </w:rPr>
        <w:t>a. Gaps in IHL and Compliance by Armed Actors</w:t>
      </w:r>
    </w:p>
    <w:p w:rsidR="00034BBE" w:rsidP="65D6ADB0">
      <w:pPr>
        <w:spacing w:after="0"/>
        <w:rPr>
          <w:rFonts w:ascii="Calibri" w:eastAsia="Calibri" w:hAnsi="Calibri" w:cs="Calibri"/>
          <w:sz w:val="22"/>
          <w:szCs w:val="22"/>
          <w:lang w:val="en-GB"/>
        </w:rPr>
      </w:pPr>
      <w:r w:rsidRPr="65D6ADB0">
        <w:rPr>
          <w:rFonts w:ascii="Aptos" w:eastAsia="Aptos" w:hAnsi="Aptos" w:cs="Aptos"/>
          <w:color w:val="000000" w:themeColor="text1"/>
          <w:sz w:val="22"/>
          <w:szCs w:val="22"/>
          <w:lang w:val="en-GB"/>
        </w:rPr>
        <w:t xml:space="preserve">Weak and inconsistent support for international law creates a permissive environment for the </w:t>
      </w:r>
      <w:r w:rsidRPr="65D6ADB0">
        <w:rPr>
          <w:rFonts w:ascii="Aptos" w:eastAsia="Aptos" w:hAnsi="Aptos" w:cs="Aptos"/>
          <w:color w:val="000000" w:themeColor="text1"/>
          <w:sz w:val="22"/>
          <w:szCs w:val="22"/>
          <w:lang w:val="en-GB"/>
        </w:rPr>
        <w:t>deepening of discriminatory practices and control over populations. This is especially evident in the case of Israel’s control over Palestinian lives through blockade, displacement annexation illegal occupation and apartheid over several decades.</w:t>
      </w:r>
      <w:r>
        <w:rPr>
          <w:rStyle w:val="FootnoteReference"/>
          <w:rFonts w:ascii="Aptos" w:eastAsia="Aptos" w:hAnsi="Aptos" w:cs="Aptos"/>
          <w:color w:val="000000" w:themeColor="text1"/>
          <w:sz w:val="22"/>
          <w:szCs w:val="22"/>
          <w:lang w:val="en-GB"/>
        </w:rPr>
        <w:footnoteReference w:id="2"/>
      </w:r>
      <w:r w:rsidRPr="65D6ADB0">
        <w:rPr>
          <w:rFonts w:ascii="Aptos" w:eastAsia="Aptos" w:hAnsi="Aptos" w:cs="Aptos"/>
          <w:color w:val="000000" w:themeColor="text1"/>
          <w:sz w:val="22"/>
          <w:szCs w:val="22"/>
          <w:lang w:val="en-GB"/>
        </w:rPr>
        <w:t xml:space="preserve"> </w:t>
      </w:r>
      <w:r w:rsidRPr="4000315E">
        <w:rPr>
          <w:rFonts w:ascii="Aptos" w:eastAsia="Aptos" w:hAnsi="Aptos" w:cs="Aptos"/>
          <w:color w:val="000000" w:themeColor="text1"/>
          <w:sz w:val="22"/>
          <w:szCs w:val="22"/>
          <w:lang w:val="en-GB"/>
        </w:rPr>
        <w:t xml:space="preserve">Dangerous double standards that </w:t>
      </w:r>
      <w:r w:rsidRPr="4000315E">
        <w:rPr>
          <w:rFonts w:ascii="Aptos" w:eastAsia="Aptos" w:hAnsi="Aptos" w:cs="Aptos"/>
          <w:color w:val="000000" w:themeColor="text1"/>
          <w:sz w:val="22"/>
          <w:szCs w:val="22"/>
          <w:lang w:val="en-GB"/>
        </w:rPr>
        <w:t xml:space="preserve">erode </w:t>
      </w:r>
      <w:r w:rsidRPr="4000315E">
        <w:rPr>
          <w:rFonts w:ascii="Aptos" w:eastAsia="Aptos" w:hAnsi="Aptos" w:cs="Aptos"/>
          <w:color w:val="000000" w:themeColor="text1"/>
          <w:sz w:val="22"/>
          <w:szCs w:val="22"/>
          <w:lang w:val="en-GB"/>
        </w:rPr>
        <w:t>the rule of international law globally have undermine</w:t>
      </w:r>
      <w:r w:rsidRPr="4000315E">
        <w:rPr>
          <w:rFonts w:ascii="Aptos" w:eastAsia="Aptos" w:hAnsi="Aptos" w:cs="Aptos"/>
          <w:color w:val="000000" w:themeColor="text1"/>
          <w:sz w:val="22"/>
          <w:szCs w:val="22"/>
          <w:lang w:val="en-GB"/>
        </w:rPr>
        <w:t>d</w:t>
      </w:r>
      <w:r w:rsidRPr="4000315E">
        <w:rPr>
          <w:rFonts w:ascii="Aptos" w:eastAsia="Aptos" w:hAnsi="Aptos" w:cs="Aptos"/>
          <w:color w:val="000000" w:themeColor="text1"/>
          <w:sz w:val="22"/>
          <w:szCs w:val="22"/>
          <w:lang w:val="en-GB"/>
        </w:rPr>
        <w:t xml:space="preserve"> successive governments’ obligations under international humanitarian law</w:t>
      </w:r>
      <w:r w:rsidRPr="4000315E">
        <w:rPr>
          <w:rFonts w:ascii="Aptos" w:eastAsia="Aptos" w:hAnsi="Aptos" w:cs="Aptos"/>
          <w:color w:val="000000" w:themeColor="text1"/>
          <w:sz w:val="22"/>
          <w:szCs w:val="22"/>
          <w:lang w:val="en-GB"/>
        </w:rPr>
        <w:t xml:space="preserve">. This erosion </w:t>
      </w:r>
      <w:r w:rsidRPr="4000315E">
        <w:rPr>
          <w:rFonts w:ascii="Aptos" w:eastAsia="Aptos" w:hAnsi="Aptos" w:cs="Aptos"/>
          <w:color w:val="000000" w:themeColor="text1"/>
          <w:sz w:val="22"/>
          <w:szCs w:val="22"/>
          <w:lang w:val="en-GB"/>
        </w:rPr>
        <w:t xml:space="preserve">has </w:t>
      </w:r>
      <w:r w:rsidRPr="4000315E">
        <w:rPr>
          <w:rFonts w:ascii="Aptos" w:eastAsia="Aptos" w:hAnsi="Aptos" w:cs="Aptos"/>
          <w:color w:val="000000" w:themeColor="text1"/>
          <w:sz w:val="22"/>
          <w:szCs w:val="22"/>
          <w:lang w:val="en-GB"/>
        </w:rPr>
        <w:t xml:space="preserve">enabled the </w:t>
      </w:r>
      <w:r w:rsidRPr="4000315E">
        <w:rPr>
          <w:rFonts w:ascii="Aptos" w:eastAsia="Aptos" w:hAnsi="Aptos" w:cs="Aptos"/>
          <w:color w:val="000000" w:themeColor="text1"/>
          <w:sz w:val="22"/>
          <w:szCs w:val="22"/>
          <w:lang w:val="en-GB"/>
        </w:rPr>
        <w:t>unlawful restriction of humanitarian access</w:t>
      </w:r>
      <w:r w:rsidRPr="4000315E">
        <w:rPr>
          <w:rFonts w:ascii="Aptos" w:eastAsia="Aptos" w:hAnsi="Aptos" w:cs="Aptos"/>
          <w:color w:val="000000" w:themeColor="text1"/>
          <w:sz w:val="22"/>
          <w:szCs w:val="22"/>
          <w:lang w:val="en-GB"/>
        </w:rPr>
        <w:t>,</w:t>
      </w:r>
      <w:r w:rsidRPr="4000315E">
        <w:rPr>
          <w:rFonts w:ascii="Aptos" w:eastAsia="Aptos" w:hAnsi="Aptos" w:cs="Aptos"/>
          <w:color w:val="000000" w:themeColor="text1"/>
          <w:sz w:val="22"/>
          <w:szCs w:val="22"/>
          <w:lang w:val="en-GB"/>
        </w:rPr>
        <w:t xml:space="preserve"> </w:t>
      </w:r>
      <w:r w:rsidRPr="4000315E">
        <w:rPr>
          <w:rFonts w:ascii="Aptos" w:eastAsia="Aptos" w:hAnsi="Aptos" w:cs="Aptos"/>
          <w:color w:val="000000" w:themeColor="text1"/>
          <w:sz w:val="22"/>
          <w:szCs w:val="22"/>
          <w:lang w:val="en-GB"/>
        </w:rPr>
        <w:t>especially</w:t>
      </w:r>
      <w:r w:rsidRPr="4000315E">
        <w:rPr>
          <w:rFonts w:ascii="Aptos" w:eastAsia="Aptos" w:hAnsi="Aptos" w:cs="Aptos"/>
          <w:color w:val="000000" w:themeColor="text1"/>
          <w:sz w:val="22"/>
          <w:szCs w:val="22"/>
          <w:lang w:val="en-GB"/>
        </w:rPr>
        <w:t xml:space="preserve"> in this context.  </w:t>
      </w:r>
    </w:p>
    <w:p w:rsidR="00034BBE" w:rsidP="00655578">
      <w:pPr>
        <w:spacing w:before="240" w:after="240"/>
        <w:rPr>
          <w:rFonts w:ascii="Aptos" w:eastAsia="Aptos" w:hAnsi="Aptos" w:cs="Aptos"/>
          <w:color w:val="000000" w:themeColor="text1"/>
          <w:sz w:val="22"/>
          <w:szCs w:val="22"/>
        </w:rPr>
      </w:pPr>
      <w:r w:rsidRPr="09EF5CED">
        <w:rPr>
          <w:rFonts w:ascii="Aptos" w:eastAsia="Aptos" w:hAnsi="Aptos" w:cs="Aptos"/>
          <w:color w:val="000000" w:themeColor="text1"/>
          <w:sz w:val="22"/>
          <w:szCs w:val="22"/>
          <w:lang w:val="en-GB"/>
        </w:rPr>
        <w:t xml:space="preserve">Chronic impunity afforded to Israel, despite clearly unlawful attacks on essential humanitarian and health </w:t>
      </w:r>
      <w:r w:rsidRPr="09EF5CED">
        <w:rPr>
          <w:rFonts w:ascii="Aptos" w:eastAsia="Aptos" w:hAnsi="Aptos" w:cs="Aptos"/>
          <w:color w:val="000000" w:themeColor="text1"/>
          <w:sz w:val="22"/>
          <w:szCs w:val="22"/>
          <w:lang w:val="en-GB"/>
        </w:rPr>
        <w:t>personnel and infrastructure,</w:t>
      </w:r>
      <w:r w:rsidRPr="09EF5CED">
        <w:rPr>
          <w:rFonts w:ascii="Aptos" w:eastAsia="Aptos" w:hAnsi="Aptos" w:cs="Aptos"/>
          <w:color w:val="000000" w:themeColor="text1"/>
          <w:sz w:val="22"/>
          <w:szCs w:val="22"/>
          <w:lang w:val="en-GB"/>
        </w:rPr>
        <w:t xml:space="preserve"> has emboldened</w:t>
      </w:r>
      <w:r w:rsidRPr="09EF5CED">
        <w:rPr>
          <w:rFonts w:ascii="Aptos" w:eastAsia="Aptos" w:hAnsi="Aptos" w:cs="Aptos"/>
          <w:color w:val="000000" w:themeColor="text1"/>
          <w:sz w:val="22"/>
          <w:szCs w:val="22"/>
          <w:lang w:val="en-GB"/>
        </w:rPr>
        <w:t xml:space="preserve"> the</w:t>
      </w:r>
      <w:r w:rsidRPr="09EF5CED">
        <w:rPr>
          <w:rFonts w:ascii="Aptos" w:eastAsia="Aptos" w:hAnsi="Aptos" w:cs="Aptos"/>
          <w:color w:val="000000" w:themeColor="text1"/>
          <w:sz w:val="22"/>
          <w:szCs w:val="22"/>
          <w:lang w:val="en-GB"/>
        </w:rPr>
        <w:t xml:space="preserve"> Israeli military</w:t>
      </w:r>
      <w:r w:rsidRPr="09EF5CED">
        <w:rPr>
          <w:rFonts w:ascii="Aptos" w:eastAsia="Aptos" w:hAnsi="Aptos" w:cs="Aptos"/>
          <w:color w:val="000000" w:themeColor="text1"/>
          <w:sz w:val="22"/>
          <w:szCs w:val="22"/>
          <w:lang w:val="en-GB"/>
        </w:rPr>
        <w:t>’s</w:t>
      </w:r>
      <w:r w:rsidRPr="09EF5CED">
        <w:rPr>
          <w:rFonts w:ascii="Aptos" w:eastAsia="Aptos" w:hAnsi="Aptos" w:cs="Aptos"/>
          <w:color w:val="000000" w:themeColor="text1"/>
          <w:sz w:val="22"/>
          <w:szCs w:val="22"/>
          <w:lang w:val="en-GB"/>
        </w:rPr>
        <w:t xml:space="preserve"> continue</w:t>
      </w:r>
      <w:r w:rsidRPr="09EF5CED">
        <w:rPr>
          <w:rFonts w:ascii="Aptos" w:eastAsia="Aptos" w:hAnsi="Aptos" w:cs="Aptos"/>
          <w:color w:val="000000" w:themeColor="text1"/>
          <w:sz w:val="22"/>
          <w:szCs w:val="22"/>
          <w:lang w:val="en-GB"/>
        </w:rPr>
        <w:t>d</w:t>
      </w:r>
      <w:r w:rsidRPr="09EF5CED">
        <w:rPr>
          <w:rFonts w:ascii="Aptos" w:eastAsia="Aptos" w:hAnsi="Aptos" w:cs="Aptos"/>
          <w:color w:val="000000" w:themeColor="text1"/>
          <w:sz w:val="22"/>
          <w:szCs w:val="22"/>
          <w:lang w:val="en-GB"/>
        </w:rPr>
        <w:t xml:space="preserve"> disregard for protections </w:t>
      </w:r>
      <w:r w:rsidRPr="09EF5CED">
        <w:rPr>
          <w:rFonts w:ascii="Aptos" w:eastAsia="Aptos" w:hAnsi="Aptos" w:cs="Aptos"/>
          <w:color w:val="000000" w:themeColor="text1"/>
          <w:sz w:val="22"/>
          <w:szCs w:val="22"/>
          <w:lang w:val="en-GB"/>
        </w:rPr>
        <w:t xml:space="preserve">guaranteed </w:t>
      </w:r>
      <w:r w:rsidRPr="09EF5CED">
        <w:rPr>
          <w:rFonts w:ascii="Aptos" w:eastAsia="Aptos" w:hAnsi="Aptos" w:cs="Aptos"/>
          <w:color w:val="000000" w:themeColor="text1"/>
          <w:sz w:val="22"/>
          <w:szCs w:val="22"/>
          <w:lang w:val="en-GB"/>
        </w:rPr>
        <w:t xml:space="preserve">under international humanitarian law </w:t>
      </w:r>
      <w:r w:rsidRPr="09EF5CED">
        <w:rPr>
          <w:rFonts w:ascii="Aptos" w:eastAsia="Aptos" w:hAnsi="Aptos" w:cs="Aptos"/>
          <w:color w:val="000000" w:themeColor="text1"/>
          <w:sz w:val="22"/>
          <w:szCs w:val="22"/>
          <w:lang w:val="en-GB"/>
        </w:rPr>
        <w:t>for</w:t>
      </w:r>
      <w:r w:rsidRPr="09EF5CED">
        <w:rPr>
          <w:rFonts w:ascii="Aptos" w:eastAsia="Aptos" w:hAnsi="Aptos" w:cs="Aptos"/>
          <w:color w:val="000000" w:themeColor="text1"/>
          <w:sz w:val="22"/>
          <w:szCs w:val="22"/>
          <w:lang w:val="en-GB"/>
        </w:rPr>
        <w:t xml:space="preserve"> aid and health workers. </w:t>
      </w:r>
      <w:r w:rsidRPr="09EF5CED">
        <w:rPr>
          <w:rFonts w:ascii="Aptos" w:eastAsia="Aptos" w:hAnsi="Aptos" w:cs="Aptos"/>
          <w:color w:val="000000" w:themeColor="text1"/>
          <w:sz w:val="22"/>
          <w:szCs w:val="22"/>
          <w:lang w:val="en-GB"/>
        </w:rPr>
        <w:t>During t</w:t>
      </w:r>
      <w:r w:rsidRPr="09EF5CED">
        <w:rPr>
          <w:rFonts w:ascii="Aptos" w:eastAsia="Aptos" w:hAnsi="Aptos" w:cs="Aptos"/>
          <w:color w:val="000000" w:themeColor="text1"/>
          <w:sz w:val="22"/>
          <w:szCs w:val="22"/>
        </w:rPr>
        <w:t xml:space="preserve">he </w:t>
      </w:r>
      <w:r w:rsidRPr="09EF5CED">
        <w:rPr>
          <w:rFonts w:ascii="Aptos" w:eastAsia="Aptos" w:hAnsi="Aptos" w:cs="Aptos"/>
          <w:color w:val="000000" w:themeColor="text1"/>
          <w:sz w:val="22"/>
          <w:szCs w:val="22"/>
        </w:rPr>
        <w:t>“</w:t>
      </w:r>
      <w:r w:rsidRPr="09EF5CED">
        <w:rPr>
          <w:rFonts w:ascii="Aptos" w:eastAsia="Aptos" w:hAnsi="Aptos" w:cs="Aptos"/>
          <w:color w:val="000000" w:themeColor="text1"/>
          <w:sz w:val="22"/>
          <w:szCs w:val="22"/>
        </w:rPr>
        <w:t>Great March of Return</w:t>
      </w:r>
      <w:r w:rsidRPr="09EF5CED">
        <w:rPr>
          <w:rFonts w:ascii="Aptos" w:eastAsia="Aptos" w:hAnsi="Aptos" w:cs="Aptos"/>
          <w:color w:val="000000" w:themeColor="text1"/>
          <w:sz w:val="22"/>
          <w:szCs w:val="22"/>
        </w:rPr>
        <w:t>”</w:t>
      </w:r>
      <w:r w:rsidRPr="09EF5CED">
        <w:rPr>
          <w:rFonts w:ascii="Aptos" w:eastAsia="Aptos" w:hAnsi="Aptos" w:cs="Aptos"/>
          <w:color w:val="000000" w:themeColor="text1"/>
          <w:sz w:val="22"/>
          <w:szCs w:val="22"/>
        </w:rPr>
        <w:t xml:space="preserve"> demonstrations</w:t>
      </w:r>
      <w:r w:rsidRPr="09EF5CED">
        <w:rPr>
          <w:rFonts w:ascii="Aptos" w:eastAsia="Aptos" w:hAnsi="Aptos" w:cs="Aptos"/>
          <w:color w:val="000000" w:themeColor="text1"/>
          <w:sz w:val="22"/>
          <w:szCs w:val="22"/>
        </w:rPr>
        <w:t xml:space="preserve"> - </w:t>
      </w:r>
      <w:r w:rsidRPr="09EF5CED">
        <w:rPr>
          <w:rFonts w:ascii="Aptos" w:eastAsia="Aptos" w:hAnsi="Aptos" w:cs="Aptos"/>
          <w:color w:val="000000" w:themeColor="text1"/>
          <w:sz w:val="22"/>
          <w:szCs w:val="22"/>
        </w:rPr>
        <w:t>a series of widespread, civil society-initiated demonstrations that demand</w:t>
      </w:r>
      <w:r w:rsidRPr="09EF5CED">
        <w:rPr>
          <w:rFonts w:ascii="Aptos" w:eastAsia="Aptos" w:hAnsi="Aptos" w:cs="Aptos"/>
          <w:color w:val="000000" w:themeColor="text1"/>
          <w:sz w:val="22"/>
          <w:szCs w:val="22"/>
        </w:rPr>
        <w:t>ed</w:t>
      </w:r>
      <w:r w:rsidRPr="09EF5CED">
        <w:rPr>
          <w:rFonts w:ascii="Aptos" w:eastAsia="Aptos" w:hAnsi="Aptos" w:cs="Aptos"/>
          <w:color w:val="000000" w:themeColor="text1"/>
          <w:sz w:val="22"/>
          <w:szCs w:val="22"/>
        </w:rPr>
        <w:t xml:space="preserve"> the lifting of Israeli authorities’ illegal closure of Gaza</w:t>
      </w:r>
      <w:r w:rsidRPr="09EF5CED">
        <w:rPr>
          <w:rFonts w:ascii="Aptos" w:eastAsia="Aptos" w:hAnsi="Aptos" w:cs="Aptos"/>
          <w:color w:val="000000" w:themeColor="text1"/>
          <w:sz w:val="22"/>
          <w:szCs w:val="22"/>
        </w:rPr>
        <w:t xml:space="preserve"> – Israeli forces killed at least </w:t>
      </w:r>
      <w:r w:rsidRPr="09EF5CED">
        <w:rPr>
          <w:rFonts w:ascii="Aptos" w:eastAsia="Aptos" w:hAnsi="Aptos" w:cs="Aptos"/>
          <w:color w:val="000000" w:themeColor="text1"/>
          <w:sz w:val="22"/>
          <w:szCs w:val="22"/>
        </w:rPr>
        <w:t>three health</w:t>
      </w:r>
      <w:r w:rsidRPr="09EF5CED">
        <w:rPr>
          <w:rFonts w:ascii="Aptos" w:eastAsia="Aptos" w:hAnsi="Aptos" w:cs="Aptos"/>
          <w:color w:val="000000" w:themeColor="text1"/>
          <w:sz w:val="22"/>
          <w:szCs w:val="22"/>
        </w:rPr>
        <w:t xml:space="preserve"> </w:t>
      </w:r>
      <w:r w:rsidRPr="09EF5CED">
        <w:rPr>
          <w:rFonts w:ascii="Aptos" w:eastAsia="Aptos" w:hAnsi="Aptos" w:cs="Aptos"/>
          <w:color w:val="000000" w:themeColor="text1"/>
          <w:sz w:val="22"/>
          <w:szCs w:val="22"/>
        </w:rPr>
        <w:t xml:space="preserve">workers </w:t>
      </w:r>
      <w:r w:rsidRPr="09EF5CED">
        <w:rPr>
          <w:rFonts w:ascii="Aptos" w:eastAsia="Aptos" w:hAnsi="Aptos" w:cs="Aptos"/>
          <w:color w:val="000000" w:themeColor="text1"/>
          <w:sz w:val="22"/>
          <w:szCs w:val="22"/>
        </w:rPr>
        <w:t xml:space="preserve">were </w:t>
      </w:r>
      <w:r w:rsidRPr="09EF5CED">
        <w:rPr>
          <w:rFonts w:ascii="Aptos" w:eastAsia="Aptos" w:hAnsi="Aptos" w:cs="Aptos"/>
          <w:color w:val="000000" w:themeColor="text1"/>
          <w:sz w:val="22"/>
          <w:szCs w:val="22"/>
        </w:rPr>
        <w:t>killed</w:t>
      </w:r>
      <w:r w:rsidRPr="09EF5CED">
        <w:rPr>
          <w:rFonts w:ascii="Aptos" w:eastAsia="Aptos" w:hAnsi="Aptos" w:cs="Aptos"/>
          <w:color w:val="000000" w:themeColor="text1"/>
          <w:sz w:val="22"/>
          <w:szCs w:val="22"/>
        </w:rPr>
        <w:t xml:space="preserve"> </w:t>
      </w:r>
      <w:r w:rsidRPr="09EF5CED">
        <w:rPr>
          <w:rFonts w:ascii="Aptos" w:eastAsia="Aptos" w:hAnsi="Aptos" w:cs="Aptos"/>
          <w:color w:val="000000" w:themeColor="text1"/>
          <w:sz w:val="22"/>
          <w:szCs w:val="22"/>
        </w:rPr>
        <w:t xml:space="preserve">and </w:t>
      </w:r>
      <w:r w:rsidRPr="09EF5CED">
        <w:rPr>
          <w:rFonts w:ascii="Aptos" w:eastAsia="Aptos" w:hAnsi="Aptos" w:cs="Aptos"/>
          <w:color w:val="000000" w:themeColor="text1"/>
          <w:sz w:val="22"/>
          <w:szCs w:val="22"/>
        </w:rPr>
        <w:t xml:space="preserve">injured </w:t>
      </w:r>
      <w:r w:rsidRPr="09EF5CED">
        <w:rPr>
          <w:rFonts w:ascii="Aptos" w:eastAsia="Aptos" w:hAnsi="Aptos" w:cs="Aptos"/>
          <w:color w:val="000000" w:themeColor="text1"/>
          <w:sz w:val="22"/>
          <w:szCs w:val="22"/>
        </w:rPr>
        <w:t xml:space="preserve">a further </w:t>
      </w:r>
      <w:r w:rsidRPr="09EF5CED">
        <w:rPr>
          <w:rFonts w:ascii="Aptos" w:eastAsia="Aptos" w:hAnsi="Aptos" w:cs="Aptos"/>
          <w:color w:val="000000" w:themeColor="text1"/>
          <w:sz w:val="22"/>
          <w:szCs w:val="22"/>
        </w:rPr>
        <w:t>845</w:t>
      </w:r>
      <w:r w:rsidRPr="09EF5CED">
        <w:rPr>
          <w:rFonts w:ascii="Aptos" w:eastAsia="Aptos" w:hAnsi="Aptos" w:cs="Aptos"/>
          <w:color w:val="000000" w:themeColor="text1"/>
          <w:sz w:val="22"/>
          <w:szCs w:val="22"/>
        </w:rPr>
        <w:t>,</w:t>
      </w:r>
      <w:r w:rsidRPr="09EF5CED">
        <w:rPr>
          <w:rFonts w:ascii="Aptos" w:eastAsia="Aptos" w:hAnsi="Aptos" w:cs="Aptos"/>
          <w:color w:val="000000" w:themeColor="text1"/>
          <w:sz w:val="22"/>
          <w:szCs w:val="22"/>
        </w:rPr>
        <w:t xml:space="preserve"> </w:t>
      </w:r>
      <w:r w:rsidRPr="09EF5CED">
        <w:rPr>
          <w:rFonts w:ascii="Aptos" w:eastAsia="Aptos" w:hAnsi="Aptos" w:cs="Aptos"/>
          <w:color w:val="000000" w:themeColor="text1"/>
          <w:sz w:val="22"/>
          <w:szCs w:val="22"/>
        </w:rPr>
        <w:t xml:space="preserve">through </w:t>
      </w:r>
      <w:r w:rsidRPr="09EF5CED">
        <w:rPr>
          <w:rFonts w:ascii="Aptos" w:eastAsia="Aptos" w:hAnsi="Aptos" w:cs="Aptos"/>
          <w:color w:val="000000" w:themeColor="text1"/>
          <w:sz w:val="22"/>
          <w:szCs w:val="22"/>
        </w:rPr>
        <w:t>widespread and systematic use of excessive force against civilian protesters in Gaza.</w:t>
      </w:r>
      <w:r>
        <w:rPr>
          <w:rStyle w:val="FootnoteReference"/>
          <w:rFonts w:ascii="Aptos" w:eastAsia="Aptos" w:hAnsi="Aptos" w:cs="Aptos"/>
          <w:color w:val="000000" w:themeColor="text1"/>
          <w:sz w:val="22"/>
          <w:szCs w:val="22"/>
        </w:rPr>
        <w:footnoteReference w:id="3"/>
      </w:r>
      <w:r w:rsidRPr="09EF5CED">
        <w:rPr>
          <w:rFonts w:ascii="Aptos" w:eastAsia="Aptos" w:hAnsi="Aptos" w:cs="Aptos"/>
          <w:color w:val="000000" w:themeColor="text1"/>
          <w:sz w:val="22"/>
          <w:szCs w:val="22"/>
        </w:rPr>
        <w:t xml:space="preserve"> In the same period, 112 ambulances and seven health facilities were damaged.</w:t>
      </w:r>
      <w:r>
        <w:rPr>
          <w:rStyle w:val="FootnoteReference"/>
          <w:rFonts w:ascii="Aptos" w:eastAsia="Aptos" w:hAnsi="Aptos" w:cs="Aptos"/>
          <w:color w:val="000000" w:themeColor="text1"/>
          <w:sz w:val="22"/>
          <w:szCs w:val="22"/>
        </w:rPr>
        <w:footnoteReference w:id="4"/>
      </w:r>
      <w:r w:rsidRPr="09EF5CED">
        <w:rPr>
          <w:rFonts w:ascii="Aptos" w:eastAsia="Aptos" w:hAnsi="Aptos" w:cs="Aptos"/>
          <w:color w:val="000000" w:themeColor="text1"/>
          <w:sz w:val="22"/>
          <w:szCs w:val="22"/>
        </w:rPr>
        <w:t xml:space="preserve"> </w:t>
      </w:r>
      <w:r w:rsidRPr="09EF5CED">
        <w:rPr>
          <w:rFonts w:ascii="Aptos" w:eastAsia="Aptos" w:hAnsi="Aptos" w:cs="Aptos"/>
          <w:color w:val="000000" w:themeColor="text1"/>
          <w:sz w:val="22"/>
          <w:szCs w:val="22"/>
        </w:rPr>
        <w:t xml:space="preserve">An independent UN Commission of Inquiry found that </w:t>
      </w:r>
      <w:r w:rsidRPr="09EF5CED">
        <w:rPr>
          <w:rFonts w:ascii="Aptos" w:eastAsia="Aptos" w:hAnsi="Aptos" w:cs="Aptos"/>
          <w:color w:val="000000" w:themeColor="text1"/>
          <w:sz w:val="22"/>
          <w:szCs w:val="22"/>
        </w:rPr>
        <w:t>“[b]</w:t>
      </w:r>
      <w:r w:rsidRPr="09EF5CED">
        <w:rPr>
          <w:rFonts w:ascii="Aptos" w:eastAsia="Aptos" w:hAnsi="Aptos" w:cs="Aptos"/>
          <w:color w:val="000000" w:themeColor="text1"/>
          <w:sz w:val="22"/>
          <w:szCs w:val="22"/>
        </w:rPr>
        <w:t>ased</w:t>
      </w:r>
      <w:r w:rsidRPr="09EF5CED">
        <w:rPr>
          <w:rFonts w:ascii="Aptos" w:eastAsia="Aptos" w:hAnsi="Aptos" w:cs="Aptos"/>
          <w:color w:val="000000" w:themeColor="text1"/>
          <w:sz w:val="22"/>
          <w:szCs w:val="22"/>
        </w:rPr>
        <w:t xml:space="preserve"> on numerous interviews with victims and witnesses and corroboration of video footage in a number of instances, the Commission found reasonable grounds to believe that Israeli </w:t>
      </w:r>
      <w:r w:rsidRPr="09EF5CED">
        <w:rPr>
          <w:rFonts w:ascii="Aptos" w:eastAsia="Aptos" w:hAnsi="Aptos" w:cs="Aptos"/>
          <w:color w:val="000000" w:themeColor="text1"/>
          <w:sz w:val="22"/>
          <w:szCs w:val="22"/>
        </w:rPr>
        <w:t>snipers intentionally shot health workers, despite seeing that they were clearly marked as such.”</w:t>
      </w:r>
      <w:r>
        <w:rPr>
          <w:rStyle w:val="FootnoteReference"/>
          <w:rFonts w:ascii="Aptos" w:eastAsia="Aptos" w:hAnsi="Aptos" w:cs="Aptos"/>
          <w:color w:val="000000" w:themeColor="text1"/>
          <w:sz w:val="22"/>
          <w:szCs w:val="22"/>
        </w:rPr>
        <w:footnoteReference w:id="5"/>
      </w:r>
      <w:r w:rsidRPr="09EF5CED">
        <w:rPr>
          <w:rFonts w:ascii="Aptos" w:eastAsia="Aptos" w:hAnsi="Aptos" w:cs="Aptos"/>
          <w:color w:val="000000" w:themeColor="text1"/>
          <w:sz w:val="22"/>
          <w:szCs w:val="22"/>
        </w:rPr>
        <w:t xml:space="preserve"> It concluded that the occupied Palestinian territory is “is one of the most dangerous places in the world to be a health worker</w:t>
      </w:r>
      <w:r w:rsidRPr="09EF5CED">
        <w:rPr>
          <w:rFonts w:ascii="Aptos" w:eastAsia="Aptos" w:hAnsi="Aptos" w:cs="Aptos"/>
          <w:color w:val="000000" w:themeColor="text1"/>
          <w:sz w:val="22"/>
          <w:szCs w:val="22"/>
        </w:rPr>
        <w:t>.”</w:t>
      </w:r>
      <w:r>
        <w:rPr>
          <w:rStyle w:val="FootnoteReference"/>
          <w:rFonts w:ascii="Aptos" w:eastAsia="Aptos" w:hAnsi="Aptos" w:cs="Aptos"/>
          <w:color w:val="000000" w:themeColor="text1"/>
          <w:sz w:val="22"/>
          <w:szCs w:val="22"/>
        </w:rPr>
        <w:footnoteReference w:id="6"/>
      </w:r>
    </w:p>
    <w:p w:rsidR="00034BBE" w:rsidRPr="0078539A" w:rsidP="09EF5CED">
      <w:pPr>
        <w:spacing w:before="240" w:after="240"/>
        <w:rPr>
          <w:rFonts w:ascii="Aptos" w:eastAsia="Aptos" w:hAnsi="Aptos" w:cs="Aptos"/>
          <w:color w:val="000000" w:themeColor="text1"/>
          <w:sz w:val="22"/>
          <w:szCs w:val="22"/>
          <w:lang w:val="en-GB"/>
        </w:rPr>
      </w:pPr>
      <w:r w:rsidRPr="09EF5CED">
        <w:rPr>
          <w:rFonts w:ascii="Aptos" w:eastAsia="Aptos" w:hAnsi="Aptos" w:cs="Aptos"/>
          <w:color w:val="000000" w:themeColor="text1"/>
          <w:sz w:val="22"/>
          <w:szCs w:val="22"/>
        </w:rPr>
        <w:t xml:space="preserve">In the absence of genuine investigations and legal accountability, it is gravely predictable therefore that </w:t>
      </w:r>
      <w:r w:rsidRPr="09EF5CED">
        <w:rPr>
          <w:rFonts w:ascii="Aptos" w:eastAsia="Aptos" w:hAnsi="Aptos" w:cs="Aptos"/>
          <w:color w:val="000000" w:themeColor="text1"/>
          <w:sz w:val="22"/>
          <w:szCs w:val="22"/>
        </w:rPr>
        <w:t xml:space="preserve">Israeli military forces have continued to kill and injure </w:t>
      </w:r>
      <w:r w:rsidRPr="09EF5CED">
        <w:rPr>
          <w:rFonts w:ascii="Aptos" w:eastAsia="Aptos" w:hAnsi="Aptos" w:cs="Aptos"/>
          <w:color w:val="000000" w:themeColor="text1"/>
          <w:sz w:val="22"/>
          <w:szCs w:val="22"/>
        </w:rPr>
        <w:t xml:space="preserve">Palestinian </w:t>
      </w:r>
      <w:r w:rsidRPr="09EF5CED">
        <w:rPr>
          <w:rFonts w:ascii="Aptos" w:eastAsia="Aptos" w:hAnsi="Aptos" w:cs="Aptos"/>
          <w:color w:val="000000" w:themeColor="text1"/>
          <w:sz w:val="22"/>
          <w:szCs w:val="22"/>
        </w:rPr>
        <w:t>health workers</w:t>
      </w:r>
      <w:r w:rsidRPr="09EF5CED">
        <w:rPr>
          <w:rFonts w:ascii="Aptos" w:eastAsia="Aptos" w:hAnsi="Aptos" w:cs="Aptos"/>
          <w:color w:val="000000" w:themeColor="text1"/>
          <w:sz w:val="22"/>
          <w:szCs w:val="22"/>
        </w:rPr>
        <w:t xml:space="preserve"> throughout its current military assault on Gaza</w:t>
      </w:r>
      <w:r w:rsidRPr="09EF5CED">
        <w:rPr>
          <w:rFonts w:ascii="Aptos" w:eastAsia="Aptos" w:hAnsi="Aptos" w:cs="Aptos"/>
          <w:color w:val="000000" w:themeColor="text1"/>
          <w:sz w:val="22"/>
          <w:szCs w:val="22"/>
        </w:rPr>
        <w:t>.</w:t>
      </w:r>
      <w:r w:rsidRPr="09EF5CED">
        <w:rPr>
          <w:rFonts w:ascii="Aptos" w:eastAsia="Aptos" w:hAnsi="Aptos" w:cs="Aptos"/>
          <w:color w:val="000000" w:themeColor="text1"/>
          <w:sz w:val="22"/>
          <w:szCs w:val="22"/>
        </w:rPr>
        <w:t xml:space="preserve"> A</w:t>
      </w:r>
      <w:r w:rsidRPr="09EF5CED">
        <w:rPr>
          <w:rFonts w:ascii="Aptos" w:eastAsia="Aptos" w:hAnsi="Aptos" w:cs="Aptos"/>
          <w:color w:val="000000" w:themeColor="text1"/>
          <w:sz w:val="22"/>
          <w:szCs w:val="22"/>
        </w:rPr>
        <w:t xml:space="preserve"> second independent UN Commission of Inquiry has found </w:t>
      </w:r>
      <w:r w:rsidRPr="09EF5CED">
        <w:rPr>
          <w:rFonts w:ascii="Aptos" w:eastAsia="Aptos" w:hAnsi="Aptos" w:cs="Aptos"/>
          <w:color w:val="000000" w:themeColor="text1"/>
          <w:sz w:val="22"/>
          <w:szCs w:val="22"/>
        </w:rPr>
        <w:t>that since October 2023,</w:t>
      </w:r>
      <w:r w:rsidRPr="09EF5CED">
        <w:rPr>
          <w:rFonts w:ascii="Aptos" w:eastAsia="Aptos" w:hAnsi="Aptos" w:cs="Aptos"/>
          <w:color w:val="000000" w:themeColor="text1"/>
          <w:sz w:val="22"/>
          <w:szCs w:val="22"/>
        </w:rPr>
        <w:t xml:space="preserve"> Israel has implemented a concerted policy to destroy the healthcare system of Gaza, and that its forces have “</w:t>
      </w:r>
      <w:r w:rsidRPr="09EF5CED">
        <w:rPr>
          <w:rFonts w:ascii="Aptos" w:eastAsia="Aptos" w:hAnsi="Aptos" w:cs="Aptos"/>
          <w:i/>
          <w:iCs/>
          <w:color w:val="000000" w:themeColor="text1"/>
          <w:sz w:val="22"/>
          <w:szCs w:val="22"/>
        </w:rPr>
        <w:t>deliberately killed, wounded, arrested, detained, mistreated and tortured medical personnel and targeted medical vehicles,”</w:t>
      </w:r>
      <w:r>
        <w:rPr>
          <w:rStyle w:val="FootnoteReference"/>
          <w:rFonts w:ascii="Aptos" w:eastAsia="Aptos" w:hAnsi="Aptos" w:cs="Aptos"/>
          <w:i/>
          <w:iCs/>
          <w:color w:val="000000" w:themeColor="text1"/>
          <w:sz w:val="22"/>
          <w:szCs w:val="22"/>
        </w:rPr>
        <w:footnoteReference w:id="7"/>
      </w:r>
      <w:r w:rsidRPr="09EF5CED">
        <w:rPr>
          <w:rFonts w:ascii="Aptos" w:eastAsia="Aptos" w:hAnsi="Aptos" w:cs="Aptos"/>
          <w:i/>
          <w:iCs/>
          <w:color w:val="000000" w:themeColor="text1"/>
          <w:sz w:val="22"/>
          <w:szCs w:val="22"/>
        </w:rPr>
        <w:t> </w:t>
      </w:r>
      <w:r w:rsidRPr="09EF5CED">
        <w:rPr>
          <w:rFonts w:ascii="Aptos" w:eastAsia="Aptos" w:hAnsi="Aptos" w:cs="Aptos"/>
          <w:color w:val="000000" w:themeColor="text1"/>
          <w:sz w:val="22"/>
          <w:szCs w:val="22"/>
        </w:rPr>
        <w:t xml:space="preserve">constituting the war crimes of willful killing and mistreatment and the crime against humanity of extermination. </w:t>
      </w:r>
    </w:p>
    <w:p w:rsidR="00034BBE" w:rsidP="09EF5CED">
      <w:pPr>
        <w:spacing w:before="240" w:after="240"/>
        <w:rPr>
          <w:rFonts w:ascii="Aptos" w:eastAsia="Aptos" w:hAnsi="Aptos" w:cs="Aptos"/>
          <w:color w:val="000000" w:themeColor="text1"/>
          <w:sz w:val="22"/>
          <w:szCs w:val="22"/>
          <w:lang w:val="en-GB"/>
        </w:rPr>
      </w:pPr>
      <w:r w:rsidRPr="09EF5CED">
        <w:rPr>
          <w:rFonts w:ascii="Aptos" w:eastAsia="Aptos" w:hAnsi="Aptos" w:cs="Aptos"/>
          <w:color w:val="000000" w:themeColor="text1"/>
          <w:sz w:val="22"/>
          <w:szCs w:val="22"/>
        </w:rPr>
        <w:t>These acts were carried out in conjunction with Israeli authorities’ collective punishment of Palestinians since October 2023, through the tightened siege of Gaza which has resulted in shortages of fuel, food, water, medicine and medical supplies at hospitals.</w:t>
      </w:r>
      <w:r w:rsidRPr="09EF5CED">
        <w:rPr>
          <w:rFonts w:ascii="Aptos" w:eastAsia="Aptos" w:hAnsi="Aptos" w:cs="Aptos"/>
          <w:color w:val="000000" w:themeColor="text1"/>
          <w:sz w:val="22"/>
          <w:szCs w:val="22"/>
          <w:lang w:val="en-GB"/>
        </w:rPr>
        <w:t xml:space="preserve"> Israeli authorities have not complied with the required facilitation of the passage of adequate humanitarian relief</w:t>
      </w:r>
      <w:r w:rsidRPr="09EF5CED">
        <w:rPr>
          <w:rFonts w:ascii="Aptos" w:eastAsia="Aptos" w:hAnsi="Aptos" w:cs="Aptos"/>
          <w:color w:val="000000" w:themeColor="text1"/>
          <w:sz w:val="22"/>
          <w:szCs w:val="22"/>
          <w:lang w:val="en-GB"/>
        </w:rPr>
        <w:t>.</w:t>
      </w:r>
      <w:r w:rsidRPr="09EF5CED">
        <w:rPr>
          <w:rFonts w:ascii="Aptos" w:eastAsia="Aptos" w:hAnsi="Aptos" w:cs="Aptos"/>
          <w:color w:val="000000" w:themeColor="text1"/>
          <w:sz w:val="22"/>
          <w:szCs w:val="22"/>
          <w:lang w:val="en-GB"/>
        </w:rPr>
        <w:t xml:space="preserve"> </w:t>
      </w:r>
      <w:r w:rsidRPr="09EF5CED">
        <w:rPr>
          <w:rFonts w:ascii="Aptos" w:eastAsia="Aptos" w:hAnsi="Aptos" w:cs="Aptos"/>
          <w:color w:val="000000" w:themeColor="text1"/>
          <w:sz w:val="22"/>
          <w:szCs w:val="22"/>
          <w:lang w:val="en-GB"/>
        </w:rPr>
        <w:t>The lack of meaningful action to bring the 2007 illegal closure of Gaza by Israel authorities to an end or ensure accountability, has now entrenched Israeli authorities’ control over Gaza</w:t>
      </w:r>
      <w:r w:rsidRPr="09EF5CED">
        <w:rPr>
          <w:rFonts w:ascii="Aptos" w:eastAsia="Aptos" w:hAnsi="Aptos" w:cs="Aptos"/>
          <w:color w:val="000000" w:themeColor="text1"/>
          <w:sz w:val="22"/>
          <w:szCs w:val="22"/>
          <w:lang w:val="en-GB"/>
        </w:rPr>
        <w:t>. T</w:t>
      </w:r>
      <w:r w:rsidRPr="09EF5CED">
        <w:rPr>
          <w:rFonts w:ascii="Aptos" w:eastAsia="Aptos" w:hAnsi="Aptos" w:cs="Aptos"/>
          <w:color w:val="000000" w:themeColor="text1"/>
          <w:sz w:val="22"/>
          <w:szCs w:val="22"/>
          <w:lang w:val="en-GB"/>
        </w:rPr>
        <w:t xml:space="preserve">his </w:t>
      </w:r>
      <w:r w:rsidRPr="09EF5CED">
        <w:rPr>
          <w:rFonts w:ascii="Aptos" w:eastAsia="Aptos" w:hAnsi="Aptos" w:cs="Aptos"/>
          <w:color w:val="000000" w:themeColor="text1"/>
          <w:sz w:val="22"/>
          <w:szCs w:val="22"/>
          <w:lang w:val="en-GB"/>
        </w:rPr>
        <w:t xml:space="preserve">could </w:t>
      </w:r>
      <w:r w:rsidRPr="09EF5CED">
        <w:rPr>
          <w:rFonts w:ascii="Aptos" w:eastAsia="Aptos" w:hAnsi="Aptos" w:cs="Aptos"/>
          <w:color w:val="000000" w:themeColor="text1"/>
          <w:sz w:val="22"/>
          <w:szCs w:val="22"/>
          <w:lang w:val="en-GB"/>
        </w:rPr>
        <w:t xml:space="preserve">embolden other armed actors to similarly disregard </w:t>
      </w:r>
      <w:r w:rsidRPr="09EF5CED">
        <w:rPr>
          <w:rFonts w:ascii="Aptos" w:eastAsia="Aptos" w:hAnsi="Aptos" w:cs="Aptos"/>
          <w:color w:val="000000" w:themeColor="text1"/>
          <w:sz w:val="22"/>
          <w:szCs w:val="22"/>
          <w:lang w:val="en-GB"/>
        </w:rPr>
        <w:t xml:space="preserve">these laws, setting a dangerous global precedent. </w:t>
      </w:r>
    </w:p>
    <w:p w:rsidR="00034BBE" w:rsidP="70070B98">
      <w:pPr>
        <w:spacing w:before="240" w:after="240"/>
        <w:rPr>
          <w:rFonts w:ascii="Aptos" w:eastAsia="Aptos" w:hAnsi="Aptos" w:cs="Aptos"/>
          <w:b/>
          <w:bCs/>
          <w:lang w:val="en-GB"/>
        </w:rPr>
      </w:pPr>
      <w:r w:rsidRPr="4000315E">
        <w:rPr>
          <w:rFonts w:ascii="Aptos" w:eastAsia="Aptos" w:hAnsi="Aptos" w:cs="Aptos"/>
          <w:b/>
          <w:bCs/>
          <w:lang w:val="en-GB"/>
        </w:rPr>
        <w:t>b. Protection of Humanitarian Aid Workers</w:t>
      </w:r>
    </w:p>
    <w:p w:rsidR="00034BBE" w:rsidP="00940697">
      <w:pPr>
        <w:spacing w:before="240" w:after="240"/>
        <w:rPr>
          <w:color w:val="000000" w:themeColor="text1"/>
          <w:sz w:val="22"/>
          <w:szCs w:val="22"/>
        </w:rPr>
      </w:pPr>
      <w:r w:rsidRPr="65D6ADB0">
        <w:rPr>
          <w:color w:val="000000" w:themeColor="text1"/>
          <w:sz w:val="22"/>
          <w:szCs w:val="22"/>
          <w:lang w:val="en-GB"/>
        </w:rPr>
        <w:t xml:space="preserve">In Gaza, aid </w:t>
      </w:r>
      <w:r>
        <w:rPr>
          <w:color w:val="000000" w:themeColor="text1"/>
          <w:sz w:val="22"/>
          <w:szCs w:val="22"/>
          <w:lang w:val="en-GB"/>
        </w:rPr>
        <w:t xml:space="preserve">and healthcare </w:t>
      </w:r>
      <w:r w:rsidRPr="65D6ADB0">
        <w:rPr>
          <w:color w:val="000000" w:themeColor="text1"/>
          <w:sz w:val="22"/>
          <w:szCs w:val="22"/>
          <w:lang w:val="en-GB"/>
        </w:rPr>
        <w:t>workers have been under constant threat for 18 months. Israel</w:t>
      </w:r>
      <w:r>
        <w:rPr>
          <w:color w:val="000000" w:themeColor="text1"/>
          <w:sz w:val="22"/>
          <w:szCs w:val="22"/>
          <w:lang w:val="en-GB"/>
        </w:rPr>
        <w:t>i forces</w:t>
      </w:r>
      <w:r w:rsidRPr="65D6ADB0">
        <w:rPr>
          <w:color w:val="000000" w:themeColor="text1"/>
          <w:sz w:val="22"/>
          <w:szCs w:val="22"/>
          <w:lang w:val="en-GB"/>
        </w:rPr>
        <w:t xml:space="preserve"> ha</w:t>
      </w:r>
      <w:r>
        <w:rPr>
          <w:color w:val="000000" w:themeColor="text1"/>
          <w:sz w:val="22"/>
          <w:szCs w:val="22"/>
          <w:lang w:val="en-GB"/>
        </w:rPr>
        <w:t>ve</w:t>
      </w:r>
      <w:r w:rsidRPr="65D6ADB0">
        <w:rPr>
          <w:color w:val="000000" w:themeColor="text1"/>
          <w:sz w:val="22"/>
          <w:szCs w:val="22"/>
          <w:lang w:val="en-GB"/>
        </w:rPr>
        <w:t xml:space="preserve"> systematically dismantled Gaza’s healthcare system through direct targeting of healthcare workers and facilities. </w:t>
      </w:r>
      <w:r w:rsidRPr="65D6ADB0">
        <w:rPr>
          <w:color w:val="000000" w:themeColor="text1"/>
          <w:sz w:val="22"/>
          <w:szCs w:val="22"/>
          <w:lang w:val="en-GB"/>
        </w:rPr>
        <w:t xml:space="preserve">According to the Palestinian Ministry of Health, Israeli </w:t>
      </w:r>
      <w:r>
        <w:rPr>
          <w:color w:val="000000" w:themeColor="text1"/>
          <w:sz w:val="22"/>
          <w:szCs w:val="22"/>
          <w:lang w:val="en-GB"/>
        </w:rPr>
        <w:t xml:space="preserve">forces </w:t>
      </w:r>
      <w:r w:rsidRPr="2FA900B0">
        <w:rPr>
          <w:color w:val="000000" w:themeColor="text1"/>
          <w:sz w:val="22"/>
          <w:szCs w:val="22"/>
          <w:lang w:val="en-GB"/>
        </w:rPr>
        <w:t>have</w:t>
      </w:r>
      <w:r w:rsidRPr="65D6ADB0">
        <w:rPr>
          <w:color w:val="000000" w:themeColor="text1"/>
          <w:sz w:val="22"/>
          <w:szCs w:val="22"/>
          <w:lang w:val="en-GB"/>
        </w:rPr>
        <w:t xml:space="preserve"> killed at least 1,400 Palestinian healthcare workers</w:t>
      </w:r>
      <w:r w:rsidRPr="65D6ADB0">
        <w:rPr>
          <w:color w:val="000000" w:themeColor="text1"/>
          <w:sz w:val="22"/>
          <w:szCs w:val="22"/>
          <w:lang w:val="en-GB"/>
        </w:rPr>
        <w:t xml:space="preserve"> since October 2023</w:t>
      </w:r>
      <w:r w:rsidRPr="65D6ADB0">
        <w:rPr>
          <w:color w:val="000000" w:themeColor="text1"/>
          <w:sz w:val="22"/>
          <w:szCs w:val="22"/>
          <w:lang w:val="en-GB"/>
        </w:rPr>
        <w:t xml:space="preserve"> – more than the number of healthcare workers reported killed in all conflicts globally in 2021 and 2022 combined.</w:t>
      </w:r>
      <w:r>
        <w:rPr>
          <w:rStyle w:val="FootnoteReference"/>
          <w:color w:val="000000" w:themeColor="text1"/>
          <w:sz w:val="22"/>
          <w:szCs w:val="22"/>
          <w:lang w:val="en-GB"/>
        </w:rPr>
        <w:footnoteReference w:id="8"/>
      </w:r>
      <w:r w:rsidRPr="65D6ADB0">
        <w:rPr>
          <w:color w:val="000000" w:themeColor="text1"/>
          <w:sz w:val="22"/>
          <w:szCs w:val="22"/>
          <w:lang w:val="en-GB"/>
        </w:rPr>
        <w:t xml:space="preserve"> These </w:t>
      </w:r>
      <w:r w:rsidRPr="65D6ADB0">
        <w:rPr>
          <w:color w:val="000000" w:themeColor="text1"/>
          <w:sz w:val="22"/>
          <w:szCs w:val="22"/>
          <w:lang w:val="en-GB"/>
        </w:rPr>
        <w:t>attacks have dramatically undermined the ability of health workers to provide available, acceptable, and accessible and quality healthcare services for Palestinians.</w:t>
      </w:r>
    </w:p>
    <w:p w:rsidR="00034BBE" w:rsidRPr="00631F91" w:rsidP="4000315E">
      <w:pPr>
        <w:numPr>
          <w:ilvl w:val="0"/>
          <w:numId w:val="9"/>
        </w:numPr>
        <w:spacing w:before="240" w:after="240"/>
        <w:rPr>
          <w:color w:val="000000" w:themeColor="text1"/>
          <w:sz w:val="22"/>
          <w:szCs w:val="22"/>
        </w:rPr>
      </w:pPr>
      <w:r w:rsidRPr="00631F91">
        <w:rPr>
          <w:color w:val="000000" w:themeColor="text1"/>
          <w:sz w:val="22"/>
          <w:szCs w:val="22"/>
          <w:lang w:val="en-GB"/>
        </w:rPr>
        <w:t>O</w:t>
      </w:r>
      <w:r w:rsidRPr="4000315E">
        <w:rPr>
          <w:rFonts w:ascii="Aptos" w:eastAsia="Aptos" w:hAnsi="Aptos" w:cs="Aptos"/>
          <w:sz w:val="22"/>
          <w:szCs w:val="22"/>
          <w:lang w:val="en-GB"/>
        </w:rPr>
        <w:t>n 13</w:t>
      </w:r>
      <w:r w:rsidRPr="4000315E">
        <w:rPr>
          <w:rFonts w:ascii="Aptos" w:eastAsia="Aptos" w:hAnsi="Aptos" w:cs="Aptos"/>
          <w:sz w:val="22"/>
          <w:szCs w:val="22"/>
          <w:vertAlign w:val="superscript"/>
          <w:lang w:val="en-GB"/>
        </w:rPr>
        <w:t>th</w:t>
      </w:r>
      <w:r w:rsidRPr="4000315E">
        <w:rPr>
          <w:rFonts w:ascii="Aptos" w:eastAsia="Aptos" w:hAnsi="Aptos" w:cs="Aptos"/>
          <w:sz w:val="22"/>
          <w:szCs w:val="22"/>
          <w:lang w:val="en-GB"/>
        </w:rPr>
        <w:t xml:space="preserve"> April the Israeli military gave Al Ahli Hospital</w:t>
      </w:r>
      <w:r w:rsidRPr="00631F91">
        <w:rPr>
          <w:color w:val="000000" w:themeColor="text1"/>
          <w:sz w:val="22"/>
          <w:szCs w:val="22"/>
          <w:lang w:val="en-GB"/>
        </w:rPr>
        <w:t xml:space="preserve"> less than 20 minutes to evacuate, forcing staff and patients – many of them critically ill – out at a moment’s notice.</w:t>
      </w:r>
      <w:r>
        <w:rPr>
          <w:rStyle w:val="FootnoteReference"/>
          <w:color w:val="000000" w:themeColor="text1"/>
          <w:sz w:val="22"/>
          <w:szCs w:val="22"/>
          <w:lang w:val="en-GB"/>
        </w:rPr>
        <w:footnoteReference w:id="9"/>
      </w:r>
      <w:r w:rsidRPr="00631F91">
        <w:rPr>
          <w:color w:val="000000" w:themeColor="text1"/>
          <w:sz w:val="22"/>
          <w:szCs w:val="22"/>
          <w:lang w:val="en-GB"/>
        </w:rPr>
        <w:t xml:space="preserve"> </w:t>
      </w:r>
      <w:r w:rsidRPr="65D6ADB0">
        <w:rPr>
          <w:color w:val="000000" w:themeColor="text1"/>
          <w:sz w:val="22"/>
          <w:szCs w:val="22"/>
          <w:lang w:val="en-GB"/>
        </w:rPr>
        <w:t>Israeli forces then targeted the emergency department, almost destroying it and causing significant damage to several units – while patients where left lying on the streets near the hospital with nowhere to go. Under international humanitarian law, hospitals are protected, extending to the wounded and medical staff as well. Since October 2023, the Israeli military has attacked</w:t>
      </w:r>
      <w:r w:rsidRPr="65D6ADB0">
        <w:rPr>
          <w:color w:val="000000" w:themeColor="text1"/>
          <w:sz w:val="22"/>
          <w:szCs w:val="22"/>
          <w:lang w:val="en-GB"/>
        </w:rPr>
        <w:t xml:space="preserve"> and d</w:t>
      </w:r>
      <w:r w:rsidRPr="4000315E">
        <w:rPr>
          <w:color w:val="000000" w:themeColor="text1"/>
          <w:sz w:val="22"/>
          <w:szCs w:val="22"/>
          <w:lang w:val="en-GB"/>
        </w:rPr>
        <w:t xml:space="preserve">amaged </w:t>
      </w:r>
      <w:r w:rsidRPr="65D6ADB0">
        <w:rPr>
          <w:color w:val="000000" w:themeColor="text1"/>
          <w:sz w:val="22"/>
          <w:szCs w:val="22"/>
          <w:lang w:val="en-GB"/>
        </w:rPr>
        <w:t xml:space="preserve">33 out of </w:t>
      </w:r>
      <w:r w:rsidRPr="65D6ADB0">
        <w:rPr>
          <w:color w:val="000000" w:themeColor="text1"/>
          <w:sz w:val="22"/>
          <w:szCs w:val="22"/>
          <w:lang w:val="en-GB"/>
        </w:rPr>
        <w:t xml:space="preserve">36 hospitals in Gaza. </w:t>
      </w:r>
      <w:r>
        <w:rPr>
          <w:rStyle w:val="FootnoteReference"/>
          <w:color w:val="000000" w:themeColor="text1"/>
          <w:sz w:val="22"/>
          <w:szCs w:val="22"/>
        </w:rPr>
        <w:footnoteReference w:id="10"/>
      </w:r>
    </w:p>
    <w:p w:rsidR="00034BBE" w:rsidP="4000315E">
      <w:pPr>
        <w:pStyle w:val="ListParagraph"/>
        <w:numPr>
          <w:ilvl w:val="0"/>
          <w:numId w:val="9"/>
        </w:numPr>
        <w:spacing w:before="240" w:after="240"/>
        <w:rPr>
          <w:color w:val="000000" w:themeColor="text1"/>
          <w:sz w:val="22"/>
          <w:szCs w:val="22"/>
          <w:lang w:val="en-GB"/>
        </w:rPr>
      </w:pPr>
      <w:r w:rsidRPr="4000315E">
        <w:rPr>
          <w:rFonts w:ascii="Aptos" w:eastAsia="Aptos" w:hAnsi="Aptos" w:cs="Aptos"/>
          <w:sz w:val="22"/>
          <w:szCs w:val="22"/>
          <w:lang w:val="en-GB"/>
        </w:rPr>
        <w:t>On 23</w:t>
      </w:r>
      <w:r w:rsidRPr="4000315E">
        <w:rPr>
          <w:rFonts w:ascii="Aptos" w:eastAsia="Aptos" w:hAnsi="Aptos" w:cs="Aptos"/>
          <w:sz w:val="22"/>
          <w:szCs w:val="22"/>
          <w:vertAlign w:val="superscript"/>
          <w:lang w:val="en-GB"/>
        </w:rPr>
        <w:t>rd</w:t>
      </w:r>
      <w:r w:rsidRPr="4000315E">
        <w:rPr>
          <w:rFonts w:ascii="Aptos" w:eastAsia="Aptos" w:hAnsi="Aptos" w:cs="Aptos"/>
          <w:sz w:val="22"/>
          <w:szCs w:val="22"/>
          <w:lang w:val="en-GB"/>
        </w:rPr>
        <w:t xml:space="preserve"> of March,</w:t>
      </w:r>
      <w:r>
        <w:rPr>
          <w:rStyle w:val="FootnoteReference"/>
          <w:color w:val="000000" w:themeColor="text1"/>
          <w:sz w:val="22"/>
          <w:szCs w:val="22"/>
          <w:lang w:val="en-GB"/>
        </w:rPr>
        <w:footnoteReference w:id="11"/>
      </w:r>
      <w:r w:rsidRPr="00631F91">
        <w:rPr>
          <w:color w:val="000000" w:themeColor="text1"/>
          <w:sz w:val="22"/>
          <w:szCs w:val="22"/>
          <w:lang w:val="en-GB"/>
        </w:rPr>
        <w:t xml:space="preserve"> 15 </w:t>
      </w:r>
      <w:r>
        <w:rPr>
          <w:color w:val="000000" w:themeColor="text1"/>
          <w:sz w:val="22"/>
          <w:szCs w:val="22"/>
          <w:lang w:val="en-GB"/>
        </w:rPr>
        <w:t xml:space="preserve">emergency responders and </w:t>
      </w:r>
      <w:r w:rsidRPr="00631F91">
        <w:rPr>
          <w:color w:val="000000" w:themeColor="text1"/>
          <w:sz w:val="22"/>
          <w:szCs w:val="22"/>
          <w:lang w:val="en-GB"/>
        </w:rPr>
        <w:t>paramedics were killed near Rafah after Israeli forces opened fire on clearly marked ambulances and civil service vehicles.</w:t>
      </w:r>
      <w:r w:rsidRPr="00631F91">
        <w:rPr>
          <w:color w:val="000000" w:themeColor="text1"/>
          <w:sz w:val="22"/>
          <w:szCs w:val="22"/>
          <w:lang w:val="en-GB"/>
        </w:rPr>
        <w:t xml:space="preserve"> </w:t>
      </w:r>
      <w:r w:rsidRPr="4000315E">
        <w:rPr>
          <w:color w:val="000000" w:themeColor="text1"/>
          <w:sz w:val="22"/>
          <w:szCs w:val="22"/>
        </w:rPr>
        <w:t xml:space="preserve">Israeli authorities dismissed </w:t>
      </w:r>
      <w:r w:rsidRPr="4000315E">
        <w:rPr>
          <w:color w:val="000000" w:themeColor="text1"/>
          <w:sz w:val="22"/>
          <w:szCs w:val="22"/>
        </w:rPr>
        <w:t xml:space="preserve">the killings of first responders, many of whom were shot in the head and torso, as “professional failures” and “breaches of order” </w:t>
      </w:r>
      <w:r w:rsidRPr="4000315E">
        <w:rPr>
          <w:color w:val="000000" w:themeColor="text1"/>
          <w:sz w:val="22"/>
          <w:szCs w:val="22"/>
        </w:rPr>
        <w:t xml:space="preserve">- representing </w:t>
      </w:r>
      <w:r w:rsidRPr="4000315E">
        <w:rPr>
          <w:color w:val="000000" w:themeColor="text1"/>
          <w:sz w:val="22"/>
          <w:szCs w:val="22"/>
        </w:rPr>
        <w:t>a gross distortion of reality and a clear attempt to deflect institutional responsibility.</w:t>
      </w:r>
      <w:r w:rsidRPr="4000315E">
        <w:rPr>
          <w:color w:val="000000" w:themeColor="text1"/>
          <w:sz w:val="22"/>
          <w:szCs w:val="22"/>
        </w:rPr>
        <w:t xml:space="preserve"> As of time of publishing, the only surviving member of the targeted rescue team, Palestine Red Crescent Society medic Assad Al-</w:t>
      </w:r>
      <w:r w:rsidRPr="4000315E">
        <w:rPr>
          <w:color w:val="000000" w:themeColor="text1"/>
          <w:sz w:val="22"/>
          <w:szCs w:val="22"/>
        </w:rPr>
        <w:t>Nsasrah</w:t>
      </w:r>
      <w:r w:rsidRPr="4000315E">
        <w:rPr>
          <w:color w:val="000000" w:themeColor="text1"/>
          <w:sz w:val="22"/>
          <w:szCs w:val="22"/>
        </w:rPr>
        <w:t xml:space="preserve">, remains held in Israeli custody.  </w:t>
      </w:r>
      <w:r w:rsidRPr="65D6ADB0">
        <w:rPr>
          <w:color w:val="000000" w:themeColor="text1"/>
          <w:sz w:val="22"/>
          <w:szCs w:val="22"/>
          <w:lang w:val="en-GB"/>
        </w:rPr>
        <w:t>Accusations of a “perceived threat” and non-adherence to IHL has impacted aid worker safety</w:t>
      </w:r>
      <w:r w:rsidRPr="65D6ADB0">
        <w:rPr>
          <w:color w:val="000000" w:themeColor="text1"/>
          <w:sz w:val="22"/>
          <w:szCs w:val="22"/>
          <w:lang w:val="en-GB"/>
        </w:rPr>
        <w:t>,</w:t>
      </w:r>
      <w:r w:rsidRPr="65D6ADB0">
        <w:rPr>
          <w:color w:val="000000" w:themeColor="text1"/>
          <w:sz w:val="22"/>
          <w:szCs w:val="22"/>
          <w:lang w:val="en-GB"/>
        </w:rPr>
        <w:t xml:space="preserve"> accompanied by</w:t>
      </w:r>
      <w:r w:rsidRPr="65D6ADB0">
        <w:rPr>
          <w:color w:val="000000" w:themeColor="text1"/>
          <w:sz w:val="22"/>
          <w:szCs w:val="22"/>
          <w:lang w:val="en-GB"/>
        </w:rPr>
        <w:t xml:space="preserve"> subsequent investigations leading to a lack of accountability</w:t>
      </w:r>
      <w:r w:rsidRPr="65D6ADB0">
        <w:rPr>
          <w:color w:val="000000" w:themeColor="text1"/>
          <w:sz w:val="22"/>
          <w:szCs w:val="22"/>
          <w:lang w:val="en-GB"/>
        </w:rPr>
        <w:t xml:space="preserve"> for attacks on healthcare.</w:t>
      </w:r>
      <w:r>
        <w:rPr>
          <w:rStyle w:val="FootnoteReference"/>
          <w:color w:val="000000" w:themeColor="text1"/>
          <w:sz w:val="22"/>
          <w:szCs w:val="22"/>
          <w:lang w:val="en-GB"/>
        </w:rPr>
        <w:footnoteReference w:id="12"/>
      </w:r>
    </w:p>
    <w:p w:rsidR="00034BBE" w:rsidP="65D6ADB0">
      <w:pPr>
        <w:spacing w:before="240" w:after="240"/>
        <w:rPr>
          <w:color w:val="000000" w:themeColor="text1"/>
          <w:sz w:val="22"/>
          <w:szCs w:val="22"/>
          <w:vertAlign w:val="superscript"/>
          <w:lang w:val="en-GB"/>
        </w:rPr>
      </w:pPr>
      <w:r w:rsidRPr="65D6ADB0">
        <w:rPr>
          <w:color w:val="000000" w:themeColor="text1"/>
          <w:sz w:val="22"/>
          <w:szCs w:val="22"/>
          <w:lang w:val="en-GB"/>
        </w:rPr>
        <w:t>In the West Bank, Israel’s unlawful occupation has been marked by manifold violations against Palestinian humanitarian and healthcare workers and facilities. The World Health Organisations has recorded more than 650 attacks on healthcare in the West Bank, including East Jerusalem, between October 2023 and December 2024 including obstruction of access, use of force, detention and militarized search. Such attacks have affected 54 health facilities, 20 mobile clinics and 319 ambulances.</w:t>
      </w:r>
      <w:r>
        <w:rPr>
          <w:rStyle w:val="FootnoteReference"/>
          <w:color w:val="000000" w:themeColor="text1"/>
          <w:sz w:val="22"/>
          <w:szCs w:val="22"/>
          <w:lang w:val="en-GB"/>
        </w:rPr>
        <w:footnoteReference w:id="13"/>
      </w:r>
    </w:p>
    <w:p w:rsidR="00034BBE" w:rsidP="009E509D">
      <w:pPr>
        <w:pStyle w:val="ListParagraph"/>
        <w:numPr>
          <w:ilvl w:val="0"/>
          <w:numId w:val="11"/>
        </w:numPr>
        <w:spacing w:before="240" w:after="240"/>
        <w:rPr>
          <w:color w:val="000000" w:themeColor="text1"/>
          <w:sz w:val="22"/>
          <w:szCs w:val="22"/>
          <w:lang w:val="en-GB"/>
        </w:rPr>
      </w:pPr>
      <w:r w:rsidRPr="65D6ADB0">
        <w:rPr>
          <w:color w:val="000000" w:themeColor="text1"/>
          <w:sz w:val="22"/>
          <w:szCs w:val="22"/>
          <w:lang w:val="en-GB"/>
        </w:rPr>
        <w:t xml:space="preserve">In January 2024, Israeli forces disguised as civilian women and medics stormed Ibn Sina Hospital in Jenin, killing three Palestinians. According to the Dr </w:t>
      </w:r>
      <w:r w:rsidRPr="65D6ADB0">
        <w:rPr>
          <w:color w:val="000000" w:themeColor="text1"/>
          <w:sz w:val="22"/>
          <w:szCs w:val="22"/>
          <w:lang w:val="en-GB"/>
        </w:rPr>
        <w:t>Tawfiq</w:t>
      </w:r>
      <w:r w:rsidRPr="65D6ADB0">
        <w:rPr>
          <w:color w:val="000000" w:themeColor="text1"/>
          <w:sz w:val="22"/>
          <w:szCs w:val="22"/>
          <w:lang w:val="en-GB"/>
        </w:rPr>
        <w:t xml:space="preserve"> </w:t>
      </w:r>
      <w:r w:rsidRPr="65D6ADB0">
        <w:rPr>
          <w:color w:val="000000" w:themeColor="text1"/>
          <w:sz w:val="22"/>
          <w:szCs w:val="22"/>
          <w:lang w:val="en-GB"/>
        </w:rPr>
        <w:t>Shawbaki</w:t>
      </w:r>
      <w:r w:rsidRPr="65D6ADB0">
        <w:rPr>
          <w:color w:val="000000" w:themeColor="text1"/>
          <w:sz w:val="22"/>
          <w:szCs w:val="22"/>
          <w:lang w:val="en-GB"/>
        </w:rPr>
        <w:t xml:space="preserve">, the head of the hospital’s surgery unit, Israeli forces beat some of the doctors and nurses at the </w:t>
      </w:r>
      <w:r w:rsidRPr="65D6ADB0">
        <w:rPr>
          <w:color w:val="000000" w:themeColor="text1"/>
          <w:sz w:val="22"/>
          <w:szCs w:val="22"/>
          <w:lang w:val="en-GB"/>
        </w:rPr>
        <w:t>hospitals. This incident like many others was in blatant violation of international humanitarian law, under which hospitals and healthcare workers must be protected.</w:t>
      </w:r>
      <w:r>
        <w:rPr>
          <w:rStyle w:val="FootnoteReference"/>
          <w:color w:val="000000" w:themeColor="text1"/>
          <w:sz w:val="22"/>
          <w:szCs w:val="22"/>
          <w:lang w:val="en-GB"/>
        </w:rPr>
        <w:footnoteReference w:id="14"/>
      </w:r>
      <w:r>
        <w:rPr>
          <w:rStyle w:val="FootnoteReference"/>
          <w:color w:val="000000" w:themeColor="text1"/>
          <w:sz w:val="22"/>
          <w:szCs w:val="22"/>
          <w:lang w:val="en-GB"/>
        </w:rPr>
        <w:footnoteReference w:id="15"/>
      </w:r>
    </w:p>
    <w:p w:rsidR="00034BBE" w:rsidP="009E509D">
      <w:pPr>
        <w:pStyle w:val="ListParagraph"/>
        <w:numPr>
          <w:ilvl w:val="0"/>
          <w:numId w:val="11"/>
        </w:numPr>
        <w:spacing w:before="240" w:after="240"/>
        <w:rPr>
          <w:color w:val="000000" w:themeColor="text1"/>
          <w:sz w:val="22"/>
          <w:szCs w:val="22"/>
          <w:lang w:val="en-GB"/>
        </w:rPr>
      </w:pPr>
      <w:r>
        <w:rPr>
          <w:color w:val="000000" w:themeColor="text1"/>
          <w:sz w:val="22"/>
          <w:szCs w:val="22"/>
          <w:lang w:val="en-GB"/>
        </w:rPr>
        <w:t>O</w:t>
      </w:r>
      <w:r w:rsidRPr="009E509D">
        <w:rPr>
          <w:color w:val="000000" w:themeColor="text1"/>
          <w:sz w:val="22"/>
          <w:szCs w:val="22"/>
          <w:lang w:val="en-GB"/>
        </w:rPr>
        <w:t>n</w:t>
      </w:r>
      <w:r w:rsidRPr="65D6ADB0">
        <w:rPr>
          <w:color w:val="000000" w:themeColor="text1"/>
          <w:sz w:val="22"/>
          <w:szCs w:val="22"/>
          <w:lang w:val="en-GB"/>
        </w:rPr>
        <w:t xml:space="preserve"> 28 August 2024, the Israeli military launched its largest military invasion of the West Bank in decades, killing tens of Palestinians by simultaneously attacking Tulkarem and other cities in the north. Doctors in Tulkarem reported that Israeli forces besieged the main hospital and delayed the movement of ambulance and patients. Faten </w:t>
      </w:r>
      <w:r w:rsidRPr="65D6ADB0">
        <w:rPr>
          <w:color w:val="000000" w:themeColor="text1"/>
          <w:sz w:val="22"/>
          <w:szCs w:val="22"/>
          <w:lang w:val="en-GB"/>
        </w:rPr>
        <w:t>Asasa</w:t>
      </w:r>
      <w:r w:rsidRPr="65D6ADB0">
        <w:rPr>
          <w:color w:val="000000" w:themeColor="text1"/>
          <w:sz w:val="22"/>
          <w:szCs w:val="22"/>
          <w:lang w:val="en-GB"/>
        </w:rPr>
        <w:t>, a Programme Coordinator at Al Awda Centre for Youth, said “Tulkarem and its refugee camps experienced a severe siege, including widespread destruction of infrastructur</w:t>
      </w:r>
      <w:r w:rsidRPr="65D6ADB0">
        <w:rPr>
          <w:color w:val="000000" w:themeColor="text1"/>
          <w:sz w:val="22"/>
          <w:szCs w:val="22"/>
          <w:lang w:val="en-GB"/>
        </w:rPr>
        <w:t>e and the prevention of medical and press teams from entering the camps</w:t>
      </w:r>
      <w:r>
        <w:rPr>
          <w:color w:val="000000" w:themeColor="text1"/>
          <w:sz w:val="22"/>
          <w:szCs w:val="22"/>
          <w:lang w:val="en-GB"/>
        </w:rPr>
        <w:t xml:space="preserve">. According to eyewitness reports, </w:t>
      </w:r>
      <w:r w:rsidRPr="65D6ADB0">
        <w:rPr>
          <w:color w:val="000000" w:themeColor="text1"/>
          <w:sz w:val="22"/>
          <w:szCs w:val="22"/>
          <w:lang w:val="en-GB"/>
        </w:rPr>
        <w:t>there were homes on fire and Israeli forces prevented teams from entering and extinguishing them</w:t>
      </w:r>
      <w:r>
        <w:rPr>
          <w:color w:val="000000" w:themeColor="text1"/>
          <w:sz w:val="22"/>
          <w:szCs w:val="22"/>
          <w:lang w:val="en-GB"/>
        </w:rPr>
        <w:t xml:space="preserve">. </w:t>
      </w:r>
      <w:r w:rsidRPr="65D6ADB0">
        <w:rPr>
          <w:color w:val="000000" w:themeColor="text1"/>
          <w:sz w:val="22"/>
          <w:szCs w:val="22"/>
          <w:lang w:val="en-GB"/>
        </w:rPr>
        <w:t>Moreover, there were serious medical cases that emergency teams were struggling to reach and provide treatment for.”</w:t>
      </w:r>
      <w:r>
        <w:rPr>
          <w:rStyle w:val="FootnoteReference"/>
          <w:color w:val="000000" w:themeColor="text1"/>
          <w:sz w:val="22"/>
          <w:szCs w:val="22"/>
          <w:lang w:val="en-GB"/>
        </w:rPr>
        <w:footnoteReference w:id="16"/>
      </w:r>
    </w:p>
    <w:p w:rsidR="00034BBE" w:rsidP="2AC47671">
      <w:pPr>
        <w:spacing w:before="240" w:after="240"/>
        <w:rPr>
          <w:rFonts w:ascii="Aptos" w:eastAsia="Aptos" w:hAnsi="Aptos" w:cs="Aptos"/>
          <w:b/>
          <w:bCs/>
          <w:lang w:val="en-GB"/>
        </w:rPr>
      </w:pPr>
      <w:r w:rsidRPr="4000315E">
        <w:rPr>
          <w:rFonts w:ascii="Aptos" w:eastAsia="Aptos" w:hAnsi="Aptos" w:cs="Aptos"/>
          <w:b/>
          <w:bCs/>
          <w:lang w:val="en-GB"/>
        </w:rPr>
        <w:t>c. UK Government’s Role and Responsibilities</w:t>
      </w:r>
    </w:p>
    <w:p w:rsidR="00034BBE" w:rsidRPr="00FD248D" w:rsidP="4000315E">
      <w:pPr>
        <w:spacing w:before="240" w:after="240"/>
        <w:rPr>
          <w:rFonts w:ascii="Times New Roman" w:eastAsia="Times New Roman" w:hAnsi="Times New Roman" w:cs="Times New Roman"/>
          <w:sz w:val="22"/>
          <w:szCs w:val="22"/>
          <w:u w:val="single"/>
        </w:rPr>
      </w:pPr>
      <w:r w:rsidRPr="4000315E">
        <w:rPr>
          <w:sz w:val="22"/>
          <w:szCs w:val="22"/>
          <w:u w:val="single"/>
        </w:rPr>
        <w:t xml:space="preserve">Legal obligations </w:t>
      </w:r>
    </w:p>
    <w:p w:rsidR="00034BBE" w:rsidRPr="00FD248D" w:rsidP="4000315E">
      <w:pPr>
        <w:pStyle w:val="ListParagraph"/>
        <w:numPr>
          <w:ilvl w:val="0"/>
          <w:numId w:val="12"/>
        </w:numPr>
        <w:spacing w:before="240" w:after="240"/>
        <w:rPr>
          <w:rFonts w:ascii="Times New Roman" w:eastAsia="Times New Roman" w:hAnsi="Times New Roman" w:cs="Times New Roman"/>
          <w:sz w:val="22"/>
          <w:szCs w:val="22"/>
        </w:rPr>
      </w:pPr>
      <w:r w:rsidRPr="4000315E">
        <w:rPr>
          <w:sz w:val="22"/>
          <w:szCs w:val="22"/>
        </w:rPr>
        <w:t xml:space="preserve">The UK has a legal obligation as a third state to take action to prevent, stop, or avoid violations of the Geneva Conventions by parties to an armed conflict, in line with Common Article 1 of the Convention. </w:t>
      </w:r>
    </w:p>
    <w:p w:rsidR="00034BBE" w:rsidRPr="00FD248D" w:rsidP="4000315E">
      <w:pPr>
        <w:pStyle w:val="ListParagraph"/>
        <w:numPr>
          <w:ilvl w:val="0"/>
          <w:numId w:val="12"/>
        </w:numPr>
        <w:spacing w:before="240" w:after="240"/>
        <w:rPr>
          <w:rFonts w:ascii="Times New Roman" w:eastAsia="Times New Roman" w:hAnsi="Times New Roman" w:cs="Times New Roman"/>
          <w:sz w:val="22"/>
          <w:szCs w:val="22"/>
        </w:rPr>
      </w:pPr>
      <w:r w:rsidRPr="4000315E">
        <w:rPr>
          <w:sz w:val="22"/>
          <w:szCs w:val="22"/>
        </w:rPr>
        <w:t xml:space="preserve">As a signatory to the Arms Trade Treaty, a binding international legal agreement, UK arms transfers must comply with it - particularly Articles 6 and 7, which prohibit the transfer of arms if there is a potential they could be used to commit or facilitate violations of international humanitarian law, including the crimes of genocide, crimes against humanity and war crimes. </w:t>
      </w:r>
    </w:p>
    <w:p w:rsidR="00034BBE" w:rsidRPr="00FD248D" w:rsidP="4000315E">
      <w:pPr>
        <w:spacing w:before="240" w:after="240"/>
        <w:rPr>
          <w:rFonts w:ascii="Times New Roman" w:eastAsia="Times New Roman" w:hAnsi="Times New Roman" w:cs="Times New Roman"/>
          <w:sz w:val="22"/>
          <w:szCs w:val="22"/>
          <w:u w:val="single"/>
        </w:rPr>
      </w:pPr>
      <w:r w:rsidRPr="4000315E">
        <w:rPr>
          <w:sz w:val="22"/>
          <w:szCs w:val="22"/>
          <w:u w:val="single"/>
        </w:rPr>
        <w:t>Normative obligations</w:t>
      </w:r>
    </w:p>
    <w:p w:rsidR="00034BBE" w:rsidRPr="00FD248D" w:rsidP="4000315E">
      <w:pPr>
        <w:pStyle w:val="ListParagraph"/>
        <w:numPr>
          <w:ilvl w:val="0"/>
          <w:numId w:val="13"/>
        </w:numPr>
        <w:spacing w:before="240" w:after="240"/>
        <w:rPr>
          <w:rFonts w:ascii="Times New Roman" w:eastAsia="Times New Roman" w:hAnsi="Times New Roman" w:cs="Times New Roman"/>
          <w:sz w:val="22"/>
          <w:szCs w:val="22"/>
        </w:rPr>
      </w:pPr>
      <w:r w:rsidRPr="4000315E">
        <w:rPr>
          <w:sz w:val="22"/>
          <w:szCs w:val="22"/>
        </w:rPr>
        <w:t xml:space="preserve">The UK Government has clear normative obligations to protect civilians. In 2005, the UK endorsed a global political commitment to protect populations from genocide, war crimes, ethnic cleansing and crimes against humanity. Within the UN system it is a member of the Group of Friends for the Responsibility to Protect (R2P). </w:t>
      </w:r>
    </w:p>
    <w:p w:rsidR="00034BBE" w:rsidRPr="00FD248D" w:rsidP="4000315E">
      <w:pPr>
        <w:pStyle w:val="ListParagraph"/>
        <w:numPr>
          <w:ilvl w:val="0"/>
          <w:numId w:val="13"/>
        </w:numPr>
        <w:spacing w:before="240" w:after="240"/>
        <w:rPr>
          <w:rFonts w:ascii="Times New Roman" w:eastAsia="Times New Roman" w:hAnsi="Times New Roman" w:cs="Times New Roman"/>
          <w:sz w:val="22"/>
          <w:szCs w:val="22"/>
        </w:rPr>
      </w:pPr>
      <w:r w:rsidRPr="4000315E">
        <w:rPr>
          <w:sz w:val="22"/>
          <w:szCs w:val="22"/>
        </w:rPr>
        <w:t xml:space="preserve">The UK is also committed to uphold norms relating to the Protection of Civilians (PoC), Children and Armed Conflict (CAAC), Women, Peace and Security (WPS), and Preventing Sexual Violence in Conflict (PSVI). It is the ‘penholder’ for both PoC and WPS at the UN </w:t>
      </w:r>
      <w:r w:rsidRPr="4000315E">
        <w:rPr>
          <w:sz w:val="22"/>
          <w:szCs w:val="22"/>
        </w:rPr>
        <w:t>Security Council (UNSC), which means it is responsible for initiating and leading the Council’s action on these agendas.</w:t>
      </w:r>
    </w:p>
    <w:p w:rsidR="00034BBE" w:rsidP="65D6ADB0">
      <w:pPr>
        <w:spacing w:before="240" w:after="240"/>
        <w:rPr>
          <w:b/>
          <w:bCs/>
          <w:lang w:val="en-GB"/>
        </w:rPr>
      </w:pPr>
      <w:r w:rsidRPr="4000315E">
        <w:rPr>
          <w:b/>
          <w:bCs/>
          <w:lang w:val="en-GB"/>
        </w:rPr>
        <w:t xml:space="preserve">Applicability Beyond </w:t>
      </w:r>
      <w:r w:rsidRPr="4000315E">
        <w:rPr>
          <w:b/>
          <w:bCs/>
          <w:lang w:val="en-GB"/>
        </w:rPr>
        <w:t>Gaza and West Bank</w:t>
      </w:r>
    </w:p>
    <w:p w:rsidR="00034BBE" w:rsidP="4E1CC385">
      <w:pPr>
        <w:spacing w:before="240" w:after="240"/>
        <w:rPr>
          <w:rFonts w:ascii="Aptos" w:eastAsia="Aptos" w:hAnsi="Aptos" w:cs="Aptos"/>
          <w:sz w:val="22"/>
          <w:szCs w:val="22"/>
        </w:rPr>
      </w:pPr>
      <w:r w:rsidRPr="65D6ADB0">
        <w:rPr>
          <w:rFonts w:ascii="Aptos" w:eastAsia="Aptos" w:hAnsi="Aptos" w:cs="Aptos"/>
          <w:color w:val="000000" w:themeColor="text1"/>
          <w:sz w:val="22"/>
          <w:szCs w:val="22"/>
          <w:lang w:val="en-GB"/>
        </w:rPr>
        <w:t>The occupied Palestinian territor</w:t>
      </w:r>
      <w:r>
        <w:rPr>
          <w:rFonts w:ascii="Aptos" w:eastAsia="Aptos" w:hAnsi="Aptos" w:cs="Aptos"/>
          <w:color w:val="000000" w:themeColor="text1"/>
          <w:sz w:val="22"/>
          <w:szCs w:val="22"/>
          <w:lang w:val="en-GB"/>
        </w:rPr>
        <w:t>y</w:t>
      </w:r>
      <w:r w:rsidRPr="65D6ADB0">
        <w:rPr>
          <w:rFonts w:ascii="Aptos" w:eastAsia="Aptos" w:hAnsi="Aptos" w:cs="Aptos"/>
          <w:color w:val="000000" w:themeColor="text1"/>
          <w:sz w:val="22"/>
          <w:szCs w:val="22"/>
          <w:lang w:val="en-GB"/>
        </w:rPr>
        <w:t xml:space="preserve"> </w:t>
      </w:r>
      <w:r>
        <w:rPr>
          <w:rFonts w:ascii="Aptos" w:eastAsia="Aptos" w:hAnsi="Aptos" w:cs="Aptos"/>
          <w:color w:val="000000" w:themeColor="text1"/>
          <w:sz w:val="22"/>
          <w:szCs w:val="22"/>
          <w:lang w:val="en-GB"/>
        </w:rPr>
        <w:t>is</w:t>
      </w:r>
      <w:r w:rsidRPr="65D6ADB0">
        <w:rPr>
          <w:rFonts w:ascii="Aptos" w:eastAsia="Aptos" w:hAnsi="Aptos" w:cs="Aptos"/>
          <w:color w:val="000000" w:themeColor="text1"/>
          <w:sz w:val="22"/>
          <w:szCs w:val="22"/>
          <w:lang w:val="en-GB"/>
        </w:rPr>
        <w:t xml:space="preserve"> illustrative in lack of adherence to international humanitarian law and humanitarian access but not exceptional. The above examples reflect global patterns of impunity, double standards and </w:t>
      </w:r>
      <w:r>
        <w:rPr>
          <w:rFonts w:ascii="Aptos" w:eastAsia="Aptos" w:hAnsi="Aptos" w:cs="Aptos"/>
          <w:color w:val="000000" w:themeColor="text1"/>
          <w:sz w:val="22"/>
          <w:szCs w:val="22"/>
          <w:lang w:val="en-GB"/>
        </w:rPr>
        <w:t>ero</w:t>
      </w:r>
      <w:r>
        <w:rPr>
          <w:rFonts w:ascii="Aptos" w:eastAsia="Aptos" w:hAnsi="Aptos" w:cs="Aptos"/>
          <w:color w:val="000000" w:themeColor="text1"/>
          <w:sz w:val="22"/>
          <w:szCs w:val="22"/>
          <w:lang w:val="en-GB"/>
        </w:rPr>
        <w:t>sion</w:t>
      </w:r>
      <w:r w:rsidRPr="65D6ADB0">
        <w:rPr>
          <w:rFonts w:ascii="Aptos" w:eastAsia="Aptos" w:hAnsi="Aptos" w:cs="Aptos"/>
          <w:color w:val="000000" w:themeColor="text1"/>
          <w:sz w:val="22"/>
          <w:szCs w:val="22"/>
          <w:lang w:val="en-GB"/>
        </w:rPr>
        <w:t xml:space="preserve"> </w:t>
      </w:r>
      <w:r w:rsidRPr="65D6ADB0">
        <w:rPr>
          <w:rFonts w:ascii="Aptos" w:eastAsia="Aptos" w:hAnsi="Aptos" w:cs="Aptos"/>
          <w:color w:val="000000" w:themeColor="text1"/>
          <w:sz w:val="22"/>
          <w:szCs w:val="22"/>
          <w:lang w:val="en-GB"/>
        </w:rPr>
        <w:t>of respect of international law. These insights are drawn from MAP’s long-term documentation of escalating attacks against Palestinian health workers and facilities for 10 years – successive military operations in Gaza and the subsequent attacks in the West Bank. These insights have predictive value for other cr</w:t>
      </w:r>
      <w:r w:rsidRPr="65D6ADB0">
        <w:rPr>
          <w:rFonts w:ascii="Aptos" w:eastAsia="Aptos" w:hAnsi="Aptos" w:cs="Aptos"/>
          <w:color w:val="000000" w:themeColor="text1"/>
          <w:sz w:val="22"/>
          <w:szCs w:val="22"/>
          <w:lang w:val="en-GB"/>
        </w:rPr>
        <w:t xml:space="preserve">ises. This is demonstrated in Lebanon, </w:t>
      </w:r>
      <w:r>
        <w:rPr>
          <w:rFonts w:ascii="Aptos" w:eastAsia="Aptos" w:hAnsi="Aptos" w:cs="Aptos"/>
          <w:color w:val="000000" w:themeColor="text1"/>
          <w:sz w:val="22"/>
          <w:szCs w:val="22"/>
          <w:lang w:val="en-GB"/>
        </w:rPr>
        <w:t>where</w:t>
      </w:r>
      <w:r>
        <w:rPr>
          <w:rFonts w:ascii="Aptos" w:eastAsia="Aptos" w:hAnsi="Aptos" w:cs="Aptos"/>
          <w:color w:val="000000" w:themeColor="text1"/>
          <w:sz w:val="22"/>
          <w:szCs w:val="22"/>
          <w:lang w:val="en-GB"/>
        </w:rPr>
        <w:t xml:space="preserve"> </w:t>
      </w:r>
      <w:r w:rsidRPr="65D6ADB0">
        <w:rPr>
          <w:rFonts w:ascii="Aptos" w:eastAsia="Aptos" w:hAnsi="Aptos" w:cs="Aptos"/>
          <w:color w:val="000000" w:themeColor="text1"/>
          <w:sz w:val="22"/>
          <w:szCs w:val="22"/>
          <w:lang w:val="en-GB"/>
        </w:rPr>
        <w:t>Israel</w:t>
      </w:r>
      <w:r>
        <w:rPr>
          <w:rFonts w:ascii="Aptos" w:eastAsia="Aptos" w:hAnsi="Aptos" w:cs="Aptos"/>
          <w:color w:val="000000" w:themeColor="text1"/>
          <w:sz w:val="22"/>
          <w:szCs w:val="22"/>
          <w:lang w:val="en-GB"/>
        </w:rPr>
        <w:t>i forces replicated</w:t>
      </w:r>
      <w:r w:rsidRPr="65D6ADB0">
        <w:rPr>
          <w:rFonts w:ascii="Aptos" w:eastAsia="Aptos" w:hAnsi="Aptos" w:cs="Aptos"/>
          <w:color w:val="000000" w:themeColor="text1"/>
          <w:sz w:val="22"/>
          <w:szCs w:val="22"/>
          <w:lang w:val="en-GB"/>
        </w:rPr>
        <w:t xml:space="preserve"> </w:t>
      </w:r>
      <w:r w:rsidRPr="04F9C45B">
        <w:rPr>
          <w:rFonts w:ascii="Aptos" w:eastAsia="Aptos" w:hAnsi="Aptos" w:cs="Aptos"/>
          <w:color w:val="000000" w:themeColor="text1"/>
          <w:sz w:val="22"/>
          <w:szCs w:val="22"/>
          <w:lang w:val="en-GB"/>
        </w:rPr>
        <w:t>tactics</w:t>
      </w:r>
      <w:r>
        <w:rPr>
          <w:rFonts w:ascii="Aptos" w:eastAsia="Aptos" w:hAnsi="Aptos" w:cs="Aptos"/>
          <w:color w:val="000000" w:themeColor="text1"/>
          <w:sz w:val="22"/>
          <w:szCs w:val="22"/>
          <w:lang w:val="en-GB"/>
        </w:rPr>
        <w:t xml:space="preserve"> u</w:t>
      </w:r>
      <w:r>
        <w:rPr>
          <w:rFonts w:ascii="Aptos" w:eastAsia="Aptos" w:hAnsi="Aptos" w:cs="Aptos"/>
          <w:color w:val="000000" w:themeColor="text1"/>
          <w:sz w:val="22"/>
          <w:szCs w:val="22"/>
          <w:lang w:val="en-GB"/>
        </w:rPr>
        <w:t>sed in Gaza</w:t>
      </w:r>
      <w:r w:rsidRPr="65D6ADB0">
        <w:rPr>
          <w:rFonts w:ascii="Aptos" w:eastAsia="Aptos" w:hAnsi="Aptos" w:cs="Aptos"/>
          <w:color w:val="000000" w:themeColor="text1"/>
          <w:sz w:val="22"/>
          <w:szCs w:val="22"/>
          <w:lang w:val="en-GB"/>
        </w:rPr>
        <w:t xml:space="preserve"> such as evacuation orders</w:t>
      </w:r>
      <w:r>
        <w:rPr>
          <w:rStyle w:val="FootnoteReference"/>
          <w:rFonts w:ascii="Aptos" w:eastAsia="Aptos" w:hAnsi="Aptos" w:cs="Aptos"/>
          <w:color w:val="000000" w:themeColor="text1"/>
          <w:sz w:val="22"/>
          <w:szCs w:val="22"/>
          <w:lang w:val="en-GB"/>
        </w:rPr>
        <w:footnoteReference w:id="17"/>
      </w:r>
      <w:r w:rsidRPr="65D6ADB0">
        <w:rPr>
          <w:rFonts w:ascii="Aptos" w:eastAsia="Aptos" w:hAnsi="Aptos" w:cs="Aptos"/>
          <w:color w:val="000000" w:themeColor="text1"/>
          <w:sz w:val="22"/>
          <w:szCs w:val="22"/>
          <w:lang w:val="en-GB"/>
        </w:rPr>
        <w:t xml:space="preserve"> and further attacks on healthcare across the south of Lebanon even hitting the capital Beirut</w:t>
      </w:r>
      <w:r>
        <w:rPr>
          <w:rStyle w:val="FootnoteReference"/>
          <w:rFonts w:ascii="Aptos" w:eastAsia="Aptos" w:hAnsi="Aptos" w:cs="Aptos"/>
          <w:color w:val="000000" w:themeColor="text1"/>
          <w:sz w:val="22"/>
          <w:szCs w:val="22"/>
          <w:lang w:val="en-GB"/>
        </w:rPr>
        <w:footnoteReference w:id="18"/>
      </w:r>
      <w:r w:rsidRPr="65D6ADB0">
        <w:rPr>
          <w:rFonts w:ascii="Aptos" w:eastAsia="Aptos" w:hAnsi="Aptos" w:cs="Aptos"/>
          <w:color w:val="000000" w:themeColor="text1"/>
          <w:sz w:val="22"/>
          <w:szCs w:val="22"/>
          <w:lang w:val="en-GB"/>
        </w:rPr>
        <w:t xml:space="preserve">. Israel’s attacks in Lebanon have also </w:t>
      </w:r>
      <w:r w:rsidRPr="65D6ADB0">
        <w:rPr>
          <w:rFonts w:ascii="Aptos" w:eastAsia="Aptos" w:hAnsi="Aptos" w:cs="Aptos"/>
          <w:color w:val="000000" w:themeColor="text1"/>
          <w:sz w:val="22"/>
          <w:szCs w:val="22"/>
          <w:lang w:val="en-GB"/>
        </w:rPr>
        <w:t>occurred</w:t>
      </w:r>
      <w:r w:rsidRPr="65D6ADB0">
        <w:rPr>
          <w:rFonts w:ascii="Aptos" w:eastAsia="Aptos" w:hAnsi="Aptos" w:cs="Aptos"/>
          <w:color w:val="000000" w:themeColor="text1"/>
          <w:sz w:val="22"/>
          <w:szCs w:val="22"/>
          <w:lang w:val="en-GB"/>
        </w:rPr>
        <w:t xml:space="preserve"> without accountability. </w:t>
      </w:r>
      <w:r w:rsidRPr="65D6ADB0">
        <w:rPr>
          <w:rFonts w:ascii="Aptos" w:eastAsia="Aptos" w:hAnsi="Aptos" w:cs="Aptos"/>
          <w:color w:val="000000" w:themeColor="text1"/>
          <w:sz w:val="22"/>
          <w:szCs w:val="22"/>
        </w:rPr>
        <w:t xml:space="preserve"> </w:t>
      </w:r>
      <w:r w:rsidRPr="65D6ADB0">
        <w:rPr>
          <w:rFonts w:ascii="Aptos" w:eastAsia="Aptos" w:hAnsi="Aptos" w:cs="Aptos"/>
          <w:sz w:val="22"/>
          <w:szCs w:val="22"/>
        </w:rPr>
        <w:t xml:space="preserve"> </w:t>
      </w:r>
    </w:p>
    <w:p w:rsidR="00034BBE" w:rsidP="4000315E">
      <w:pPr>
        <w:pStyle w:val="Heading3"/>
        <w:spacing w:before="281" w:after="281"/>
        <w:rPr>
          <w:rFonts w:eastAsiaTheme="minorEastAsia" w:cstheme="minorBidi"/>
          <w:b/>
          <w:bCs/>
          <w:color w:val="auto"/>
          <w:sz w:val="24"/>
          <w:szCs w:val="24"/>
          <w:lang w:val="en-GB"/>
        </w:rPr>
      </w:pPr>
      <w:r w:rsidRPr="4000315E">
        <w:rPr>
          <w:rFonts w:eastAsiaTheme="minorEastAsia" w:cstheme="minorBidi"/>
          <w:b/>
          <w:bCs/>
          <w:color w:val="auto"/>
          <w:sz w:val="24"/>
          <w:szCs w:val="24"/>
          <w:lang w:val="en-GB"/>
        </w:rPr>
        <w:t>Implications for International Law and Humanitarian Norms</w:t>
      </w:r>
    </w:p>
    <w:p w:rsidR="00034BBE" w:rsidP="65D6ADB0">
      <w:pPr>
        <w:keepNext/>
        <w:keepLines/>
        <w:rPr>
          <w:rFonts w:ascii="Aptos" w:eastAsia="Aptos" w:hAnsi="Aptos" w:cs="Aptos"/>
          <w:sz w:val="22"/>
          <w:szCs w:val="22"/>
          <w:lang w:val="en-GB"/>
        </w:rPr>
      </w:pPr>
      <w:r w:rsidRPr="65D6ADB0">
        <w:rPr>
          <w:rFonts w:ascii="Aptos" w:eastAsia="Aptos" w:hAnsi="Aptos" w:cs="Aptos"/>
          <w:color w:val="000000" w:themeColor="text1"/>
          <w:sz w:val="22"/>
          <w:szCs w:val="22"/>
        </w:rPr>
        <w:t xml:space="preserve">A lack of adherence to IHL and </w:t>
      </w:r>
      <w:r w:rsidRPr="65D6ADB0">
        <w:rPr>
          <w:rFonts w:ascii="Aptos" w:eastAsia="Aptos" w:hAnsi="Aptos" w:cs="Aptos"/>
          <w:color w:val="000000" w:themeColor="text1"/>
          <w:sz w:val="22"/>
          <w:szCs w:val="22"/>
        </w:rPr>
        <w:t>absence of</w:t>
      </w:r>
      <w:r w:rsidRPr="65D6ADB0">
        <w:rPr>
          <w:rFonts w:ascii="Aptos" w:eastAsia="Aptos" w:hAnsi="Aptos" w:cs="Aptos"/>
          <w:color w:val="000000" w:themeColor="text1"/>
          <w:sz w:val="22"/>
          <w:szCs w:val="22"/>
        </w:rPr>
        <w:t xml:space="preserve"> an adequate</w:t>
      </w:r>
      <w:r w:rsidRPr="65D6ADB0">
        <w:rPr>
          <w:rFonts w:ascii="Aptos" w:eastAsia="Aptos" w:hAnsi="Aptos" w:cs="Aptos"/>
          <w:color w:val="000000" w:themeColor="text1"/>
          <w:sz w:val="22"/>
          <w:szCs w:val="22"/>
        </w:rPr>
        <w:t xml:space="preserve"> response </w:t>
      </w:r>
      <w:r>
        <w:rPr>
          <w:rFonts w:ascii="Aptos" w:eastAsia="Aptos" w:hAnsi="Aptos" w:cs="Aptos"/>
          <w:color w:val="000000" w:themeColor="text1"/>
          <w:sz w:val="22"/>
          <w:szCs w:val="22"/>
        </w:rPr>
        <w:t xml:space="preserve">from the international community, including </w:t>
      </w:r>
      <w:r w:rsidRPr="65D6ADB0">
        <w:rPr>
          <w:rFonts w:ascii="Aptos" w:eastAsia="Aptos" w:hAnsi="Aptos" w:cs="Aptos"/>
          <w:color w:val="000000" w:themeColor="text1"/>
          <w:sz w:val="22"/>
          <w:szCs w:val="22"/>
        </w:rPr>
        <w:t>the UK</w:t>
      </w:r>
      <w:r>
        <w:rPr>
          <w:rFonts w:ascii="Aptos" w:eastAsia="Aptos" w:hAnsi="Aptos" w:cs="Aptos"/>
          <w:color w:val="000000" w:themeColor="text1"/>
          <w:sz w:val="22"/>
          <w:szCs w:val="22"/>
        </w:rPr>
        <w:t>,</w:t>
      </w:r>
      <w:r w:rsidRPr="65D6ADB0">
        <w:rPr>
          <w:rFonts w:ascii="Aptos" w:eastAsia="Aptos" w:hAnsi="Aptos" w:cs="Aptos"/>
          <w:color w:val="000000" w:themeColor="text1"/>
          <w:sz w:val="22"/>
          <w:szCs w:val="22"/>
        </w:rPr>
        <w:t xml:space="preserve"> contribute to multiple dangerous implications for international law and humanitarian norms. Attacks on aid workers are normalized, clearly demonstrated by the most recent example of 15 </w:t>
      </w:r>
      <w:r>
        <w:rPr>
          <w:rFonts w:ascii="Aptos" w:eastAsia="Aptos" w:hAnsi="Aptos" w:cs="Aptos"/>
          <w:color w:val="000000" w:themeColor="text1"/>
          <w:sz w:val="22"/>
          <w:szCs w:val="22"/>
        </w:rPr>
        <w:t>emergency responders and</w:t>
      </w:r>
      <w:r w:rsidRPr="65D6ADB0">
        <w:rPr>
          <w:rFonts w:ascii="Aptos" w:eastAsia="Aptos" w:hAnsi="Aptos" w:cs="Aptos"/>
          <w:color w:val="000000" w:themeColor="text1"/>
          <w:sz w:val="22"/>
          <w:szCs w:val="22"/>
        </w:rPr>
        <w:t xml:space="preserve"> </w:t>
      </w:r>
      <w:r w:rsidRPr="65D6ADB0">
        <w:rPr>
          <w:rFonts w:ascii="Aptos" w:eastAsia="Aptos" w:hAnsi="Aptos" w:cs="Aptos"/>
          <w:color w:val="000000" w:themeColor="text1"/>
          <w:sz w:val="22"/>
          <w:szCs w:val="22"/>
        </w:rPr>
        <w:t xml:space="preserve">paramedics killed </w:t>
      </w:r>
      <w:r w:rsidRPr="65D6ADB0">
        <w:rPr>
          <w:rFonts w:ascii="Aptos" w:eastAsia="Aptos" w:hAnsi="Aptos" w:cs="Aptos"/>
          <w:color w:val="000000" w:themeColor="text1"/>
          <w:sz w:val="22"/>
          <w:szCs w:val="22"/>
        </w:rPr>
        <w:t xml:space="preserve">by Israeli forces </w:t>
      </w:r>
      <w:r w:rsidRPr="65D6ADB0">
        <w:rPr>
          <w:rFonts w:ascii="Aptos" w:eastAsia="Aptos" w:hAnsi="Aptos" w:cs="Aptos"/>
          <w:color w:val="000000" w:themeColor="text1"/>
          <w:sz w:val="22"/>
          <w:szCs w:val="22"/>
        </w:rPr>
        <w:t>with no accountability. Furthermore, it undermines the humanitarian system, demonstrated when multiple Israeli officials publicly declared the intentional and application of blocking of aid to Gaza – a clear violation of international humanitarian law.</w:t>
      </w:r>
      <w:r>
        <w:rPr>
          <w:rStyle w:val="FootnoteReference"/>
          <w:rFonts w:ascii="Aptos" w:eastAsia="Aptos" w:hAnsi="Aptos" w:cs="Aptos"/>
          <w:color w:val="000000" w:themeColor="text1"/>
          <w:sz w:val="22"/>
          <w:szCs w:val="22"/>
        </w:rPr>
        <w:footnoteReference w:id="19"/>
      </w:r>
      <w:r w:rsidRPr="65D6ADB0">
        <w:rPr>
          <w:rStyle w:val="FootnoteReference"/>
          <w:rFonts w:ascii="Aptos" w:eastAsia="Aptos" w:hAnsi="Aptos" w:cs="Aptos"/>
          <w:color w:val="000000" w:themeColor="text1"/>
          <w:sz w:val="22"/>
          <w:szCs w:val="22"/>
        </w:rPr>
        <w:t xml:space="preserve"> </w:t>
      </w:r>
      <w:r>
        <w:rPr>
          <w:rStyle w:val="FootnoteReference"/>
          <w:rFonts w:ascii="Aptos" w:eastAsia="Aptos" w:hAnsi="Aptos" w:cs="Aptos"/>
          <w:color w:val="000000" w:themeColor="text1"/>
          <w:sz w:val="22"/>
          <w:szCs w:val="22"/>
        </w:rPr>
        <w:footnoteReference w:id="20"/>
      </w:r>
      <w:r w:rsidRPr="65D6ADB0">
        <w:rPr>
          <w:rFonts w:ascii="Aptos" w:eastAsia="Aptos" w:hAnsi="Aptos" w:cs="Aptos"/>
          <w:color w:val="000000" w:themeColor="text1"/>
          <w:sz w:val="22"/>
          <w:szCs w:val="22"/>
        </w:rPr>
        <w:t xml:space="preserve"> Additionally, accountability mechanisms are weakened</w:t>
      </w:r>
      <w:r w:rsidRPr="65D6ADB0">
        <w:rPr>
          <w:rFonts w:ascii="Aptos" w:eastAsia="Aptos" w:hAnsi="Aptos" w:cs="Aptos"/>
          <w:color w:val="000000" w:themeColor="text1"/>
          <w:sz w:val="22"/>
          <w:szCs w:val="22"/>
        </w:rPr>
        <w:t xml:space="preserve"> -</w:t>
      </w:r>
      <w:r w:rsidRPr="65D6ADB0">
        <w:rPr>
          <w:rFonts w:ascii="Aptos" w:eastAsia="Aptos" w:hAnsi="Aptos" w:cs="Aptos"/>
          <w:color w:val="000000" w:themeColor="text1"/>
          <w:sz w:val="22"/>
          <w:szCs w:val="22"/>
        </w:rPr>
        <w:t xml:space="preserve"> allowing for future</w:t>
      </w:r>
      <w:r w:rsidRPr="65D6ADB0">
        <w:rPr>
          <w:rFonts w:ascii="Aptos" w:eastAsia="Aptos" w:hAnsi="Aptos" w:cs="Aptos"/>
          <w:color w:val="000000" w:themeColor="text1"/>
          <w:sz w:val="22"/>
          <w:szCs w:val="22"/>
        </w:rPr>
        <w:t xml:space="preserve"> widespread</w:t>
      </w:r>
      <w:r w:rsidRPr="65D6ADB0">
        <w:rPr>
          <w:rFonts w:ascii="Aptos" w:eastAsia="Aptos" w:hAnsi="Aptos" w:cs="Aptos"/>
          <w:color w:val="000000" w:themeColor="text1"/>
          <w:sz w:val="22"/>
          <w:szCs w:val="22"/>
        </w:rPr>
        <w:t xml:space="preserve"> global impunity for armed forces</w:t>
      </w:r>
      <w:r>
        <w:rPr>
          <w:rFonts w:ascii="Aptos" w:eastAsia="Aptos" w:hAnsi="Aptos" w:cs="Aptos"/>
          <w:color w:val="000000" w:themeColor="text1"/>
          <w:sz w:val="22"/>
          <w:szCs w:val="22"/>
        </w:rPr>
        <w:t xml:space="preserve"> and </w:t>
      </w:r>
      <w:r w:rsidRPr="65D6ADB0">
        <w:rPr>
          <w:rFonts w:ascii="Aptos" w:eastAsia="Aptos" w:hAnsi="Aptos" w:cs="Aptos"/>
          <w:color w:val="000000" w:themeColor="text1"/>
          <w:sz w:val="22"/>
          <w:szCs w:val="22"/>
        </w:rPr>
        <w:t xml:space="preserve">governments to escape accountability when violating international law and international humanitarian law.  </w:t>
      </w:r>
      <w:r w:rsidRPr="65D6ADB0">
        <w:rPr>
          <w:rFonts w:ascii="Aptos" w:eastAsia="Aptos" w:hAnsi="Aptos" w:cs="Aptos"/>
          <w:sz w:val="22"/>
          <w:szCs w:val="22"/>
          <w:lang w:val="en-GB"/>
        </w:rPr>
        <w:t xml:space="preserve"> </w:t>
      </w:r>
    </w:p>
    <w:p w:rsidR="00034BBE" w:rsidP="4000315E">
      <w:pPr>
        <w:pStyle w:val="Heading3"/>
        <w:rPr>
          <w:rFonts w:eastAsiaTheme="minorEastAsia" w:cstheme="minorBidi"/>
          <w:b/>
          <w:bCs/>
          <w:color w:val="auto"/>
          <w:sz w:val="24"/>
          <w:szCs w:val="24"/>
          <w:lang w:val="en-GB"/>
        </w:rPr>
      </w:pPr>
      <w:r w:rsidRPr="4000315E">
        <w:rPr>
          <w:rFonts w:eastAsiaTheme="minorEastAsia" w:cstheme="minorBidi"/>
          <w:b/>
          <w:bCs/>
          <w:color w:val="auto"/>
          <w:sz w:val="24"/>
          <w:szCs w:val="24"/>
          <w:lang w:val="en-GB"/>
        </w:rPr>
        <w:t>Policy Recommendations for the UK Government</w:t>
      </w:r>
    </w:p>
    <w:p w:rsidR="00034BBE" w:rsidRPr="00FD248D" w:rsidP="4000315E">
      <w:pPr>
        <w:spacing w:before="240" w:after="240"/>
        <w:rPr>
          <w:color w:val="000000" w:themeColor="text1"/>
          <w:sz w:val="22"/>
          <w:szCs w:val="22"/>
        </w:rPr>
      </w:pPr>
      <w:r w:rsidRPr="09EF5CED">
        <w:rPr>
          <w:color w:val="000000" w:themeColor="text1"/>
          <w:sz w:val="22"/>
          <w:szCs w:val="22"/>
        </w:rPr>
        <w:t>The Government must ensure that its work to uphold the rule of international law globally is not undermined by double standards and exceptions</w:t>
      </w:r>
      <w:r w:rsidRPr="09EF5CED">
        <w:rPr>
          <w:color w:val="000000" w:themeColor="text1"/>
          <w:sz w:val="22"/>
          <w:szCs w:val="22"/>
        </w:rPr>
        <w:t>,</w:t>
      </w:r>
      <w:r w:rsidRPr="09EF5CED">
        <w:rPr>
          <w:color w:val="000000" w:themeColor="text1"/>
          <w:sz w:val="22"/>
          <w:szCs w:val="22"/>
        </w:rPr>
        <w:t xml:space="preserve"> as </w:t>
      </w:r>
      <w:r w:rsidRPr="09EF5CED">
        <w:rPr>
          <w:color w:val="000000" w:themeColor="text1"/>
          <w:sz w:val="22"/>
          <w:szCs w:val="22"/>
        </w:rPr>
        <w:t xml:space="preserve">regards </w:t>
      </w:r>
      <w:r w:rsidRPr="09EF5CED">
        <w:rPr>
          <w:color w:val="000000" w:themeColor="text1"/>
          <w:sz w:val="22"/>
          <w:szCs w:val="22"/>
        </w:rPr>
        <w:t xml:space="preserve">Israel and the Palestinians. </w:t>
      </w:r>
      <w:r w:rsidRPr="09EF5CED">
        <w:rPr>
          <w:color w:val="000000" w:themeColor="text1"/>
          <w:sz w:val="22"/>
          <w:szCs w:val="22"/>
        </w:rPr>
        <w:t xml:space="preserve">If a just peace is to be achieved – one that enables Palestinians to enjoy their full and equal rights to health and dignity – </w:t>
      </w:r>
      <w:r w:rsidRPr="09EF5CED">
        <w:rPr>
          <w:color w:val="000000" w:themeColor="text1"/>
          <w:sz w:val="22"/>
          <w:szCs w:val="22"/>
        </w:rPr>
        <w:t xml:space="preserve">and international law upheld, </w:t>
      </w:r>
      <w:r w:rsidRPr="09EF5CED">
        <w:rPr>
          <w:color w:val="000000" w:themeColor="text1"/>
          <w:sz w:val="22"/>
          <w:szCs w:val="22"/>
        </w:rPr>
        <w:t>the UK must</w:t>
      </w:r>
      <w:r w:rsidRPr="09EF5CED">
        <w:rPr>
          <w:color w:val="000000" w:themeColor="text1"/>
          <w:sz w:val="22"/>
          <w:szCs w:val="22"/>
        </w:rPr>
        <w:t>:</w:t>
      </w:r>
    </w:p>
    <w:p w:rsidR="00034BBE" w:rsidRPr="007B2600" w:rsidP="4000315E">
      <w:pPr>
        <w:pStyle w:val="ListParagraph"/>
        <w:numPr>
          <w:ilvl w:val="0"/>
          <w:numId w:val="14"/>
        </w:numPr>
        <w:spacing w:before="240" w:after="240"/>
        <w:rPr>
          <w:color w:val="000000" w:themeColor="text1"/>
          <w:sz w:val="22"/>
          <w:szCs w:val="22"/>
        </w:rPr>
      </w:pPr>
      <w:r w:rsidRPr="4000315E">
        <w:rPr>
          <w:color w:val="000000" w:themeColor="text1"/>
          <w:sz w:val="22"/>
          <w:szCs w:val="22"/>
        </w:rPr>
        <w:t>Use the International Court of Justice’s Provisional Measures of January, March and May 2024 as a guide for clear action, ensure that these measures are implemented in full, and publicly monitor Israeli authorities’ compliance with these measures.</w:t>
      </w:r>
    </w:p>
    <w:p w:rsidR="00034BBE" w:rsidRPr="007B2600" w:rsidP="09EF5CED">
      <w:pPr>
        <w:numPr>
          <w:ilvl w:val="0"/>
          <w:numId w:val="14"/>
        </w:numPr>
        <w:spacing w:before="240" w:beforeAutospacing="1" w:after="225" w:line="300" w:lineRule="atLeast"/>
        <w:rPr>
          <w:color w:val="000000" w:themeColor="text1"/>
          <w:sz w:val="22"/>
          <w:szCs w:val="22"/>
        </w:rPr>
      </w:pPr>
      <w:r w:rsidRPr="09EF5CED">
        <w:rPr>
          <w:color w:val="000000" w:themeColor="text1"/>
          <w:sz w:val="22"/>
          <w:szCs w:val="22"/>
          <w:lang w:val="en-GB" w:eastAsia="en-GB"/>
        </w:rPr>
        <w:t>Support international justice mechanisms to ensure those responsible for serious violations of international law in the occupied Palestinian territory are held fully accountable.</w:t>
      </w:r>
    </w:p>
    <w:p w:rsidR="00034BBE" w:rsidRPr="007B2600" w:rsidP="09EF5CED">
      <w:pPr>
        <w:numPr>
          <w:ilvl w:val="0"/>
          <w:numId w:val="14"/>
        </w:numPr>
        <w:spacing w:before="240" w:beforeAutospacing="1" w:after="225" w:line="300" w:lineRule="atLeast"/>
        <w:rPr>
          <w:color w:val="000000" w:themeColor="text1"/>
          <w:sz w:val="22"/>
          <w:szCs w:val="22"/>
        </w:rPr>
      </w:pPr>
      <w:r w:rsidRPr="09EF5CED">
        <w:rPr>
          <w:color w:val="000000" w:themeColor="text1"/>
          <w:sz w:val="22"/>
          <w:szCs w:val="22"/>
        </w:rPr>
        <w:t>Demand safe access for independent monitors and human rights investigators to collect and effectively document evidence of atrocities.</w:t>
      </w:r>
      <w:r w:rsidRPr="09EF5CED">
        <w:rPr>
          <w:color w:val="000000" w:themeColor="text1"/>
          <w:sz w:val="22"/>
          <w:szCs w:val="22"/>
        </w:rPr>
        <w:t xml:space="preserve"> This includes supporting genuine international investigations into, and legal accountability for, military attacks on medical personnel and infrastructure, as a way to prevent future violations and to provide </w:t>
      </w:r>
      <w:r w:rsidRPr="09EF5CED">
        <w:rPr>
          <w:color w:val="000000" w:themeColor="text1"/>
          <w:sz w:val="22"/>
          <w:szCs w:val="22"/>
        </w:rPr>
        <w:t>justice;</w:t>
      </w:r>
      <w:r w:rsidRPr="09EF5CED">
        <w:rPr>
          <w:color w:val="000000" w:themeColor="text1"/>
          <w:sz w:val="22"/>
          <w:szCs w:val="22"/>
        </w:rPr>
        <w:t xml:space="preserve"> </w:t>
      </w:r>
    </w:p>
    <w:p w:rsidR="00034BBE" w:rsidRPr="007B2600" w:rsidP="09EF5CED">
      <w:pPr>
        <w:numPr>
          <w:ilvl w:val="0"/>
          <w:numId w:val="14"/>
        </w:numPr>
        <w:spacing w:before="240" w:beforeAutospacing="1" w:after="225" w:line="300" w:lineRule="atLeast"/>
        <w:rPr>
          <w:color w:val="000000" w:themeColor="text1"/>
          <w:sz w:val="22"/>
          <w:szCs w:val="22"/>
        </w:rPr>
      </w:pPr>
      <w:r w:rsidRPr="09EF5CED">
        <w:rPr>
          <w:color w:val="000000" w:themeColor="text1"/>
          <w:sz w:val="22"/>
          <w:szCs w:val="22"/>
        </w:rPr>
        <w:t>Ensure it does not return to “business-as-usual,” and use all levers at its disposal to ensure the UK is not complicit in violations of international humanitarian law, including through the implementation of a full arms embargo on Israel.</w:t>
      </w:r>
    </w:p>
    <w:p w:rsidR="00034BBE" w:rsidP="09EF5CED">
      <w:pPr>
        <w:pStyle w:val="ListParagraph"/>
        <w:numPr>
          <w:ilvl w:val="0"/>
          <w:numId w:val="14"/>
        </w:numPr>
        <w:spacing w:before="240" w:after="240"/>
        <w:rPr>
          <w:color w:val="000000" w:themeColor="text1"/>
          <w:sz w:val="22"/>
          <w:szCs w:val="22"/>
        </w:rPr>
      </w:pPr>
      <w:r w:rsidRPr="09EF5CED">
        <w:rPr>
          <w:color w:val="000000" w:themeColor="text1"/>
          <w:sz w:val="22"/>
          <w:szCs w:val="22"/>
        </w:rPr>
        <w:t>Support</w:t>
      </w:r>
      <w:r w:rsidRPr="09EF5CED">
        <w:rPr>
          <w:color w:val="000000" w:themeColor="text1"/>
          <w:sz w:val="22"/>
          <w:szCs w:val="22"/>
        </w:rPr>
        <w:t xml:space="preserve"> </w:t>
      </w:r>
      <w:r w:rsidRPr="09EF5CED">
        <w:rPr>
          <w:color w:val="000000" w:themeColor="text1"/>
          <w:sz w:val="22"/>
          <w:szCs w:val="22"/>
        </w:rPr>
        <w:t>efforts to strengthen compliance with international law regarding the protection of healthcare personnel and infrastructure, including through monitoring the compliance ensuring respect for UN Security Council resolution 2286 (2016) on healthcare in armed conflict.</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034BBE">
      <w:pPr>
        <w:spacing w:after="0" w:line="240" w:lineRule="auto"/>
      </w:pPr>
      <w:r>
        <w:separator/>
      </w:r>
    </w:p>
  </w:footnote>
  <w:footnote w:type="continuationSeparator" w:id="1">
    <w:p w:rsidR="00034BBE">
      <w:pPr>
        <w:spacing w:after="0" w:line="240" w:lineRule="auto"/>
      </w:pPr>
      <w:r>
        <w:continuationSeparator/>
      </w:r>
    </w:p>
  </w:footnote>
  <w:footnote w:id="2">
    <w:p w:rsidR="00034BBE" w:rsidP="4000315E">
      <w:pPr>
        <w:pStyle w:val="FootnoteText"/>
      </w:pPr>
      <w:r w:rsidRPr="4000315E">
        <w:rPr>
          <w:rStyle w:val="FootnoteReference"/>
          <w:rFonts w:ascii="Aptos" w:eastAsia="Aptos" w:hAnsi="Aptos" w:cs="Aptos"/>
        </w:rPr>
        <w:footnoteRef/>
      </w:r>
      <w:r w:rsidRPr="4000315E">
        <w:rPr>
          <w:rFonts w:ascii="Aptos" w:eastAsia="Aptos" w:hAnsi="Aptos" w:cs="Aptos"/>
        </w:rPr>
        <w:t xml:space="preserve"> </w:t>
      </w:r>
      <w:r w:rsidRPr="4000315E">
        <w:rPr>
          <w:rFonts w:ascii="Aptos" w:eastAsia="Aptos" w:hAnsi="Aptos" w:cs="Aptos"/>
          <w:color w:val="000000" w:themeColor="text1"/>
        </w:rPr>
        <w:t xml:space="preserve">1 UN Office for the Coordination of Humanitarian Affairs (2025) Reported impact snapshot | Gaza Strip </w:t>
      </w:r>
      <w:r>
        <w:fldChar w:fldCharType="begin"/>
      </w:r>
      <w:r>
        <w:instrText xml:space="preserve"> HYPERLINK "https://www.ochaopt.org/content/reported-impact-snapshot-gaza-strip-14-january-2025" </w:instrText>
      </w:r>
      <w:r>
        <w:fldChar w:fldCharType="separate"/>
      </w:r>
      <w:r w:rsidRPr="00A92DAA">
        <w:rPr>
          <w:rStyle w:val="Hyperlink"/>
          <w:rFonts w:ascii="Times New Roman" w:eastAsia="Times New Roman" w:hAnsi="Times New Roman" w:cs="Times New Roman"/>
        </w:rPr>
        <w:t>https://www.ochaopt.org/content/reported-impact-snapshot-gaza-strip-14-january-2025</w:t>
      </w:r>
      <w:r>
        <w:fldChar w:fldCharType="end"/>
      </w:r>
      <w:r w:rsidRPr="4000315E">
        <w:rPr>
          <w:rFonts w:ascii="Aptos" w:eastAsia="Aptos" w:hAnsi="Aptos" w:cs="Aptos"/>
          <w:color w:val="000000" w:themeColor="text1"/>
        </w:rPr>
        <w:t xml:space="preserve"> </w:t>
      </w:r>
    </w:p>
  </w:footnote>
  <w:footnote w:id="3">
    <w:p w:rsidR="00034BBE" w:rsidP="09EF5CED">
      <w:pPr>
        <w:pStyle w:val="FootnoteText"/>
      </w:pPr>
      <w:r w:rsidRPr="09EF5CED">
        <w:rPr>
          <w:rStyle w:val="FootnoteReference"/>
        </w:rPr>
        <w:footnoteRef/>
      </w:r>
      <w:r>
        <w:t xml:space="preserve"> </w:t>
      </w:r>
      <w:r w:rsidRPr="09EF5CED">
        <w:rPr>
          <w:rFonts w:ascii="Aptos" w:eastAsia="Aptos" w:hAnsi="Aptos" w:cs="Aptos"/>
          <w:sz w:val="24"/>
          <w:szCs w:val="24"/>
        </w:rPr>
        <w:t xml:space="preserve">Medical Aid for Palestinians (2021) Systematic Discrimination and Fragmentation as Key Barriers to Palestinian Health and Healthcare </w:t>
      </w:r>
      <w:r>
        <w:fldChar w:fldCharType="begin"/>
      </w:r>
      <w:r>
        <w:instrText xml:space="preserve"> HYPERLINK "https://www.map.org.uk/downloads/reports/map-health-inequalities-paper-final.pdf" </w:instrText>
      </w:r>
      <w:r>
        <w:fldChar w:fldCharType="separate"/>
      </w:r>
      <w:r w:rsidRPr="09EF5CED">
        <w:rPr>
          <w:rStyle w:val="Hyperlink"/>
          <w:rFonts w:ascii="Aptos" w:eastAsia="Aptos" w:hAnsi="Aptos" w:cs="Aptos"/>
          <w:sz w:val="24"/>
          <w:szCs w:val="24"/>
        </w:rPr>
        <w:t>https://www.map.org.uk/downloads/reports/map-health-inequalities-paper-final.pdf</w:t>
      </w:r>
      <w:r>
        <w:fldChar w:fldCharType="end"/>
      </w:r>
      <w:r w:rsidRPr="09EF5CED">
        <w:rPr>
          <w:rFonts w:ascii="Aptos" w:eastAsia="Aptos" w:hAnsi="Aptos" w:cs="Aptos"/>
          <w:sz w:val="24"/>
          <w:szCs w:val="24"/>
        </w:rPr>
        <w:t xml:space="preserve">  </w:t>
      </w:r>
      <w:r w:rsidRPr="09EF5CED">
        <w:t xml:space="preserve"> </w:t>
      </w:r>
    </w:p>
  </w:footnote>
  <w:footnote w:id="4">
    <w:p w:rsidR="00034BBE" w:rsidP="09EF5CED">
      <w:pPr>
        <w:pStyle w:val="FootnoteText"/>
      </w:pPr>
      <w:r w:rsidRPr="09EF5CED">
        <w:rPr>
          <w:rStyle w:val="FootnoteReference"/>
        </w:rPr>
        <w:footnoteRef/>
      </w:r>
      <w:r>
        <w:t xml:space="preserve"> </w:t>
      </w:r>
      <w:r w:rsidRPr="09EF5CED">
        <w:rPr>
          <w:rFonts w:ascii="Aptos" w:eastAsia="Aptos" w:hAnsi="Aptos" w:cs="Aptos"/>
          <w:sz w:val="24"/>
          <w:szCs w:val="24"/>
        </w:rPr>
        <w:t xml:space="preserve">Medical Aid for Palestinians (2021) Systematic Discrimination and Fragmentation as Key Barriers to Palestinian Health and Healthcare </w:t>
      </w:r>
      <w:r>
        <w:fldChar w:fldCharType="begin"/>
      </w:r>
      <w:r>
        <w:instrText xml:space="preserve"> HYPERLINK "https://www.map.org.uk/downloads/reports/map-health-inequalities-paper-final.pdf" </w:instrText>
      </w:r>
      <w:r>
        <w:fldChar w:fldCharType="separate"/>
      </w:r>
      <w:r w:rsidRPr="09EF5CED">
        <w:rPr>
          <w:rStyle w:val="Hyperlink"/>
          <w:rFonts w:ascii="Aptos" w:eastAsia="Aptos" w:hAnsi="Aptos" w:cs="Aptos"/>
          <w:sz w:val="24"/>
          <w:szCs w:val="24"/>
        </w:rPr>
        <w:t>https://www.map.org.uk/downloads/reports/map-health-inequalities-paper-final.pdf</w:t>
      </w:r>
      <w:r>
        <w:fldChar w:fldCharType="end"/>
      </w:r>
      <w:r w:rsidRPr="09EF5CED">
        <w:rPr>
          <w:rFonts w:ascii="Aptos" w:eastAsia="Aptos" w:hAnsi="Aptos" w:cs="Aptos"/>
          <w:sz w:val="24"/>
          <w:szCs w:val="24"/>
        </w:rPr>
        <w:t xml:space="preserve">  </w:t>
      </w:r>
      <w:r w:rsidRPr="09EF5CED">
        <w:t xml:space="preserve"> </w:t>
      </w:r>
    </w:p>
  </w:footnote>
  <w:footnote w:id="5">
    <w:p w:rsidR="00034BBE" w:rsidP="09EF5CED">
      <w:pPr>
        <w:pStyle w:val="FootnoteText"/>
        <w:spacing w:before="240" w:after="240"/>
      </w:pPr>
      <w:r w:rsidRPr="09EF5CED">
        <w:rPr>
          <w:rStyle w:val="FootnoteReference"/>
        </w:rPr>
        <w:footnoteRef/>
      </w:r>
      <w:r>
        <w:t xml:space="preserve"> </w:t>
      </w:r>
      <w:r w:rsidRPr="09EF5CED">
        <w:t xml:space="preserve">Report of the independent international commission of inquiry on the protests in the Occupied Palestinian Territory A/HRC/40/74 (2019) </w:t>
      </w:r>
      <w:r>
        <w:fldChar w:fldCharType="begin"/>
      </w:r>
      <w:r>
        <w:instrText xml:space="preserve"> HYPERLINK "https://www.ohchr.org/sites/default/files/Documents/HRBodies/HRCouncil/CoIOPT/A_HRC_40_74.pdf" </w:instrText>
      </w:r>
      <w:r>
        <w:fldChar w:fldCharType="separate"/>
      </w:r>
      <w:r w:rsidRPr="09EF5CED">
        <w:rPr>
          <w:rStyle w:val="Hyperlink"/>
        </w:rPr>
        <w:t>https://www.ohchr.org/sites/default/files/Documents/HRBodies/HRCouncil/CoIOPT/A_HRC_40_74.pdf</w:t>
      </w:r>
      <w:r>
        <w:fldChar w:fldCharType="end"/>
      </w:r>
    </w:p>
    <w:p w:rsidR="00034BBE" w:rsidP="09EF5CED">
      <w:pPr>
        <w:pStyle w:val="FootnoteText"/>
      </w:pPr>
    </w:p>
  </w:footnote>
  <w:footnote w:id="6">
    <w:p w:rsidR="00034BBE" w:rsidP="09EF5CED">
      <w:pPr>
        <w:pStyle w:val="FootnoteText"/>
        <w:spacing w:before="240" w:after="240"/>
      </w:pPr>
      <w:r w:rsidRPr="09EF5CED">
        <w:rPr>
          <w:rStyle w:val="FootnoteReference"/>
        </w:rPr>
        <w:footnoteRef/>
      </w:r>
      <w:r>
        <w:t xml:space="preserve"> </w:t>
      </w:r>
      <w:r w:rsidRPr="09EF5CED">
        <w:t xml:space="preserve">Report of the independent international commission of inquiry on the protests in the Occupied Palestinian Territory A/HRC/40/74 (2019) </w:t>
      </w:r>
      <w:r>
        <w:fldChar w:fldCharType="begin"/>
      </w:r>
      <w:r>
        <w:instrText xml:space="preserve"> HYPERLINK "https://www.ohchr.org/sites/default/files/Documents/HRBodies/HRCouncil/CoIOPT/A_HRC_40_74.pdf" </w:instrText>
      </w:r>
      <w:r>
        <w:fldChar w:fldCharType="separate"/>
      </w:r>
      <w:r w:rsidRPr="09EF5CED">
        <w:rPr>
          <w:rStyle w:val="Hyperlink"/>
        </w:rPr>
        <w:t>https://www.ohchr.org/sites/default/files/Documents/HRBodies/HRCouncil/CoIOPT/A_HRC_40_74.pdf</w:t>
      </w:r>
      <w:r>
        <w:fldChar w:fldCharType="end"/>
      </w:r>
    </w:p>
    <w:p w:rsidR="00034BBE" w:rsidP="09EF5CED">
      <w:pPr>
        <w:pStyle w:val="FootnoteText"/>
      </w:pPr>
    </w:p>
  </w:footnote>
  <w:footnote w:id="7">
    <w:p w:rsidR="00034BBE" w:rsidP="09EF5CED">
      <w:pPr>
        <w:pStyle w:val="FootnoteText"/>
        <w:rPr>
          <w:rFonts w:ascii="Aptos" w:eastAsia="Aptos" w:hAnsi="Aptos" w:cs="Aptos"/>
        </w:rPr>
      </w:pPr>
      <w:r w:rsidRPr="09EF5CED">
        <w:rPr>
          <w:rStyle w:val="FootnoteReference"/>
        </w:rPr>
        <w:footnoteRef/>
      </w:r>
      <w:r w:rsidRPr="09EF5CED">
        <w:rPr>
          <w:rFonts w:ascii="Aptos" w:eastAsia="Aptos" w:hAnsi="Aptos" w:cs="Aptos"/>
        </w:rPr>
        <w:t xml:space="preserve"> Report of the Independent International Commission of Inquiry on the Occupied Palestinian Territory, including East Jerusalem, and Israel A/79/232 (2024)  </w:t>
      </w:r>
      <w:r>
        <w:fldChar w:fldCharType="begin"/>
      </w:r>
      <w:r>
        <w:instrText xml:space="preserve"> HYPERLINK "https://documents.un.org/doc/undoc/gen/n24/262/79/pdf/n2426279.pdf" </w:instrText>
      </w:r>
      <w:r>
        <w:fldChar w:fldCharType="separate"/>
      </w:r>
      <w:r w:rsidRPr="09EF5CED">
        <w:rPr>
          <w:rStyle w:val="Hyperlink"/>
          <w:rFonts w:ascii="Aptos" w:eastAsia="Aptos" w:hAnsi="Aptos" w:cs="Aptos"/>
        </w:rPr>
        <w:t>https://documents.un.org/doc/undoc/gen/n24/262/79/pdf/n2426279.pdf</w:t>
      </w:r>
      <w:r>
        <w:fldChar w:fldCharType="end"/>
      </w:r>
    </w:p>
  </w:footnote>
  <w:footnote w:id="8">
    <w:p w:rsidR="00034BBE" w:rsidP="4000315E">
      <w:pPr>
        <w:pStyle w:val="FootnoteText"/>
      </w:pPr>
      <w:r w:rsidRPr="65D6ADB0">
        <w:rPr>
          <w:rStyle w:val="FootnoteReference"/>
        </w:rPr>
        <w:footnoteRef/>
      </w:r>
      <w:r w:rsidRPr="4000315E">
        <w:rPr>
          <w:rFonts w:ascii="Aptos" w:eastAsia="Aptos" w:hAnsi="Aptos" w:cs="Aptos"/>
        </w:rPr>
        <w:t xml:space="preserve"> </w:t>
      </w:r>
      <w:r>
        <w:fldChar w:fldCharType="begin"/>
      </w:r>
      <w:r>
        <w:instrText xml:space="preserve"> HYPERLINK "https://www.ochaopt.org/content/reported-impact-snapshot-gaza-strip-22-april-2025" </w:instrText>
      </w:r>
      <w:r>
        <w:fldChar w:fldCharType="separate"/>
      </w:r>
      <w:r w:rsidRPr="4000315E">
        <w:rPr>
          <w:rStyle w:val="Hyperlink"/>
        </w:rPr>
        <w:t>Reported impact snapshot | Gaza Strip (22 April 2025) | United Nations Office for the Coordination of Humanitarian Affairs - Occupied Palestinian Territory</w:t>
      </w:r>
      <w:r>
        <w:fldChar w:fldCharType="end"/>
      </w:r>
    </w:p>
  </w:footnote>
  <w:footnote w:id="9">
    <w:p w:rsidR="00034BBE" w:rsidP="4000315E">
      <w:pPr>
        <w:pStyle w:val="FootnoteText"/>
      </w:pPr>
      <w:r w:rsidRPr="4000315E">
        <w:rPr>
          <w:rStyle w:val="FootnoteReference"/>
          <w:rFonts w:ascii="Aptos" w:eastAsia="Aptos" w:hAnsi="Aptos" w:cs="Aptos"/>
        </w:rPr>
        <w:footnoteRef/>
      </w:r>
      <w:r w:rsidRPr="4000315E">
        <w:rPr>
          <w:rFonts w:ascii="Aptos" w:eastAsia="Aptos" w:hAnsi="Aptos" w:cs="Aptos"/>
        </w:rPr>
        <w:t xml:space="preserve"> </w:t>
      </w:r>
      <w:r>
        <w:fldChar w:fldCharType="begin"/>
      </w:r>
      <w:r>
        <w:instrText xml:space="preserve"> HYPERLINK "https://www.map.org.uk/news/archive/post/1727-map-demands-protection-for-gazahospitals-and-accountability-for-violations-after-israeli-forces-attack-on-al-ahli-hospital" </w:instrText>
      </w:r>
      <w:r>
        <w:fldChar w:fldCharType="separate"/>
      </w:r>
      <w:r w:rsidRPr="4000315E">
        <w:rPr>
          <w:rStyle w:val="Hyperlink"/>
          <w:rFonts w:ascii="Aptos" w:eastAsia="Aptos" w:hAnsi="Aptos" w:cs="Aptos"/>
        </w:rPr>
        <w:t>https://www.map.org.uk/news/archive/post/1727-map-demands-protection-for-gazahospitals-and-accountability-for-violations-after-israeli-forces-attack-on-al-ahli-hospital</w:t>
      </w:r>
      <w:r>
        <w:fldChar w:fldCharType="end"/>
      </w:r>
      <w:r w:rsidRPr="4000315E">
        <w:rPr>
          <w:rFonts w:ascii="Aptos" w:eastAsia="Aptos" w:hAnsi="Aptos" w:cs="Aptos"/>
          <w:color w:val="000000" w:themeColor="text1"/>
        </w:rPr>
        <w:t xml:space="preserve"> </w:t>
      </w:r>
    </w:p>
  </w:footnote>
  <w:footnote w:id="10">
    <w:p w:rsidR="00034BBE" w:rsidP="4000315E">
      <w:pPr>
        <w:pStyle w:val="FootnoteText"/>
      </w:pPr>
      <w:r w:rsidRPr="4000315E">
        <w:rPr>
          <w:rStyle w:val="FootnoteReference"/>
          <w:rFonts w:ascii="Aptos" w:eastAsia="Aptos" w:hAnsi="Aptos" w:cs="Aptos"/>
        </w:rPr>
        <w:footnoteRef/>
      </w:r>
      <w:r w:rsidRPr="4000315E">
        <w:rPr>
          <w:rFonts w:ascii="Aptos" w:eastAsia="Aptos" w:hAnsi="Aptos" w:cs="Aptos"/>
        </w:rPr>
        <w:t xml:space="preserve"> </w:t>
      </w:r>
      <w:r>
        <w:fldChar w:fldCharType="begin"/>
      </w:r>
      <w:r>
        <w:instrText xml:space="preserve"> HYPERLINK "https://www.map.org.uk/news/archive/post/1727-map-demands-protection-for-gazahospitals-and-accountability-for-violations-after-israeli-forces-attack-on-al-ahli-hospital" </w:instrText>
      </w:r>
      <w:r>
        <w:fldChar w:fldCharType="separate"/>
      </w:r>
      <w:r w:rsidRPr="00A92DAA">
        <w:rPr>
          <w:rStyle w:val="Hyperlink"/>
          <w:rFonts w:ascii="Segoe UI" w:eastAsia="Segoe UI" w:hAnsi="Segoe UI" w:cs="Segoe UI"/>
          <w:sz w:val="18"/>
          <w:szCs w:val="18"/>
        </w:rPr>
        <w:t>https://www.map.org.uk/news/archive/post/1727-map-demands-protection-for-gazahospitals-and-accountability-for-violations-after-israeli-forces-attack-on-al-ahli-hospital</w:t>
      </w:r>
      <w:r>
        <w:fldChar w:fldCharType="end"/>
      </w:r>
      <w:r w:rsidRPr="4000315E">
        <w:rPr>
          <w:rFonts w:ascii="Aptos" w:eastAsia="Aptos" w:hAnsi="Aptos" w:cs="Aptos"/>
          <w:color w:val="000000" w:themeColor="text1"/>
        </w:rPr>
        <w:t xml:space="preserve"> </w:t>
      </w:r>
    </w:p>
  </w:footnote>
  <w:footnote w:id="11">
    <w:p w:rsidR="00034BBE" w:rsidP="4000315E">
      <w:pPr>
        <w:pStyle w:val="FootnoteText"/>
      </w:pPr>
      <w:r w:rsidRPr="4000315E">
        <w:rPr>
          <w:rStyle w:val="FootnoteReference"/>
          <w:rFonts w:ascii="Aptos" w:eastAsia="Aptos" w:hAnsi="Aptos" w:cs="Aptos"/>
        </w:rPr>
        <w:footnoteRef/>
      </w:r>
      <w:r w:rsidRPr="4000315E">
        <w:rPr>
          <w:rFonts w:ascii="Aptos" w:eastAsia="Aptos" w:hAnsi="Aptos" w:cs="Aptos"/>
        </w:rPr>
        <w:t xml:space="preserve"> </w:t>
      </w:r>
      <w:r>
        <w:fldChar w:fldCharType="begin"/>
      </w:r>
      <w:r>
        <w:instrText xml:space="preserve"> HYPERLINK "https://news.sky.com/story/atrocious-killing-of-15-aid-workers-by-israel-must-independently-investigated-palestine-red-crescent-says-13343820" </w:instrText>
      </w:r>
      <w:r>
        <w:fldChar w:fldCharType="separate"/>
      </w:r>
      <w:r w:rsidRPr="4000315E">
        <w:rPr>
          <w:rStyle w:val="Hyperlink"/>
          <w:rFonts w:ascii="Aptos" w:eastAsia="Aptos" w:hAnsi="Aptos" w:cs="Aptos"/>
        </w:rPr>
        <w:t>https://news.sky.com/story/atrocious-killing-of-15-aid-workers-by-israel-must-independently-investigated-palestine-red-crescent-says-13343820</w:t>
      </w:r>
      <w:r>
        <w:fldChar w:fldCharType="end"/>
      </w:r>
      <w:r w:rsidRPr="4000315E">
        <w:rPr>
          <w:rFonts w:ascii="Aptos" w:eastAsia="Aptos" w:hAnsi="Aptos" w:cs="Aptos"/>
          <w:color w:val="000000" w:themeColor="text1"/>
        </w:rPr>
        <w:t xml:space="preserve"> </w:t>
      </w:r>
    </w:p>
  </w:footnote>
  <w:footnote w:id="12">
    <w:p w:rsidR="00034BBE" w:rsidP="4000315E">
      <w:pPr>
        <w:pStyle w:val="FootnoteText"/>
      </w:pPr>
      <w:r w:rsidRPr="4000315E">
        <w:rPr>
          <w:rStyle w:val="FootnoteReference"/>
          <w:rFonts w:ascii="Aptos" w:eastAsia="Aptos" w:hAnsi="Aptos" w:cs="Aptos"/>
        </w:rPr>
        <w:footnoteRef/>
      </w:r>
      <w:r w:rsidRPr="4000315E">
        <w:rPr>
          <w:rFonts w:ascii="Aptos" w:eastAsia="Aptos" w:hAnsi="Aptos" w:cs="Aptos"/>
        </w:rPr>
        <w:t xml:space="preserve"> </w:t>
      </w:r>
      <w:r>
        <w:fldChar w:fldCharType="begin"/>
      </w:r>
      <w:r>
        <w:instrText xml:space="preserve"> HYPERLINK "https://apnews.com/article/gaza-palestinians-israel-hamas-war-medics-killed-437b6ae1e9cf45b3099134524380f004" </w:instrText>
      </w:r>
      <w:r>
        <w:fldChar w:fldCharType="separate"/>
      </w:r>
      <w:r w:rsidRPr="4000315E">
        <w:rPr>
          <w:rStyle w:val="Hyperlink"/>
          <w:rFonts w:ascii="Aptos" w:eastAsia="Aptos" w:hAnsi="Aptos" w:cs="Aptos"/>
        </w:rPr>
        <w:t>https://apnews.com/article/gaza-palestinians-israel-hamas-war-medics-killed-437b6ae1e9cf45b3099134524380f004</w:t>
      </w:r>
      <w:r>
        <w:fldChar w:fldCharType="end"/>
      </w:r>
      <w:r w:rsidRPr="4000315E">
        <w:rPr>
          <w:rFonts w:ascii="Aptos" w:eastAsia="Aptos" w:hAnsi="Aptos" w:cs="Aptos"/>
          <w:color w:val="000000" w:themeColor="text1"/>
        </w:rPr>
        <w:t xml:space="preserve"> </w:t>
      </w:r>
    </w:p>
  </w:footnote>
  <w:footnote w:id="13">
    <w:p w:rsidR="00034BBE" w:rsidP="4000315E">
      <w:pPr>
        <w:pStyle w:val="FootnoteText"/>
      </w:pPr>
      <w:r w:rsidRPr="4000315E">
        <w:rPr>
          <w:rStyle w:val="FootnoteReference"/>
          <w:rFonts w:ascii="Aptos" w:eastAsia="Aptos" w:hAnsi="Aptos" w:cs="Aptos"/>
        </w:rPr>
        <w:footnoteRef/>
      </w:r>
      <w:r w:rsidRPr="4000315E">
        <w:rPr>
          <w:rFonts w:ascii="Aptos" w:eastAsia="Aptos" w:hAnsi="Aptos" w:cs="Aptos"/>
        </w:rPr>
        <w:t xml:space="preserve"> </w:t>
      </w:r>
      <w:r>
        <w:fldChar w:fldCharType="begin"/>
      </w:r>
      <w:r>
        <w:instrText xml:space="preserve"> HYPERLINK "https://www.ochaopt.org/content/humanitarian-situation-update-256-west-bank" </w:instrText>
      </w:r>
      <w:r>
        <w:fldChar w:fldCharType="separate"/>
      </w:r>
      <w:r w:rsidRPr="4000315E">
        <w:rPr>
          <w:rStyle w:val="Hyperlink"/>
          <w:rFonts w:ascii="Aptos" w:eastAsia="Aptos" w:hAnsi="Aptos" w:cs="Aptos"/>
        </w:rPr>
        <w:t>Humanitarian Situation Update #256 | West Bank | United Nations Office for the Coordination of Humanitarian Affairs - Occupied Palestinian Territory</w:t>
      </w:r>
      <w:r>
        <w:fldChar w:fldCharType="end"/>
      </w:r>
    </w:p>
    <w:p w:rsidR="00034BBE" w:rsidP="4000315E">
      <w:pPr>
        <w:pStyle w:val="FootnoteText"/>
      </w:pPr>
    </w:p>
  </w:footnote>
  <w:footnote w:id="14">
    <w:p w:rsidR="00034BBE" w:rsidP="4000315E">
      <w:pPr>
        <w:pStyle w:val="FootnoteText"/>
      </w:pPr>
      <w:r w:rsidRPr="4000315E">
        <w:rPr>
          <w:rStyle w:val="FootnoteReference"/>
          <w:rFonts w:ascii="Aptos" w:eastAsia="Aptos" w:hAnsi="Aptos" w:cs="Aptos"/>
        </w:rPr>
        <w:footnoteRef/>
      </w:r>
      <w:r w:rsidRPr="4000315E">
        <w:rPr>
          <w:rFonts w:ascii="Aptos" w:eastAsia="Aptos" w:hAnsi="Aptos" w:cs="Aptos"/>
        </w:rPr>
        <w:t xml:space="preserve"> </w:t>
      </w:r>
      <w:r>
        <w:fldChar w:fldCharType="begin"/>
      </w:r>
      <w:r>
        <w:instrText xml:space="preserve"> HYPERLINK "https://apnews.com/article/israel-hamas-war-news-01-30-2024-b1ba33c7c0c5c62f85932a20c2a0bc92" </w:instrText>
      </w:r>
      <w:r>
        <w:fldChar w:fldCharType="separate"/>
      </w:r>
      <w:r w:rsidRPr="4000315E">
        <w:rPr>
          <w:rStyle w:val="Hyperlink"/>
          <w:rFonts w:ascii="Aptos" w:eastAsia="Aptos" w:hAnsi="Aptos" w:cs="Aptos"/>
        </w:rPr>
        <w:t xml:space="preserve">Israeli forces dressed as </w:t>
      </w:r>
      <w:r w:rsidRPr="4000315E">
        <w:rPr>
          <w:rStyle w:val="Hyperlink"/>
          <w:rFonts w:ascii="Aptos" w:eastAsia="Aptos" w:hAnsi="Aptos" w:cs="Aptos"/>
        </w:rPr>
        <w:t>women,</w:t>
      </w:r>
      <w:r w:rsidRPr="4000315E">
        <w:rPr>
          <w:rStyle w:val="Hyperlink"/>
          <w:rFonts w:ascii="Aptos" w:eastAsia="Aptos" w:hAnsi="Aptos" w:cs="Aptos"/>
        </w:rPr>
        <w:t xml:space="preserve"> medics kill 3 militants in West Bank hospital | AP News</w:t>
      </w:r>
      <w:r>
        <w:fldChar w:fldCharType="end"/>
      </w:r>
    </w:p>
  </w:footnote>
  <w:footnote w:id="15">
    <w:p w:rsidR="00034BBE" w:rsidP="4000315E">
      <w:pPr>
        <w:pStyle w:val="FootnoteText"/>
      </w:pPr>
      <w:r w:rsidRPr="4000315E">
        <w:rPr>
          <w:rStyle w:val="FootnoteReference"/>
          <w:rFonts w:ascii="Aptos" w:eastAsia="Aptos" w:hAnsi="Aptos" w:cs="Aptos"/>
        </w:rPr>
        <w:footnoteRef/>
      </w:r>
      <w:r w:rsidRPr="4000315E">
        <w:rPr>
          <w:rFonts w:ascii="Aptos" w:eastAsia="Aptos" w:hAnsi="Aptos" w:cs="Aptos"/>
        </w:rPr>
        <w:t xml:space="preserve"> </w:t>
      </w:r>
      <w:r>
        <w:fldChar w:fldCharType="begin"/>
      </w:r>
      <w:r>
        <w:instrText xml:space="preserve"> HYPERLINK "https://www.map.org.uk/news/archive/post/1560-israeli-forces-raid-ibn-sina-hospital-in-jenin-disguised-as-civilians-and-medical-personnel-killing-three-palestinians" </w:instrText>
      </w:r>
      <w:r>
        <w:fldChar w:fldCharType="separate"/>
      </w:r>
      <w:r w:rsidRPr="4000315E">
        <w:rPr>
          <w:rStyle w:val="Hyperlink"/>
          <w:rFonts w:ascii="Aptos" w:eastAsia="Aptos" w:hAnsi="Aptos" w:cs="Aptos"/>
        </w:rPr>
        <w:t>Israeli forces raid hospital in Jenin disguised as civilians and medical personnel, killing three Palestinians - Latest News &amp; Developments - Medical Aid for Palestinians</w:t>
      </w:r>
      <w:r>
        <w:fldChar w:fldCharType="end"/>
      </w:r>
    </w:p>
  </w:footnote>
  <w:footnote w:id="16">
    <w:p w:rsidR="00034BBE" w:rsidP="4000315E">
      <w:pPr>
        <w:pStyle w:val="FootnoteText"/>
      </w:pPr>
      <w:r w:rsidRPr="4000315E">
        <w:rPr>
          <w:rStyle w:val="FootnoteReference"/>
          <w:rFonts w:ascii="Aptos" w:eastAsia="Aptos" w:hAnsi="Aptos" w:cs="Aptos"/>
        </w:rPr>
        <w:footnoteRef/>
      </w:r>
      <w:r w:rsidRPr="4000315E">
        <w:rPr>
          <w:rFonts w:ascii="Aptos" w:eastAsia="Aptos" w:hAnsi="Aptos" w:cs="Aptos"/>
        </w:rPr>
        <w:t xml:space="preserve"> </w:t>
      </w:r>
      <w:r>
        <w:fldChar w:fldCharType="begin"/>
      </w:r>
      <w:r>
        <w:instrText xml:space="preserve"> HYPERLINK "https://www.map.org.uk/news/archive/post/1626-under-siege-map-supports-palestinians-in-tulkarem-amid-escalating-israeli-military-violence" </w:instrText>
      </w:r>
      <w:r>
        <w:fldChar w:fldCharType="separate"/>
      </w:r>
      <w:r w:rsidRPr="4000315E">
        <w:rPr>
          <w:rStyle w:val="Hyperlink"/>
          <w:rFonts w:ascii="Aptos" w:eastAsia="Aptos" w:hAnsi="Aptos" w:cs="Aptos"/>
        </w:rPr>
        <w:t>Under siege: MAP supports Palestinians in Tulkarem amid escalating Israeli military violence - Latest News &amp; Developments - Medical Aid for Palestinians</w:t>
      </w:r>
      <w:r>
        <w:fldChar w:fldCharType="end"/>
      </w:r>
    </w:p>
  </w:footnote>
  <w:footnote w:id="17">
    <w:p w:rsidR="00034BBE" w:rsidP="4000315E">
      <w:pPr>
        <w:pStyle w:val="FootnoteText"/>
      </w:pPr>
      <w:r w:rsidRPr="4000315E">
        <w:rPr>
          <w:rStyle w:val="FootnoteReference"/>
          <w:rFonts w:ascii="Aptos" w:eastAsia="Aptos" w:hAnsi="Aptos" w:cs="Aptos"/>
        </w:rPr>
        <w:footnoteRef/>
      </w:r>
      <w:r w:rsidRPr="4000315E">
        <w:rPr>
          <w:rFonts w:ascii="Aptos" w:eastAsia="Aptos" w:hAnsi="Aptos" w:cs="Aptos"/>
        </w:rPr>
        <w:t xml:space="preserve"> </w:t>
      </w:r>
      <w:r>
        <w:fldChar w:fldCharType="begin"/>
      </w:r>
      <w:r>
        <w:instrText xml:space="preserve"> HYPERLINK "https://news.un.org/en/story/2024/10/1156036" \l ":~:text=About%20a%20quarter%20of%20Lebanon%E2%80%99s%20total%20territory%20remains,of%20the%20UN%20Interim%20Force%20in%20Lebanon%20%28UNIFIL%29." </w:instrText>
      </w:r>
      <w:r>
        <w:fldChar w:fldCharType="separate"/>
      </w:r>
      <w:r w:rsidRPr="4000315E">
        <w:rPr>
          <w:rStyle w:val="Hyperlink"/>
          <w:rFonts w:ascii="Aptos" w:eastAsia="Aptos" w:hAnsi="Aptos" w:cs="Aptos"/>
        </w:rPr>
        <w:t>Civilians and peacekeepers at risk, amid escalating Lebanon conflict | UN News</w:t>
      </w:r>
      <w:r>
        <w:fldChar w:fldCharType="end"/>
      </w:r>
    </w:p>
  </w:footnote>
  <w:footnote w:id="18">
    <w:p w:rsidR="00034BBE" w:rsidP="4000315E">
      <w:pPr>
        <w:pStyle w:val="FootnoteText"/>
      </w:pPr>
      <w:r w:rsidRPr="4000315E">
        <w:rPr>
          <w:rStyle w:val="FootnoteReference"/>
          <w:rFonts w:ascii="Aptos" w:eastAsia="Aptos" w:hAnsi="Aptos" w:cs="Aptos"/>
        </w:rPr>
        <w:footnoteRef/>
      </w:r>
      <w:r w:rsidRPr="4000315E">
        <w:rPr>
          <w:rFonts w:ascii="Aptos" w:eastAsia="Aptos" w:hAnsi="Aptos" w:cs="Aptos"/>
        </w:rPr>
        <w:t xml:space="preserve"> </w:t>
      </w:r>
      <w:r>
        <w:fldChar w:fldCharType="begin"/>
      </w:r>
      <w:r>
        <w:instrText xml:space="preserve"> HYPERLINK "https://apnews.com/article/israel-hezbollah-lebanon-hamas-beirut-strike-bdde87d0d6eeef88fcb004a223bdbf80" </w:instrText>
      </w:r>
      <w:r>
        <w:fldChar w:fldCharType="separate"/>
      </w:r>
      <w:r w:rsidRPr="4000315E">
        <w:rPr>
          <w:rStyle w:val="Hyperlink"/>
          <w:rFonts w:ascii="Aptos" w:eastAsia="Aptos" w:hAnsi="Aptos" w:cs="Aptos"/>
        </w:rPr>
        <w:t xml:space="preserve">Israel strikes a building in southern Beirut, killing at least 4 people | AP </w:t>
      </w:r>
      <w:r w:rsidRPr="4000315E">
        <w:rPr>
          <w:rStyle w:val="Hyperlink"/>
          <w:rFonts w:ascii="Aptos" w:eastAsia="Aptos" w:hAnsi="Aptos" w:cs="Aptos"/>
        </w:rPr>
        <w:t>News</w:t>
      </w:r>
      <w:r>
        <w:fldChar w:fldCharType="end"/>
      </w:r>
    </w:p>
  </w:footnote>
  <w:footnote w:id="19">
    <w:p w:rsidR="00034BBE" w:rsidP="4000315E">
      <w:pPr>
        <w:pStyle w:val="FootnoteText"/>
      </w:pPr>
      <w:r w:rsidRPr="4000315E">
        <w:rPr>
          <w:rStyle w:val="FootnoteReference"/>
          <w:rFonts w:ascii="Aptos" w:eastAsia="Aptos" w:hAnsi="Aptos" w:cs="Aptos"/>
        </w:rPr>
        <w:footnoteRef/>
      </w:r>
      <w:r w:rsidRPr="4000315E">
        <w:rPr>
          <w:rFonts w:ascii="Aptos" w:eastAsia="Aptos" w:hAnsi="Aptos" w:cs="Aptos"/>
        </w:rPr>
        <w:t xml:space="preserve"> </w:t>
      </w:r>
      <w:r>
        <w:fldChar w:fldCharType="begin"/>
      </w:r>
      <w:r>
        <w:instrText xml:space="preserve"> HYPERLINK "https://www.timesofisrael.com/liveblog_entry/katz-clarifies-gaza-aid-wont-resume-yet-only-in-future-when-civilian-mechanism-is-built/" </w:instrText>
      </w:r>
      <w:r>
        <w:fldChar w:fldCharType="separate"/>
      </w:r>
      <w:r w:rsidRPr="4000315E">
        <w:rPr>
          <w:rStyle w:val="Hyperlink"/>
          <w:rFonts w:ascii="Aptos" w:eastAsia="Aptos" w:hAnsi="Aptos" w:cs="Aptos"/>
        </w:rPr>
        <w:t>Katz clarifies Gaza aid won't resume yet, only in future when civilian mechanism is built | The Times of Israel</w:t>
      </w:r>
      <w:r>
        <w:fldChar w:fldCharType="end"/>
      </w:r>
    </w:p>
  </w:footnote>
  <w:footnote w:id="20">
    <w:p w:rsidR="00034BBE" w:rsidP="4000315E">
      <w:pPr>
        <w:pStyle w:val="FootnoteText"/>
      </w:pPr>
      <w:r w:rsidRPr="4000315E">
        <w:rPr>
          <w:rStyle w:val="FootnoteReference"/>
          <w:rFonts w:ascii="Aptos" w:eastAsia="Aptos" w:hAnsi="Aptos" w:cs="Aptos"/>
        </w:rPr>
        <w:footnoteRef/>
      </w:r>
      <w:r w:rsidRPr="4000315E">
        <w:rPr>
          <w:rFonts w:ascii="Aptos" w:eastAsia="Aptos" w:hAnsi="Aptos" w:cs="Aptos"/>
        </w:rPr>
        <w:t xml:space="preserve"> </w:t>
      </w:r>
      <w:r>
        <w:fldChar w:fldCharType="begin"/>
      </w:r>
      <w:r>
        <w:instrText xml:space="preserve"> HYPERLINK "https://www.nysun.com/article/israels-defense-minister-vows-no-humanitarian-aid-to-gaza" </w:instrText>
      </w:r>
      <w:r>
        <w:fldChar w:fldCharType="separate"/>
      </w:r>
      <w:r w:rsidRPr="4000315E">
        <w:rPr>
          <w:rStyle w:val="Hyperlink"/>
          <w:rFonts w:ascii="Aptos" w:eastAsia="Aptos" w:hAnsi="Aptos" w:cs="Aptos"/>
        </w:rPr>
        <w:t>Israel’s Defense Minister Vows ‘No Humanitarian Aid to Gaza’ | The New York Sun</w:t>
      </w:r>
      <w:r>
        <w:fldChar w:fldCharType="end"/>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5CF167"/>
    <w:multiLevelType w:val="hybridMultilevel"/>
    <w:tmpl w:val="FFFFFFFF"/>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1">
    <w:nsid w:val="0DA41114"/>
    <w:multiLevelType w:val="hybridMultilevel"/>
    <w:tmpl w:val="C30654F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3E0330E"/>
    <w:multiLevelType w:val="hybridMultilevel"/>
    <w:tmpl w:val="CD5E1D0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EC7786B"/>
    <w:multiLevelType w:val="hybridMultilevel"/>
    <w:tmpl w:val="CB52C06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7912877"/>
    <w:multiLevelType w:val="multilevel"/>
    <w:tmpl w:val="2F44A2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436E6C2"/>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nsid w:val="357B6505"/>
    <w:multiLevelType w:val="hybridMultilevel"/>
    <w:tmpl w:val="5D18EAA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42580F62"/>
    <w:multiLevelType w:val="hybridMultilevel"/>
    <w:tmpl w:val="FFFFFFFF"/>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8">
    <w:nsid w:val="44C2E949"/>
    <w:multiLevelType w:val="hybridMultilevel"/>
    <w:tmpl w:val="FFFFFFFF"/>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9">
    <w:nsid w:val="4A56115F"/>
    <w:multiLevelType w:val="hybridMultilevel"/>
    <w:tmpl w:val="3A9E3680"/>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4BF9F443"/>
    <w:multiLevelType w:val="hybridMultilevel"/>
    <w:tmpl w:val="FFFFFFFF"/>
    <w:lvl w:ilvl="0">
      <w:start w:val="1"/>
      <w:numFmt w:val="lowerLetter"/>
      <w:lvlText w:val="%1."/>
      <w:lvlJc w:val="left"/>
      <w:pPr>
        <w:ind w:left="720" w:hanging="360"/>
      </w:pPr>
      <w:rPr>
        <w:rFonts w:ascii="Aptos" w:hAnsi="Apto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4CF24149"/>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nsid w:val="4FACE095"/>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
    <w:nsid w:val="50C4447D"/>
    <w:multiLevelType w:val="hybridMultilevel"/>
    <w:tmpl w:val="696A7CD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6E379305"/>
    <w:multiLevelType w:val="hybridMultilevel"/>
    <w:tmpl w:val="FFFFFFFF"/>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15">
    <w:nsid w:val="6E7715D3"/>
    <w:multiLevelType w:val="hybridMultilevel"/>
    <w:tmpl w:val="BAACC788"/>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10"/>
  </w:num>
  <w:num w:numId="2">
    <w:abstractNumId w:val="12"/>
  </w:num>
  <w:num w:numId="3">
    <w:abstractNumId w:val="11"/>
  </w:num>
  <w:num w:numId="4">
    <w:abstractNumId w:val="5"/>
  </w:num>
  <w:num w:numId="5">
    <w:abstractNumId w:val="0"/>
  </w:num>
  <w:num w:numId="6">
    <w:abstractNumId w:val="8"/>
  </w:num>
  <w:num w:numId="7">
    <w:abstractNumId w:val="14"/>
  </w:num>
  <w:num w:numId="8">
    <w:abstractNumId w:val="7"/>
  </w:num>
  <w:num w:numId="9">
    <w:abstractNumId w:val="1"/>
  </w:num>
  <w:num w:numId="10">
    <w:abstractNumId w:val="9"/>
  </w:num>
  <w:num w:numId="11">
    <w:abstractNumId w:val="3"/>
  </w:num>
  <w:num w:numId="12">
    <w:abstractNumId w:val="2"/>
  </w:num>
  <w:num w:numId="13">
    <w:abstractNumId w:val="13"/>
  </w:num>
  <w:num w:numId="14">
    <w:abstractNumId w:val="6"/>
  </w:num>
  <w:num w:numId="15">
    <w:abstractNumId w:val="15"/>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customStyle="1" w:styleId="normaltextrun">
    <w:name w:val="normaltextrun"/>
    <w:basedOn w:val="DefaultParagraphFont"/>
    <w:uiPriority w:val="1"/>
    <w:rsid w:val="4C56FAF5"/>
    <w:rPr>
      <w:rFonts w:asciiTheme="minorHAnsi" w:eastAsiaTheme="minorEastAsia" w:hAnsiTheme="minorHAnsi" w:cstheme="minorBidi"/>
      <w:sz w:val="24"/>
      <w:szCs w:val="24"/>
    </w:rPr>
  </w:style>
  <w:style w:type="paragraph" w:styleId="ListParagraph">
    <w:name w:val="List Paragraph"/>
    <w:basedOn w:val="Normal"/>
    <w:uiPriority w:val="34"/>
    <w:qFormat/>
    <w:rsid w:val="70070B98"/>
    <w:pPr>
      <w:ind w:left="720"/>
      <w:contextualSpacing/>
    </w:pPr>
  </w:style>
  <w:style w:type="character" w:styleId="Hyperlink">
    <w:name w:val="Hyperlink"/>
    <w:basedOn w:val="DefaultParagraphFont"/>
    <w:uiPriority w:val="99"/>
    <w:unhideWhenUsed/>
    <w:rsid w:val="65D6ADB0"/>
    <w:rPr>
      <w:color w:val="467886"/>
      <w:u w:val="single"/>
    </w:rPr>
  </w:style>
  <w:style w:type="paragraph" w:styleId="FootnoteText">
    <w:name w:val="footnote text"/>
    <w:basedOn w:val="Normal"/>
    <w:uiPriority w:val="99"/>
    <w:semiHidden/>
    <w:unhideWhenUsed/>
    <w:rsid w:val="65D6ADB0"/>
    <w:pPr>
      <w:spacing w:after="0" w:line="240" w:lineRule="auto"/>
    </w:pPr>
    <w:rPr>
      <w:sz w:val="20"/>
      <w:szCs w:val="20"/>
    </w:rPr>
  </w:style>
  <w:style w:type="character" w:styleId="FootnoteReference">
    <w:name w:val="footnote reference"/>
    <w:basedOn w:val="DefaultParagraphFont"/>
    <w:uiPriority w:val="99"/>
    <w:semiHidden/>
    <w:unhideWhenUsed/>
    <w:rsid w:val="65D6ADB0"/>
    <w:rPr>
      <w:vertAlign w:val="superscript"/>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0C336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336B"/>
  </w:style>
  <w:style w:type="paragraph" w:styleId="Footer">
    <w:name w:val="footer"/>
    <w:basedOn w:val="Normal"/>
    <w:link w:val="FooterChar"/>
    <w:uiPriority w:val="99"/>
    <w:unhideWhenUsed/>
    <w:rsid w:val="000C336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336B"/>
  </w:style>
  <w:style w:type="paragraph" w:styleId="Revision">
    <w:name w:val="Revision"/>
    <w:hidden/>
    <w:uiPriority w:val="99"/>
    <w:semiHidden/>
    <w:rsid w:val="000C336B"/>
    <w:pPr>
      <w:spacing w:after="0" w:line="240" w:lineRule="auto"/>
    </w:pPr>
  </w:style>
  <w:style w:type="character" w:customStyle="1" w:styleId="UnresolvedMention1">
    <w:name w:val="Unresolved Mention1"/>
    <w:basedOn w:val="DefaultParagraphFont"/>
    <w:uiPriority w:val="99"/>
    <w:semiHidden/>
    <w:unhideWhenUsed/>
    <w:rsid w:val="000C336B"/>
    <w:rPr>
      <w:color w:val="605E5C"/>
      <w:shd w:val="clear" w:color="auto" w:fill="E1DFDD"/>
    </w:rPr>
  </w:style>
  <w:style w:type="character" w:styleId="FollowedHyperlink">
    <w:name w:val="FollowedHyperlink"/>
    <w:basedOn w:val="DefaultParagraphFont"/>
    <w:uiPriority w:val="99"/>
    <w:semiHidden/>
    <w:unhideWhenUsed/>
    <w:rsid w:val="000C336B"/>
    <w:rPr>
      <w:color w:val="96607D" w:themeColor="followedHyperlink"/>
      <w:u w:val="single"/>
    </w:rPr>
  </w:style>
  <w:style w:type="paragraph" w:styleId="CommentSubject">
    <w:name w:val="annotation subject"/>
    <w:basedOn w:val="CommentText"/>
    <w:next w:val="CommentText"/>
    <w:link w:val="CommentSubjectChar"/>
    <w:uiPriority w:val="99"/>
    <w:semiHidden/>
    <w:unhideWhenUsed/>
    <w:rsid w:val="000C336B"/>
    <w:rPr>
      <w:b/>
      <w:bCs/>
    </w:rPr>
  </w:style>
  <w:style w:type="character" w:customStyle="1" w:styleId="CommentSubjectChar">
    <w:name w:val="Comment Subject Char"/>
    <w:basedOn w:val="CommentTextChar"/>
    <w:link w:val="CommentSubject"/>
    <w:uiPriority w:val="99"/>
    <w:semiHidden/>
    <w:rsid w:val="000C336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F72E424856B674083BD5CCD9333CF5A" ma:contentTypeVersion="23" ma:contentTypeDescription="Create a new document." ma:contentTypeScope="" ma:versionID="b9b5821d9e56146842e5cba8d36841b8">
  <xsd:schema xmlns:xsd="http://www.w3.org/2001/XMLSchema" xmlns:xs="http://www.w3.org/2001/XMLSchema" xmlns:p="http://schemas.microsoft.com/office/2006/metadata/properties" xmlns:ns1="http://schemas.microsoft.com/sharepoint/v3" xmlns:ns2="b1bc4b31-b664-401d-8153-6cc159c1dd43" xmlns:ns3="200d4b05-04f7-4619-a9ba-668a71534cda" targetNamespace="http://schemas.microsoft.com/office/2006/metadata/properties" ma:root="true" ma:fieldsID="ad5f22f6aac8a0ddb8673622774face2" ns1:_="" ns2:_="" ns3:_="">
    <xsd:import namespace="http://schemas.microsoft.com/sharepoint/v3"/>
    <xsd:import namespace="b1bc4b31-b664-401d-8153-6cc159c1dd43"/>
    <xsd:import namespace="200d4b05-04f7-4619-a9ba-668a71534cda"/>
    <xsd:element name="properties">
      <xsd:complexType>
        <xsd:sequence>
          <xsd:element name="documentManagement">
            <xsd:complexType>
              <xsd:all>
                <xsd:element ref="ns1:_ip_UnifiedCompliancePolicyProperties" minOccurs="0"/>
                <xsd:element ref="ns1:_ip_UnifiedCompliancePolicyUIAction" minOccurs="0"/>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_Flow_SignoffStatu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1bc4b31-b664-401d-8153-6cc159c1dd43"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LastSharedByUser" ma:index="12" nillable="true" ma:displayName="Last Shared By User" ma:description="" ma:internalName="LastSharedByUser" ma:readOnly="true">
      <xsd:simpleType>
        <xsd:restriction base="dms:Note">
          <xsd:maxLength value="255"/>
        </xsd:restriction>
      </xsd:simpleType>
    </xsd:element>
    <xsd:element name="LastSharedByTime" ma:index="13" nillable="true" ma:displayName="Last Shared By Time" ma:description="" ma:internalName="LastSharedByTime" ma:readOnly="true">
      <xsd:simpleType>
        <xsd:restriction base="dms:DateTime"/>
      </xsd:simpleType>
    </xsd:element>
    <xsd:element name="TaxCatchAll" ma:index="27" nillable="true" ma:displayName="Taxonomy Catch All Column" ma:hidden="true" ma:list="{f7b500b2-1bf6-4607-90ed-41cc9d7c72eb}" ma:internalName="TaxCatchAll" ma:showField="CatchAllData" ma:web="b1bc4b31-b664-401d-8153-6cc159c1dd4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00d4b05-04f7-4619-a9ba-668a71534cda" elementFormDefault="qualified">
    <xsd:import namespace="http://schemas.microsoft.com/office/2006/documentManagement/types"/>
    <xsd:import namespace="http://schemas.microsoft.com/office/infopath/2007/PartnerControls"/>
    <xsd:element name="MediaServiceMetadata" ma:index="14" nillable="true" ma:displayName="MediaServiceMetadata" ma:description="" ma:hidden="true" ma:internalName="MediaServiceMetadata" ma:readOnly="true">
      <xsd:simpleType>
        <xsd:restriction base="dms:Note"/>
      </xsd:simpleType>
    </xsd:element>
    <xsd:element name="MediaServiceFastMetadata" ma:index="15" nillable="true" ma:displayName="MediaServiceFastMetadata" ma:description="" ma:hidden="true" ma:internalName="MediaServiceFastMetadata" ma:readOnly="true">
      <xsd:simpleType>
        <xsd:restriction base="dms:Note"/>
      </xsd:simpleType>
    </xsd:element>
    <xsd:element name="MediaServiceDateTaken" ma:index="16" nillable="true" ma:displayName="MediaServiceDateTaken" ma:description="" ma:hidden="true" ma:internalName="MediaServiceDateTaken" ma:readOnly="true">
      <xsd:simpleType>
        <xsd:restriction base="dms:Text"/>
      </xsd:simpleType>
    </xsd:element>
    <xsd:element name="MediaServiceAutoTags" ma:index="17" nillable="true" ma:displayName="MediaServiceAutoTags" ma:description="" ma:internalName="MediaServiceAutoTags" ma:readOnly="true">
      <xsd:simpleType>
        <xsd:restriction base="dms:Text"/>
      </xsd:simpleType>
    </xsd:element>
    <xsd:element name="MediaServiceLocation" ma:index="18" nillable="true" ma:displayName="MediaServiceLocation" ma:description="" ma:internalName="MediaServiceLocation" ma:readOnly="true">
      <xsd:simpleType>
        <xsd:restriction base="dms:Text"/>
      </xsd:simpleType>
    </xsd:element>
    <xsd:element name="MediaServiceOCR" ma:index="19" nillable="true" ma:displayName="MediaServiceOCR" ma:internalName="MediaServiceOCR" ma:readOnly="true">
      <xsd:simpleType>
        <xsd:restriction base="dms:Note">
          <xsd:maxLength value="255"/>
        </xsd:restriction>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10e6afd2-e2cb-4ead-a2fb-b67efeb42be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_Flow_SignoffStatus" ma:index="29" nillable="true" ma:displayName="Sign-off status" ma:internalName="Sign_x002d_off_x0020_status">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Flow_SignoffStatus xmlns="200d4b05-04f7-4619-a9ba-668a71534cda" xsi:nil="true"/>
    <_ip_UnifiedCompliancePolicyProperties xmlns="http://schemas.microsoft.com/sharepoint/v3" xsi:nil="true"/>
    <lcf76f155ced4ddcb4097134ff3c332f xmlns="200d4b05-04f7-4619-a9ba-668a71534cda">
      <Terms xmlns="http://schemas.microsoft.com/office/infopath/2007/PartnerControls"/>
    </lcf76f155ced4ddcb4097134ff3c332f>
    <TaxCatchAll xmlns="b1bc4b31-b664-401d-8153-6cc159c1dd43" xsi:nil="true"/>
  </documentManagement>
</p:properties>
</file>

<file path=customXml/itemProps1.xml><?xml version="1.0" encoding="utf-8"?>
<ds:datastoreItem xmlns:ds="http://schemas.openxmlformats.org/officeDocument/2006/customXml" ds:itemID="{7F893F87-F72E-4B4F-A9FD-6D1AEA33B1C2}">
  <ds:schemaRefs>
    <ds:schemaRef ds:uri="http://schemas.microsoft.com/sharepoint/v3/contenttype/forms"/>
  </ds:schemaRefs>
</ds:datastoreItem>
</file>

<file path=customXml/itemProps2.xml><?xml version="1.0" encoding="utf-8"?>
<ds:datastoreItem xmlns:ds="http://schemas.openxmlformats.org/officeDocument/2006/customXml" ds:itemID="{47EB2D1C-4417-4D0E-B07A-9AC7234E17B4}">
  <ds:schemaRefs>
    <ds:schemaRef ds:uri="http://schemas.microsoft.com/office/2006/metadata/contentType"/>
    <ds:schemaRef ds:uri="http://schemas.microsoft.com/office/2006/metadata/properties/metaAttributes"/>
    <ds:schemaRef ds:uri="http://www.w3.org/2000/xmlns/"/>
    <ds:schemaRef ds:uri="http://www.w3.org/2001/XMLSchema"/>
    <ds:schemaRef ds:uri="http://schemas.microsoft.com/sharepoint/v3"/>
    <ds:schemaRef ds:uri="b1bc4b31-b664-401d-8153-6cc159c1dd43"/>
    <ds:schemaRef ds:uri="200d4b05-04f7-4619-a9ba-668a71534cda"/>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A4F93E0-065B-4679-8035-93A5A8FC99A2}">
  <ds:schemaRefs>
    <ds:schemaRef ds:uri="http://purl.org/dc/elements/1.1/"/>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200d4b05-04f7-4619-a9ba-668a71534cda"/>
    <ds:schemaRef ds:uri="http://schemas.microsoft.com/office/2006/metadata/properties"/>
    <ds:schemaRef ds:uri="b1bc4b31-b664-401d-8153-6cc159c1dd43"/>
    <ds:schemaRef ds:uri="http://schemas.microsoft.com/sharepoint/v3"/>
    <ds:schemaRef ds:uri="http://www.w3.org/XML/1998/namespace"/>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