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C25C65" w:rsidRPr="00C25C65" w:rsidP="00C25C65">
      <w:pPr>
        <w:spacing w:after="0"/>
        <w:rPr>
          <w:rFonts w:cs="Calibri"/>
          <w:sz w:val="24"/>
          <w:szCs w:val="24"/>
        </w:rPr>
      </w:pPr>
      <w:bookmarkStart w:id="0" w:name="_Hlk111714185"/>
      <w:r w:rsidRPr="00C25C65">
        <w:rPr>
          <w:rFonts w:cs="Calibri"/>
          <w:sz w:val="24"/>
          <w:szCs w:val="24"/>
        </w:rPr>
        <w:t>Make UK, The Manufacturers’ Organisation, is the representative voice of UK manufacturing, with offices in London, every English region and Wales.</w:t>
      </w:r>
    </w:p>
    <w:p w:rsidR="00C25C65" w:rsidRPr="00C25C65" w:rsidP="00C25C65">
      <w:pPr>
        <w:spacing w:after="0"/>
        <w:rPr>
          <w:rFonts w:cs="Calibri"/>
          <w:sz w:val="24"/>
          <w:szCs w:val="24"/>
        </w:rPr>
      </w:pPr>
      <w:r w:rsidRPr="00C25C65">
        <w:rPr>
          <w:rFonts w:cs="Calibri"/>
          <w:sz w:val="24"/>
          <w:szCs w:val="24"/>
        </w:rPr>
        <w:t xml:space="preserve">Collectively we represent 20,000 companies of all sizes, from </w:t>
      </w:r>
      <w:r w:rsidRPr="00C25C65">
        <w:rPr>
          <w:rFonts w:cs="Calibri"/>
          <w:sz w:val="24"/>
          <w:szCs w:val="24"/>
        </w:rPr>
        <w:t>start-ups to multinationals, across engineering, manufacturing, technology and the wider industrial sector. Everything we do – from providing essential business support and training to championing manufacturing industry in the UK and internationally – is designed to help British manufacturers compete, innovate and grow.</w:t>
      </w:r>
    </w:p>
    <w:p w:rsidR="00C25C65" w:rsidRPr="00C25C65" w:rsidP="00C25C65">
      <w:pPr>
        <w:spacing w:after="0"/>
        <w:rPr>
          <w:rFonts w:cs="Calibri"/>
          <w:sz w:val="24"/>
          <w:szCs w:val="24"/>
        </w:rPr>
      </w:pPr>
      <w:r w:rsidRPr="00C25C65">
        <w:rPr>
          <w:rFonts w:cs="Calibri"/>
          <w:sz w:val="24"/>
          <w:szCs w:val="24"/>
        </w:rPr>
        <w:t>From HR and employment law, health and safety to environmental and productivity improvement, our advice, expertise and influence enables businesses to remain safe, compliant and future-focused.</w:t>
      </w:r>
    </w:p>
    <w:p w:rsidR="00C25C65" w:rsidRPr="00C25C65" w:rsidP="00C25C65">
      <w:pPr>
        <w:pStyle w:val="NoSpacing"/>
        <w:spacing w:line="276" w:lineRule="auto"/>
        <w:rPr>
          <w:rFonts w:ascii="Calibri" w:hAnsi="Calibri" w:cs="Calibri"/>
          <w:b/>
          <w:bCs/>
          <w:color w:val="4472C4" w:themeColor="accent1"/>
          <w:sz w:val="24"/>
          <w:szCs w:val="24"/>
        </w:rPr>
      </w:pPr>
      <w:bookmarkEnd w:id="0"/>
      <w:r w:rsidRPr="00C25C65">
        <w:rPr>
          <w:rFonts w:ascii="Calibri" w:hAnsi="Calibri" w:cs="Calibri"/>
          <w:b/>
          <w:bCs/>
          <w:color w:val="4472C4" w:themeColor="accent1"/>
          <w:sz w:val="24"/>
          <w:szCs w:val="24"/>
        </w:rPr>
        <w:t>Overview</w:t>
      </w:r>
    </w:p>
    <w:p w:rsidR="00C25C65" w:rsidRPr="00C25C65" w:rsidP="00C25C65">
      <w:pPr>
        <w:pStyle w:val="NoSpacing"/>
        <w:numPr>
          <w:ilvl w:val="0"/>
          <w:numId w:val="6"/>
        </w:numPr>
        <w:spacing w:line="276" w:lineRule="auto"/>
        <w:ind w:hanging="357"/>
        <w:rPr>
          <w:rFonts w:ascii="Calibri" w:hAnsi="Calibri" w:cs="Calibri"/>
          <w:sz w:val="24"/>
          <w:szCs w:val="24"/>
        </w:rPr>
      </w:pPr>
      <w:r w:rsidRPr="00C25C65">
        <w:rPr>
          <w:rFonts w:ascii="Calibri" w:hAnsi="Calibri" w:cs="Calibri"/>
          <w:sz w:val="24"/>
          <w:szCs w:val="24"/>
        </w:rPr>
        <w:t xml:space="preserve">In Q1 of 2025, around 10% of UK manufacturers reported that they filled few or none of their vacancies over the previous three months. 63% attributed this to a lack of the right technical skills, and 20% received insufficient </w:t>
      </w:r>
      <w:r w:rsidRPr="00C25C65">
        <w:rPr>
          <w:rFonts w:ascii="Calibri" w:hAnsi="Calibri" w:cs="Calibri"/>
          <w:sz w:val="24"/>
          <w:szCs w:val="24"/>
        </w:rPr>
        <w:t>applications for the number of vacancies they had open.</w:t>
      </w:r>
      <w:r>
        <w:rPr>
          <w:rStyle w:val="FootnoteReference"/>
          <w:rFonts w:ascii="Calibri" w:hAnsi="Calibri" w:cs="Calibri"/>
          <w:sz w:val="24"/>
          <w:szCs w:val="24"/>
        </w:rPr>
        <w:footnoteReference w:id="2"/>
      </w:r>
      <w:r w:rsidRPr="00C25C65">
        <w:rPr>
          <w:rFonts w:ascii="Calibri" w:hAnsi="Calibri" w:cs="Calibri"/>
          <w:sz w:val="24"/>
          <w:szCs w:val="24"/>
        </w:rPr>
        <w:t xml:space="preserve"> </w:t>
      </w:r>
    </w:p>
    <w:p w:rsidR="00C25C65" w:rsidRPr="00C25C65" w:rsidP="00C25C65">
      <w:pPr>
        <w:pStyle w:val="NoSpacing"/>
        <w:numPr>
          <w:ilvl w:val="0"/>
          <w:numId w:val="6"/>
        </w:numPr>
        <w:spacing w:line="276" w:lineRule="auto"/>
        <w:ind w:hanging="357"/>
        <w:rPr>
          <w:rFonts w:ascii="Calibri" w:hAnsi="Calibri" w:cs="Calibri"/>
          <w:sz w:val="24"/>
          <w:szCs w:val="24"/>
        </w:rPr>
      </w:pPr>
      <w:r w:rsidRPr="00C25C65">
        <w:rPr>
          <w:rFonts w:ascii="Calibri" w:hAnsi="Calibri" w:cs="Calibri"/>
          <w:sz w:val="24"/>
          <w:szCs w:val="24"/>
        </w:rPr>
        <w:t>Around 1 in 6 manufacturers say that increasing the salary threshold for the skilled worker visa route and removing occupations from the Shortage Occupation List (now Immigration Salary List) have significantly impacted their ability to fill urgent vacancies.</w:t>
      </w:r>
      <w:r>
        <w:rPr>
          <w:rStyle w:val="FootnoteReference"/>
          <w:rFonts w:ascii="Calibri" w:hAnsi="Calibri" w:cs="Calibri"/>
          <w:sz w:val="24"/>
          <w:szCs w:val="24"/>
        </w:rPr>
        <w:footnoteReference w:id="3"/>
      </w:r>
    </w:p>
    <w:p w:rsidR="00C25C65" w:rsidRPr="00C25C65" w:rsidP="00C25C65">
      <w:pPr>
        <w:pStyle w:val="NoSpacing"/>
        <w:numPr>
          <w:ilvl w:val="0"/>
          <w:numId w:val="6"/>
        </w:numPr>
        <w:spacing w:line="276" w:lineRule="auto"/>
        <w:ind w:hanging="357"/>
        <w:rPr>
          <w:rFonts w:ascii="Calibri" w:hAnsi="Calibri" w:cs="Calibri"/>
          <w:sz w:val="24"/>
          <w:szCs w:val="24"/>
        </w:rPr>
      </w:pPr>
      <w:r w:rsidRPr="00C25C65">
        <w:rPr>
          <w:rFonts w:ascii="Calibri" w:hAnsi="Calibri" w:cs="Calibri"/>
          <w:sz w:val="24"/>
          <w:szCs w:val="24"/>
        </w:rPr>
        <w:t xml:space="preserve">Such challenges in recruitment, whether domestic or overseas, have been faced by employers at the same time as a drastic reduction in apprenticeship training. In engineering and manufacturing, the number of </w:t>
      </w:r>
      <w:r w:rsidRPr="00C25C65">
        <w:rPr>
          <w:rFonts w:ascii="Calibri" w:hAnsi="Calibri" w:cs="Calibri"/>
          <w:sz w:val="24"/>
          <w:szCs w:val="24"/>
        </w:rPr>
        <w:t>apprenticeship</w:t>
      </w:r>
      <w:r w:rsidRPr="00C25C65">
        <w:rPr>
          <w:rFonts w:ascii="Calibri" w:hAnsi="Calibri" w:cs="Calibri"/>
          <w:sz w:val="24"/>
          <w:szCs w:val="24"/>
        </w:rPr>
        <w:t xml:space="preserve"> starts declined by 42% between 2015/16 and 2023/24. This has been caused by a range of factors restricting the availability and accessibility of training, such as funding pressures on education providers leading to high-cost courses being scaled back or withdrawn, rising employment costs limiting companies’ internal budgets for skills training, and inflexibility in apprenticeship funding rules for both apprenticeship levy-payers and non-levy-payers.</w:t>
      </w:r>
    </w:p>
    <w:p w:rsidR="00C25C65" w:rsidRPr="00C25C65" w:rsidP="00C25C65">
      <w:pPr>
        <w:pStyle w:val="NoSpacing"/>
        <w:numPr>
          <w:ilvl w:val="0"/>
          <w:numId w:val="6"/>
        </w:numPr>
        <w:spacing w:line="276" w:lineRule="auto"/>
        <w:ind w:hanging="357"/>
        <w:rPr>
          <w:rFonts w:ascii="Calibri" w:hAnsi="Calibri" w:cs="Calibri"/>
          <w:sz w:val="24"/>
          <w:szCs w:val="24"/>
        </w:rPr>
      </w:pPr>
      <w:r w:rsidRPr="00C25C65">
        <w:rPr>
          <w:rFonts w:ascii="Calibri" w:hAnsi="Calibri" w:cs="Calibri"/>
          <w:sz w:val="24"/>
          <w:szCs w:val="24"/>
        </w:rPr>
        <w:t>In both cases, the disproportionate impact has typically been on occupations that sit at RQF level 3 – where occupations are already in shortage and typical salaries are below the revised threshold. In manufacturing, this includes occupations such as:</w:t>
      </w:r>
    </w:p>
    <w:p w:rsidR="00C25C65" w:rsidRPr="00C25C65" w:rsidP="00C25C65">
      <w:pPr>
        <w:pStyle w:val="NoSpacing"/>
        <w:numPr>
          <w:ilvl w:val="1"/>
          <w:numId w:val="6"/>
        </w:numPr>
        <w:spacing w:line="276" w:lineRule="auto"/>
        <w:ind w:hanging="357"/>
        <w:rPr>
          <w:rFonts w:ascii="Calibri" w:hAnsi="Calibri" w:cs="Calibri"/>
          <w:sz w:val="24"/>
          <w:szCs w:val="24"/>
        </w:rPr>
      </w:pPr>
      <w:r w:rsidRPr="00C25C65">
        <w:rPr>
          <w:rFonts w:ascii="Calibri" w:hAnsi="Calibri" w:cs="Calibri"/>
          <w:sz w:val="24"/>
          <w:szCs w:val="24"/>
        </w:rPr>
        <w:t>Tool-makers</w:t>
      </w:r>
    </w:p>
    <w:p w:rsidR="00C25C65" w:rsidRPr="00C25C65" w:rsidP="00C25C65">
      <w:pPr>
        <w:pStyle w:val="NoSpacing"/>
        <w:numPr>
          <w:ilvl w:val="1"/>
          <w:numId w:val="6"/>
        </w:numPr>
        <w:spacing w:line="276" w:lineRule="auto"/>
        <w:ind w:hanging="357"/>
        <w:rPr>
          <w:rFonts w:ascii="Calibri" w:hAnsi="Calibri" w:cs="Calibri"/>
          <w:sz w:val="24"/>
          <w:szCs w:val="24"/>
        </w:rPr>
      </w:pPr>
      <w:r w:rsidRPr="00C25C65">
        <w:rPr>
          <w:rFonts w:ascii="Calibri" w:hAnsi="Calibri" w:cs="Calibri"/>
          <w:sz w:val="24"/>
          <w:szCs w:val="24"/>
        </w:rPr>
        <w:t>CNC machinists</w:t>
      </w:r>
    </w:p>
    <w:p w:rsidR="00C25C65" w:rsidRPr="00C25C65" w:rsidP="00C25C65">
      <w:pPr>
        <w:pStyle w:val="NoSpacing"/>
        <w:numPr>
          <w:ilvl w:val="1"/>
          <w:numId w:val="6"/>
        </w:numPr>
        <w:spacing w:line="276" w:lineRule="auto"/>
        <w:ind w:hanging="357"/>
        <w:rPr>
          <w:rFonts w:ascii="Calibri" w:hAnsi="Calibri" w:cs="Calibri"/>
          <w:sz w:val="24"/>
          <w:szCs w:val="24"/>
        </w:rPr>
      </w:pPr>
      <w:r w:rsidRPr="00C25C65">
        <w:rPr>
          <w:rFonts w:ascii="Calibri" w:hAnsi="Calibri" w:cs="Calibri"/>
          <w:sz w:val="24"/>
          <w:szCs w:val="24"/>
        </w:rPr>
        <w:t>Welders</w:t>
      </w:r>
    </w:p>
    <w:p w:rsidR="00C25C65" w:rsidRPr="00C25C65" w:rsidP="00C25C65">
      <w:pPr>
        <w:pStyle w:val="NoSpacing"/>
        <w:numPr>
          <w:ilvl w:val="1"/>
          <w:numId w:val="6"/>
        </w:numPr>
        <w:spacing w:line="276" w:lineRule="auto"/>
        <w:ind w:hanging="357"/>
        <w:rPr>
          <w:rFonts w:ascii="Calibri" w:hAnsi="Calibri" w:cs="Calibri"/>
          <w:sz w:val="24"/>
          <w:szCs w:val="24"/>
        </w:rPr>
      </w:pPr>
      <w:r w:rsidRPr="00C25C65">
        <w:rPr>
          <w:rFonts w:ascii="Calibri" w:hAnsi="Calibri" w:cs="Calibri"/>
          <w:sz w:val="24"/>
          <w:szCs w:val="24"/>
        </w:rPr>
        <w:t>Metal fabricators</w:t>
      </w:r>
    </w:p>
    <w:p w:rsidR="00C25C65" w:rsidRPr="00C25C65" w:rsidP="00C25C65">
      <w:pPr>
        <w:pStyle w:val="NoSpacing"/>
        <w:numPr>
          <w:ilvl w:val="0"/>
          <w:numId w:val="6"/>
        </w:numPr>
        <w:spacing w:line="276" w:lineRule="auto"/>
        <w:ind w:hanging="357"/>
        <w:rPr>
          <w:rFonts w:ascii="Calibri" w:hAnsi="Calibri" w:cs="Calibri"/>
          <w:sz w:val="24"/>
          <w:szCs w:val="24"/>
        </w:rPr>
      </w:pPr>
      <w:r w:rsidRPr="00C25C65">
        <w:rPr>
          <w:rFonts w:ascii="Calibri" w:hAnsi="Calibri" w:cs="Calibri"/>
          <w:sz w:val="24"/>
          <w:szCs w:val="24"/>
        </w:rPr>
        <w:t>Make UK’s annual recruitment and salary data shows that for all of the above, employers are experiencing longer recruitment lead times and average salaries have increased at a faster rate than other similar occupations.</w:t>
      </w:r>
      <w:r>
        <w:rPr>
          <w:rStyle w:val="FootnoteReference"/>
          <w:rFonts w:ascii="Calibri" w:hAnsi="Calibri" w:cs="Calibri"/>
          <w:sz w:val="24"/>
          <w:szCs w:val="24"/>
        </w:rPr>
        <w:footnoteReference w:id="4"/>
      </w:r>
      <w:r w:rsidRPr="00C25C65">
        <w:rPr>
          <w:rFonts w:ascii="Calibri" w:hAnsi="Calibri" w:cs="Calibri"/>
          <w:sz w:val="24"/>
          <w:szCs w:val="24"/>
        </w:rPr>
        <w:t xml:space="preserve"> Anecdotally, it is recruitment in these areas which has suffered the most since the changes to the skilled worker route were introduced.</w:t>
      </w:r>
    </w:p>
    <w:p w:rsidR="00C25C65" w:rsidRPr="00C25C65" w:rsidP="00C25C65">
      <w:pPr>
        <w:pStyle w:val="NoSpacing"/>
        <w:numPr>
          <w:ilvl w:val="0"/>
          <w:numId w:val="6"/>
        </w:numPr>
        <w:spacing w:line="276" w:lineRule="auto"/>
        <w:ind w:hanging="357"/>
        <w:rPr>
          <w:rFonts w:ascii="Calibri" w:hAnsi="Calibri" w:cs="Calibri"/>
          <w:sz w:val="24"/>
          <w:szCs w:val="24"/>
        </w:rPr>
      </w:pPr>
      <w:r w:rsidRPr="00C25C65">
        <w:rPr>
          <w:rFonts w:ascii="Calibri" w:hAnsi="Calibri" w:cs="Calibri"/>
          <w:sz w:val="24"/>
          <w:szCs w:val="24"/>
        </w:rPr>
        <w:t xml:space="preserve">This means that while ostensibly the policy aim of increasing the cost of overseas recruitment of skilled workers is to encourage employers to recruit and train domestic workers, in fact this has largely had the effect of increasing the proportion of skills-shortage vacancies in sectors like manufacturing and </w:t>
      </w:r>
      <w:r w:rsidRPr="00C25C65">
        <w:rPr>
          <w:rFonts w:ascii="Calibri" w:hAnsi="Calibri" w:cs="Calibri"/>
          <w:sz w:val="24"/>
          <w:szCs w:val="24"/>
        </w:rPr>
        <w:t>lengthening the time taken for employers to fill critical vacancies as they are unable to find the right candidates in the domestic labour market, and cannot access the right training to bring alternative, lower-skilled candidates to occupational competence over the medium term.</w:t>
      </w:r>
    </w:p>
    <w:p w:rsidR="00C25C65" w:rsidRPr="00C25C65" w:rsidP="00C25C65">
      <w:pPr>
        <w:pStyle w:val="NoSpacing"/>
        <w:numPr>
          <w:ilvl w:val="0"/>
          <w:numId w:val="6"/>
        </w:numPr>
        <w:spacing w:line="276" w:lineRule="auto"/>
        <w:ind w:hanging="357"/>
        <w:rPr>
          <w:rFonts w:ascii="Calibri" w:hAnsi="Calibri" w:cs="Calibri"/>
          <w:sz w:val="24"/>
          <w:szCs w:val="24"/>
        </w:rPr>
      </w:pPr>
      <w:r w:rsidRPr="00C25C65">
        <w:rPr>
          <w:rFonts w:ascii="Calibri" w:hAnsi="Calibri" w:cs="Calibri"/>
          <w:sz w:val="24"/>
          <w:szCs w:val="24"/>
        </w:rPr>
        <w:t xml:space="preserve">Anecdotally, we also hear evidence from members about significant challenges with occupations at RQF level 2, such as electroplaters. When the previous government commissioned the most recent review of the Shortage Occupation List, it asked the MAC to consider level 2 </w:t>
      </w:r>
      <w:r w:rsidRPr="00C25C65">
        <w:rPr>
          <w:rFonts w:ascii="Calibri" w:hAnsi="Calibri" w:cs="Calibri"/>
          <w:sz w:val="24"/>
          <w:szCs w:val="24"/>
        </w:rPr>
        <w:t>occupations</w:t>
      </w:r>
      <w:r w:rsidRPr="00C25C65">
        <w:rPr>
          <w:rFonts w:ascii="Calibri" w:hAnsi="Calibri" w:cs="Calibri"/>
          <w:sz w:val="24"/>
          <w:szCs w:val="24"/>
        </w:rPr>
        <w:t xml:space="preserve"> but no recommendations were made or accepted to include level 2 occupations on the SOL to make them eligible for the skilled worker route. The Government should consider where there are significant labour shortages below RQF level 3 and whether there should be exceptional circumstances where such occupations become eligible to use the skilled worker route.</w:t>
      </w:r>
    </w:p>
    <w:p w:rsidR="00C25C65" w:rsidRPr="00C25C65" w:rsidP="00C25C65">
      <w:pPr>
        <w:pStyle w:val="NoSpacing"/>
        <w:spacing w:line="276" w:lineRule="auto"/>
        <w:rPr>
          <w:rFonts w:ascii="Calibri" w:hAnsi="Calibri" w:cs="Calibri"/>
          <w:b/>
          <w:bCs/>
          <w:color w:val="4472C4" w:themeColor="accent1"/>
          <w:sz w:val="24"/>
          <w:szCs w:val="24"/>
        </w:rPr>
      </w:pPr>
      <w:r w:rsidRPr="00C25C65">
        <w:rPr>
          <w:rFonts w:ascii="Calibri" w:hAnsi="Calibri" w:cs="Calibri"/>
          <w:b/>
          <w:bCs/>
          <w:color w:val="4472C4" w:themeColor="accent1"/>
          <w:sz w:val="24"/>
          <w:szCs w:val="24"/>
        </w:rPr>
        <w:t>Solutions</w:t>
      </w:r>
    </w:p>
    <w:p w:rsidR="00C25C65" w:rsidRPr="00C25C65" w:rsidP="00C25C65">
      <w:pPr>
        <w:pStyle w:val="NoSpacing"/>
        <w:numPr>
          <w:ilvl w:val="0"/>
          <w:numId w:val="7"/>
        </w:numPr>
        <w:spacing w:line="276" w:lineRule="auto"/>
        <w:ind w:hanging="357"/>
        <w:rPr>
          <w:rFonts w:ascii="Calibri" w:hAnsi="Calibri" w:cs="Calibri"/>
          <w:sz w:val="24"/>
          <w:szCs w:val="24"/>
        </w:rPr>
      </w:pPr>
      <w:r w:rsidRPr="00C25C65">
        <w:rPr>
          <w:rFonts w:ascii="Calibri" w:hAnsi="Calibri" w:cs="Calibri"/>
          <w:sz w:val="24"/>
          <w:szCs w:val="24"/>
        </w:rPr>
        <w:t>If the Government is to prioritise a policy of reducing net migration by continuing to increase restrictions on eligibility for skilled worker visas, this must be accompanied by a comprehensive plan to improve the skills system and its responsiveness to employer demand. It is positive that the Government has repeatedly committed to the MAC working together with Skills England and the Industrial Strategy Council to identify current and future skills needs across the country, and it is important that immigrat</w:t>
      </w:r>
      <w:r w:rsidRPr="00C25C65">
        <w:rPr>
          <w:rFonts w:ascii="Calibri" w:hAnsi="Calibri" w:cs="Calibri"/>
          <w:sz w:val="24"/>
          <w:szCs w:val="24"/>
        </w:rPr>
        <w:t>ion policy is designed in the context of what employers need to secure growth.</w:t>
      </w:r>
    </w:p>
    <w:p w:rsidR="00C25C65" w:rsidRPr="00C25C65" w:rsidP="00C25C65">
      <w:pPr>
        <w:pStyle w:val="NoSpacing"/>
        <w:numPr>
          <w:ilvl w:val="0"/>
          <w:numId w:val="7"/>
        </w:numPr>
        <w:spacing w:line="276" w:lineRule="auto"/>
        <w:ind w:hanging="357"/>
        <w:rPr>
          <w:rFonts w:ascii="Calibri" w:hAnsi="Calibri" w:cs="Calibri"/>
          <w:sz w:val="24"/>
          <w:szCs w:val="24"/>
        </w:rPr>
      </w:pPr>
      <w:r w:rsidRPr="00C25C65">
        <w:rPr>
          <w:rFonts w:ascii="Calibri" w:hAnsi="Calibri" w:cs="Calibri"/>
          <w:sz w:val="24"/>
          <w:szCs w:val="24"/>
        </w:rPr>
        <w:t>The Prime Minister has referenced the importance of the relationship between immigration and skills policy, and as the Government prepares to publish both an immigration white paper and a post-16 skills strategy in the coming months, there should be a high priority attached to ensuring that the skilled worker visa route is fully open to employers while also supporting them to recruit and train the workers they need from the domestic labour pool in their local communities.</w:t>
      </w:r>
    </w:p>
    <w:p w:rsidR="00C25C65" w:rsidRPr="00C25C65" w:rsidP="00C25C65">
      <w:pPr>
        <w:pStyle w:val="NoSpacing"/>
        <w:numPr>
          <w:ilvl w:val="0"/>
          <w:numId w:val="7"/>
        </w:numPr>
        <w:spacing w:line="276" w:lineRule="auto"/>
        <w:ind w:hanging="357"/>
        <w:rPr>
          <w:rFonts w:ascii="Calibri" w:hAnsi="Calibri" w:cs="Calibri"/>
          <w:sz w:val="24"/>
          <w:szCs w:val="24"/>
        </w:rPr>
      </w:pPr>
      <w:r w:rsidRPr="00C25C65">
        <w:rPr>
          <w:rFonts w:ascii="Calibri" w:hAnsi="Calibri" w:cs="Calibri"/>
          <w:sz w:val="24"/>
          <w:szCs w:val="24"/>
        </w:rPr>
        <w:t>As a first step, the Government should:</w:t>
      </w:r>
    </w:p>
    <w:p w:rsidR="00C25C65" w:rsidRPr="00C25C65" w:rsidP="00C25C65">
      <w:pPr>
        <w:pStyle w:val="NoSpacing"/>
        <w:numPr>
          <w:ilvl w:val="1"/>
          <w:numId w:val="7"/>
        </w:numPr>
        <w:spacing w:line="276" w:lineRule="auto"/>
        <w:ind w:hanging="357"/>
        <w:rPr>
          <w:rFonts w:ascii="Calibri" w:hAnsi="Calibri" w:cs="Calibri"/>
          <w:sz w:val="24"/>
          <w:szCs w:val="24"/>
        </w:rPr>
      </w:pPr>
      <w:r w:rsidRPr="00C25C65">
        <w:rPr>
          <w:rFonts w:ascii="Calibri" w:hAnsi="Calibri" w:cs="Calibri"/>
          <w:b/>
          <w:bCs/>
          <w:sz w:val="24"/>
          <w:szCs w:val="24"/>
        </w:rPr>
        <w:t>Introduce apprenticeship incentives linked to shortage and high-growth occupations.</w:t>
      </w:r>
      <w:r w:rsidRPr="00C25C65">
        <w:rPr>
          <w:rFonts w:ascii="Calibri" w:hAnsi="Calibri" w:cs="Calibri"/>
          <w:sz w:val="24"/>
          <w:szCs w:val="24"/>
        </w:rPr>
        <w:t xml:space="preserve"> Following the example of other points-based immigration systems like Australia, the Government should move back to the Shortage Occupation List and introduce financial incentives for employers and learners to take up apprenticeship training linked to occupations included on the list. The labour market data produced by the MAC, Skills England and Industrial Strategy Council should also identify high-growth occupations in priority sectors also to be eligible for financial incentives. This should be funded by</w:t>
      </w:r>
      <w:r w:rsidRPr="00C25C65">
        <w:rPr>
          <w:rFonts w:ascii="Calibri" w:hAnsi="Calibri" w:cs="Calibri"/>
          <w:sz w:val="24"/>
          <w:szCs w:val="24"/>
        </w:rPr>
        <w:t xml:space="preserve"> revenue collected from the Immigration Skills Charge.</w:t>
      </w:r>
    </w:p>
    <w:sectPr w:rsidSect="00C25C65">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 Pro">
    <w:altName w:val="Cambria"/>
    <w:charset w:val="00"/>
    <w:family w:val="roman"/>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5C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5C65" w:rsidP="00C25C65">
    <w:pPr>
      <w:pStyle w:val="Footer"/>
    </w:pPr>
  </w:p>
  <w:p w:rsidR="00C25C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5C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C25C65" w:rsidP="009113F4">
      <w:pPr>
        <w:spacing w:after="0" w:line="240" w:lineRule="auto"/>
      </w:pPr>
      <w:r>
        <w:separator/>
      </w:r>
    </w:p>
  </w:footnote>
  <w:footnote w:type="continuationSeparator" w:id="1">
    <w:p w:rsidR="00C25C65" w:rsidP="009113F4">
      <w:pPr>
        <w:spacing w:after="0" w:line="240" w:lineRule="auto"/>
      </w:pPr>
      <w:r>
        <w:continuationSeparator/>
      </w:r>
    </w:p>
  </w:footnote>
  <w:footnote w:id="2">
    <w:p w:rsidR="00C25C65" w:rsidRPr="00C25C65" w:rsidP="007A6E6C">
      <w:pPr>
        <w:pStyle w:val="FootnoteText"/>
        <w:rPr>
          <w:sz w:val="16"/>
          <w:szCs w:val="16"/>
        </w:rPr>
      </w:pPr>
      <w:r w:rsidRPr="00C25C65">
        <w:rPr>
          <w:rStyle w:val="FootnoteReference"/>
          <w:sz w:val="16"/>
          <w:szCs w:val="16"/>
        </w:rPr>
        <w:footnoteRef/>
      </w:r>
      <w:r w:rsidRPr="00C25C65">
        <w:rPr>
          <w:sz w:val="16"/>
          <w:szCs w:val="16"/>
        </w:rPr>
        <w:t xml:space="preserve"> </w:t>
      </w:r>
      <w:r>
        <w:fldChar w:fldCharType="begin"/>
      </w:r>
      <w:r>
        <w:instrText xml:space="preserve"> HYPERLINK "https://www.makeuk.org/insights/reports/hr-bulletin-q1-2025" </w:instrText>
      </w:r>
      <w:r>
        <w:fldChar w:fldCharType="separate"/>
      </w:r>
      <w:r w:rsidRPr="00C25C65">
        <w:rPr>
          <w:rStyle w:val="Hyperlink"/>
          <w:sz w:val="16"/>
          <w:szCs w:val="16"/>
        </w:rPr>
        <w:t>HR Bulletin Q1 2025 | Make UK</w:t>
      </w:r>
      <w:r>
        <w:fldChar w:fldCharType="end"/>
      </w:r>
    </w:p>
  </w:footnote>
  <w:footnote w:id="3">
    <w:p w:rsidR="00C25C65" w:rsidRPr="00C25C65" w:rsidP="007A6E6C">
      <w:pPr>
        <w:pStyle w:val="FootnoteText"/>
        <w:rPr>
          <w:sz w:val="16"/>
          <w:szCs w:val="16"/>
        </w:rPr>
      </w:pPr>
      <w:r w:rsidRPr="00C25C65">
        <w:rPr>
          <w:rStyle w:val="FootnoteReference"/>
          <w:sz w:val="16"/>
          <w:szCs w:val="16"/>
        </w:rPr>
        <w:footnoteRef/>
      </w:r>
      <w:r w:rsidRPr="00C25C65">
        <w:rPr>
          <w:sz w:val="16"/>
          <w:szCs w:val="16"/>
        </w:rPr>
        <w:t xml:space="preserve"> Make UK ‘Sustainable workforce’ member survey, 2024</w:t>
      </w:r>
    </w:p>
  </w:footnote>
  <w:footnote w:id="4">
    <w:p w:rsidR="00C25C65" w:rsidP="007A6E6C">
      <w:pPr>
        <w:pStyle w:val="FootnoteText"/>
      </w:pPr>
      <w:r w:rsidRPr="00C25C65">
        <w:rPr>
          <w:rStyle w:val="FootnoteReference"/>
          <w:sz w:val="16"/>
          <w:szCs w:val="16"/>
        </w:rPr>
        <w:footnoteRef/>
      </w:r>
      <w:r w:rsidRPr="00C25C65">
        <w:rPr>
          <w:sz w:val="16"/>
          <w:szCs w:val="16"/>
        </w:rPr>
        <w:t xml:space="preserve"> </w:t>
      </w:r>
      <w:r>
        <w:fldChar w:fldCharType="begin"/>
      </w:r>
      <w:r>
        <w:instrText xml:space="preserve"> HYPERLINK "https://www.makeuk.org/insights/reports/salary-guide-2025" </w:instrText>
      </w:r>
      <w:r>
        <w:fldChar w:fldCharType="separate"/>
      </w:r>
      <w:r w:rsidRPr="00C25C65">
        <w:rPr>
          <w:rStyle w:val="Hyperlink"/>
          <w:sz w:val="16"/>
          <w:szCs w:val="16"/>
        </w:rPr>
        <w:t>Manufacturing Salary Guide 2025 | Make UK</w:t>
      </w:r>
      <w:r>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5C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5C65" w:rsidRPr="00C25C65" w:rsidP="00C25C65">
    <w:pPr>
      <w:pStyle w:val="Header"/>
      <w:jc w:val="center"/>
      <w:rPr>
        <w:b/>
        <w:bCs/>
        <w:sz w:val="28"/>
        <w:szCs w:val="28"/>
      </w:rPr>
    </w:pPr>
    <w:r w:rsidRPr="00C25C65">
      <w:rPr>
        <w:b/>
        <w:bCs/>
        <w:sz w:val="28"/>
        <w:szCs w:val="28"/>
      </w:rPr>
      <w:t>Written evidence submitted by Make UK (IMM0018)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5C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5FA7AF2"/>
    <w:multiLevelType w:val="hybridMultilevel"/>
    <w:tmpl w:val="D4126C78"/>
    <w:lvl w:ilvl="0">
      <w:start w:val="1"/>
      <w:numFmt w:val="decimal"/>
      <w:lvlText w:val="%1."/>
      <w:lvlJc w:val="left"/>
      <w:pPr>
        <w:ind w:left="360" w:hanging="360"/>
      </w:pPr>
    </w:lvl>
    <w:lvl w:ilvl="1">
      <w:start w:val="1"/>
      <w:numFmt w:val="lowerLetter"/>
      <w:lvlText w:val="%2."/>
      <w:lvlJc w:val="left"/>
      <w:pPr>
        <w:ind w:left="121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
    <w:nsid w:val="09E96957"/>
    <w:multiLevelType w:val="hybridMultilevel"/>
    <w:tmpl w:val="DA3E18F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8BB049C"/>
    <w:multiLevelType w:val="hybridMultilevel"/>
    <w:tmpl w:val="F0C6632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232E5780"/>
    <w:multiLevelType w:val="hybridMultilevel"/>
    <w:tmpl w:val="5B1CD59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28E525E2"/>
    <w:multiLevelType w:val="hybridMultilevel"/>
    <w:tmpl w:val="14345D4C"/>
    <w:lvl w:ilvl="0">
      <w:start w:val="1"/>
      <w:numFmt w:val="decimal"/>
      <w:lvlText w:val="%1."/>
      <w:lvlJc w:val="left"/>
      <w:pPr>
        <w:ind w:left="360" w:hanging="360"/>
      </w:pPr>
    </w:lvl>
    <w:lvl w:ilvl="1">
      <w:start w:val="1"/>
      <w:numFmt w:val="lowerLetter"/>
      <w:lvlText w:val="%2."/>
      <w:lvlJc w:val="left"/>
      <w:pPr>
        <w:ind w:left="927"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
    <w:nsid w:val="70577E86"/>
    <w:multiLevelType w:val="hybridMultilevel"/>
    <w:tmpl w:val="F9A84AC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784B38F2"/>
    <w:multiLevelType w:val="hybridMultilevel"/>
    <w:tmpl w:val="C4521C2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
  </w:num>
  <w:num w:numId="2">
    <w:abstractNumId w:val="1"/>
  </w:num>
  <w:num w:numId="3">
    <w:abstractNumId w:val="6"/>
  </w:num>
  <w:num w:numId="4">
    <w:abstractNumId w:val="2"/>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oNotTrackMoves/>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mathPr>
  <w:themeFontLang w:val="en-GB"/>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0AAA"/>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1B6285"/>
    <w:pPr>
      <w:autoSpaceDE w:val="0"/>
      <w:autoSpaceDN w:val="0"/>
      <w:adjustRightInd w:val="0"/>
      <w:spacing w:after="0" w:line="288" w:lineRule="auto"/>
      <w:textAlignment w:val="center"/>
    </w:pPr>
    <w:rPr>
      <w:rFonts w:ascii="Minion Pro" w:hAnsi="Minion Pro" w:eastAsiaTheme="minorHAnsi" w:cs="Minion Pro"/>
      <w:color w:val="000000"/>
      <w:sz w:val="24"/>
      <w:szCs w:val="24"/>
    </w:rPr>
  </w:style>
  <w:style w:type="paragraph" w:styleId="ListParagraph">
    <w:name w:val="List Paragraph"/>
    <w:basedOn w:val="Normal"/>
    <w:uiPriority w:val="34"/>
    <w:qFormat/>
    <w:rsid w:val="000F5CA4"/>
    <w:pPr>
      <w:ind w:left="720"/>
      <w:contextualSpacing/>
    </w:pPr>
  </w:style>
  <w:style w:type="table" w:customStyle="1" w:styleId="PlainTable11">
    <w:name w:val="Plain Table 11"/>
    <w:basedOn w:val="TableNormal"/>
    <w:uiPriority w:val="41"/>
    <w:rsid w:val="00E915C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noteText">
    <w:name w:val="footnote text"/>
    <w:basedOn w:val="Normal"/>
    <w:link w:val="FootnoteTextChar"/>
    <w:uiPriority w:val="99"/>
    <w:semiHidden/>
    <w:unhideWhenUsed/>
    <w:rsid w:val="009113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13F4"/>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9113F4"/>
    <w:rPr>
      <w:vertAlign w:val="superscript"/>
    </w:rPr>
  </w:style>
  <w:style w:type="character" w:styleId="Hyperlink">
    <w:name w:val="Hyperlink"/>
    <w:basedOn w:val="DefaultParagraphFont"/>
    <w:uiPriority w:val="99"/>
    <w:unhideWhenUsed/>
    <w:rsid w:val="00CF0183"/>
    <w:rPr>
      <w:color w:val="0000FF"/>
      <w:u w:val="single"/>
    </w:rPr>
  </w:style>
  <w:style w:type="paragraph" w:styleId="Revision">
    <w:name w:val="Revision"/>
    <w:hidden/>
    <w:uiPriority w:val="99"/>
    <w:semiHidden/>
    <w:rsid w:val="00EE08D6"/>
    <w:rPr>
      <w:rFonts w:ascii="Calibri" w:eastAsia="Calibri" w:hAnsi="Calibri" w:cs="Times New Roman"/>
      <w:sz w:val="22"/>
      <w:szCs w:val="22"/>
    </w:rPr>
  </w:style>
  <w:style w:type="character" w:styleId="CommentReference">
    <w:name w:val="annotation reference"/>
    <w:basedOn w:val="DefaultParagraphFont"/>
    <w:uiPriority w:val="99"/>
    <w:semiHidden/>
    <w:unhideWhenUsed/>
    <w:rsid w:val="00EE08D6"/>
    <w:rPr>
      <w:sz w:val="16"/>
      <w:szCs w:val="16"/>
    </w:rPr>
  </w:style>
  <w:style w:type="paragraph" w:styleId="CommentText">
    <w:name w:val="annotation text"/>
    <w:basedOn w:val="Normal"/>
    <w:link w:val="CommentTextChar"/>
    <w:uiPriority w:val="99"/>
    <w:unhideWhenUsed/>
    <w:rsid w:val="00EE08D6"/>
    <w:pPr>
      <w:spacing w:line="240" w:lineRule="auto"/>
    </w:pPr>
    <w:rPr>
      <w:sz w:val="20"/>
      <w:szCs w:val="20"/>
    </w:rPr>
  </w:style>
  <w:style w:type="character" w:customStyle="1" w:styleId="CommentTextChar">
    <w:name w:val="Comment Text Char"/>
    <w:basedOn w:val="DefaultParagraphFont"/>
    <w:link w:val="CommentText"/>
    <w:uiPriority w:val="99"/>
    <w:rsid w:val="00EE08D6"/>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E08D6"/>
    <w:rPr>
      <w:b/>
      <w:bCs/>
    </w:rPr>
  </w:style>
  <w:style w:type="character" w:customStyle="1" w:styleId="CommentSubjectChar">
    <w:name w:val="Comment Subject Char"/>
    <w:basedOn w:val="CommentTextChar"/>
    <w:link w:val="CommentSubject"/>
    <w:uiPriority w:val="99"/>
    <w:semiHidden/>
    <w:rsid w:val="00EE08D6"/>
    <w:rPr>
      <w:rFonts w:ascii="Calibri" w:eastAsia="Calibri" w:hAnsi="Calibri" w:cs="Times New Roman"/>
      <w:b/>
      <w:bCs/>
      <w:sz w:val="20"/>
      <w:szCs w:val="20"/>
    </w:rPr>
  </w:style>
  <w:style w:type="table" w:styleId="TableGrid">
    <w:name w:val="Table Grid"/>
    <w:basedOn w:val="TableNormal"/>
    <w:uiPriority w:val="39"/>
    <w:rsid w:val="00AF5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95AEB"/>
    <w:rPr>
      <w:color w:val="605E5C"/>
      <w:shd w:val="clear" w:color="auto" w:fill="E1DFDD"/>
    </w:rPr>
  </w:style>
  <w:style w:type="paragraph" w:styleId="Header">
    <w:name w:val="header"/>
    <w:basedOn w:val="Normal"/>
    <w:link w:val="HeaderChar"/>
    <w:uiPriority w:val="99"/>
    <w:unhideWhenUsed/>
    <w:rsid w:val="001B3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6C8"/>
    <w:rPr>
      <w:rFonts w:ascii="Calibri" w:eastAsia="Calibri" w:hAnsi="Calibri" w:cs="Times New Roman"/>
      <w:sz w:val="22"/>
      <w:szCs w:val="22"/>
    </w:rPr>
  </w:style>
  <w:style w:type="paragraph" w:styleId="Footer">
    <w:name w:val="footer"/>
    <w:basedOn w:val="Normal"/>
    <w:link w:val="FooterChar"/>
    <w:uiPriority w:val="99"/>
    <w:unhideWhenUsed/>
    <w:rsid w:val="001B3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6C8"/>
    <w:rPr>
      <w:rFonts w:ascii="Calibri" w:eastAsia="Calibri" w:hAnsi="Calibri" w:cs="Times New Roman"/>
      <w:sz w:val="22"/>
      <w:szCs w:val="22"/>
    </w:rPr>
  </w:style>
  <w:style w:type="paragraph" w:styleId="NoSpacing">
    <w:name w:val="No Spacing"/>
    <w:uiPriority w:val="1"/>
    <w:qFormat/>
    <w:rsid w:val="00453338"/>
    <w:rPr>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&#65279;<?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97ace7c-0b56-4f6f-b643-0bd1a98bde26">
      <Value>161</Value>
      <Value>126</Value>
    </TaxCatchAll>
    <k3f27f2a2f1c467eac1cfa6c96ebf923 xmlns="3f7f42ea-7ac8-4336-a1c0-09734e4f4cb9">
      <Terms xmlns="http://schemas.microsoft.com/office/infopath/2007/PartnerControls">
        <TermInfo xmlns="http://schemas.microsoft.com/office/infopath/2007/PartnerControls">
          <TermName xmlns="http://schemas.microsoft.com/office/infopath/2007/PartnerControls">Templates</TermName>
          <TermId xmlns="http://schemas.microsoft.com/office/infopath/2007/PartnerControls">bdfae46e-3187-43dd-9f91-69c3dc5c0f89</TermId>
        </TermInfo>
      </Terms>
    </k3f27f2a2f1c467eac1cfa6c96ebf923>
    <adc2a2b9b7c747afaef1be093075fa11 xmlns="3f7f42ea-7ac8-4336-a1c0-09734e4f4cb9">
      <Terms xmlns="http://schemas.microsoft.com/office/infopath/2007/PartnerControls">
        <TermInfo xmlns="http://schemas.microsoft.com/office/infopath/2007/PartnerControls">
          <TermName xmlns="http://schemas.microsoft.com/office/infopath/2007/PartnerControls">MAKE UK</TermName>
          <TermId xmlns="http://schemas.microsoft.com/office/infopath/2007/PartnerControls">5095317a-88c8-4808-92c7-3ed77325bd0d</TermId>
        </TermInfo>
      </Terms>
    </adc2a2b9b7c747afaef1be093075fa11>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CC8AFBEAA7C91439451DFADB4ED6F6A" ma:contentTypeVersion="5" ma:contentTypeDescription="Create a new document." ma:contentTypeScope="" ma:versionID="26a9938620841f0954aa9f183bddb3f0">
  <xsd:schema xmlns:xsd="http://www.w3.org/2001/XMLSchema" xmlns:xs="http://www.w3.org/2001/XMLSchema" xmlns:p="http://schemas.microsoft.com/office/2006/metadata/properties" xmlns:ns2="3f7f42ea-7ac8-4336-a1c0-09734e4f4cb9" xmlns:ns3="697ace7c-0b56-4f6f-b643-0bd1a98bde26" targetNamespace="http://schemas.microsoft.com/office/2006/metadata/properties" ma:root="true" ma:fieldsID="784c5101526506d9d57686595e432857" ns2:_="" ns3:_="">
    <xsd:import namespace="3f7f42ea-7ac8-4336-a1c0-09734e4f4cb9"/>
    <xsd:import namespace="697ace7c-0b56-4f6f-b643-0bd1a98bde26"/>
    <xsd:element name="properties">
      <xsd:complexType>
        <xsd:sequence>
          <xsd:element name="documentManagement">
            <xsd:complexType>
              <xsd:all>
                <xsd:element ref="ns2:adc2a2b9b7c747afaef1be093075fa11" minOccurs="0"/>
                <xsd:element ref="ns3:TaxCatchAll" minOccurs="0"/>
                <xsd:element ref="ns2:k3f27f2a2f1c467eac1cfa6c96ebf92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7f42ea-7ac8-4336-a1c0-09734e4f4cb9" elementFormDefault="qualified">
    <xsd:import namespace="http://schemas.microsoft.com/office/2006/documentManagement/types"/>
    <xsd:import namespace="http://schemas.microsoft.com/office/infopath/2007/PartnerControls"/>
    <xsd:element name="adc2a2b9b7c747afaef1be093075fa11" ma:index="9" ma:taxonomy="true" ma:internalName="adc2a2b9b7c747afaef1be093075fa11" ma:taxonomyFieldName="Brand" ma:displayName="Brand" ma:default="" ma:fieldId="{adc2a2b9-b7c7-47af-aef1-be093075fa11}" ma:sspId="46d7ae98-782e-4945-b4fe-737f048f21dd" ma:termSetId="920aaea0-24e1-4d22-85ae-6d688d69a6b0" ma:anchorId="00000000-0000-0000-0000-000000000000" ma:open="false" ma:isKeyword="false">
      <xsd:complexType>
        <xsd:sequence>
          <xsd:element ref="pc:Terms" minOccurs="0" maxOccurs="1"/>
        </xsd:sequence>
      </xsd:complexType>
    </xsd:element>
    <xsd:element name="k3f27f2a2f1c467eac1cfa6c96ebf923" ma:index="12" nillable="true" ma:taxonomy="true" ma:internalName="k3f27f2a2f1c467eac1cfa6c96ebf923" ma:taxonomyFieldName="Stationery_x0020_type" ma:displayName="Stationery type" ma:default="" ma:fieldId="{43f27f2a-2f1c-467e-ac1c-fa6c96ebf923}" ma:sspId="46d7ae98-782e-4945-b4fe-737f048f21dd" ma:termSetId="920aaea0-24e1-4d22-85ae-6d688d69a6b0" ma:anchorId="cb471e4e-6b0a-4510-b87c-281ce6e579b9"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97ace7c-0b56-4f6f-b643-0bd1a98bde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4f5d330-6ee4-43b7-893f-532b540f6d61}" ma:internalName="TaxCatchAll" ma:showField="CatchAllData" ma:web="697ace7c-0b56-4f6f-b643-0bd1a98bde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8875C3-3F1A-488E-A0D8-CEAE6C10E714}">
  <ds:schemaRefs>
    <ds:schemaRef ds:uri="http://purl.org/dc/elements/1.1/"/>
    <ds:schemaRef ds:uri="http://schemas.microsoft.com/office/2006/metadata/properties"/>
    <ds:schemaRef ds:uri="http://schemas.openxmlformats.org/package/2006/metadata/core-properties"/>
    <ds:schemaRef ds:uri="3f7f42ea-7ac8-4336-a1c0-09734e4f4cb9"/>
    <ds:schemaRef ds:uri="http://purl.org/dc/terms/"/>
    <ds:schemaRef ds:uri="697ace7c-0b56-4f6f-b643-0bd1a98bde26"/>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CC356A0-1EC0-44E3-BBD6-C2F1B7575562}">
  <ds:schemaRefs>
    <ds:schemaRef ds:uri="http://schemas.openxmlformats.org/officeDocument/2006/bibliography"/>
  </ds:schemaRefs>
</ds:datastoreItem>
</file>

<file path=customXml/itemProps3.xml><?xml version="1.0" encoding="utf-8"?>
<ds:datastoreItem xmlns:ds="http://schemas.openxmlformats.org/officeDocument/2006/customXml" ds:itemID="{245C2D77-4284-4586-B805-8F23A44C4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7f42ea-7ac8-4336-a1c0-09734e4f4cb9"/>
    <ds:schemaRef ds:uri="697ace7c-0b56-4f6f-b643-0bd1a98bde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33AE46-FD5C-4ED4-9F44-382EDE7E05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