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7075" w:rsidRPr="00EF0067" w:rsidP="00EF0067">
      <w:pPr>
        <w:spacing w:after="0" w:line="288" w:lineRule="auto"/>
        <w:rPr>
          <w:rFonts w:eastAsia="Aptos"/>
          <w:b/>
        </w:rPr>
      </w:pPr>
      <w:r w:rsidRPr="00EF0067">
        <w:rPr>
          <w:rFonts w:eastAsia="Aptos"/>
          <w:b/>
        </w:rPr>
        <w:t>About the National Partnership in Early Learning and Childcare (</w:t>
      </w:r>
      <w:r w:rsidRPr="00EF0067">
        <w:rPr>
          <w:rFonts w:eastAsia="Aptos"/>
          <w:b/>
        </w:rPr>
        <w:t>NPELC</w:t>
      </w:r>
      <w:r w:rsidRPr="00EF0067">
        <w:rPr>
          <w:rFonts w:eastAsia="Aptos"/>
          <w:b/>
        </w:rPr>
        <w:t>)</w:t>
      </w:r>
    </w:p>
    <w:p w:rsidR="00B37075" w:rsidRPr="00EF0067" w:rsidP="00EF0067">
      <w:pPr>
        <w:spacing w:after="0" w:line="288" w:lineRule="auto"/>
        <w:rPr>
          <w:rFonts w:eastAsia="Aptos"/>
        </w:rPr>
      </w:pPr>
      <w:r w:rsidRPr="00EF0067">
        <w:rPr>
          <w:rFonts w:eastAsia="Aptos"/>
        </w:rPr>
        <w:t>The National Partnership in Early Learning and Childcare (</w:t>
      </w:r>
      <w:r w:rsidRPr="00EF0067">
        <w:rPr>
          <w:rFonts w:eastAsia="Aptos"/>
        </w:rPr>
        <w:t>NPELC</w:t>
      </w:r>
      <w:r w:rsidRPr="00EF0067">
        <w:rPr>
          <w:rFonts w:eastAsia="Aptos"/>
        </w:rPr>
        <w:t>) consists of 10 of the largest nursery groups across England. Collectively, the group cares for and educates over 160,000 babies and young children and employs almost 40,000 staff across 1,355 locations across England. Collectively our members offer nursery places to more than a third of the country’s low-income babies and children, working in areas of deprivation up and down the country to support better outcomes for young children.</w:t>
      </w:r>
    </w:p>
    <w:p w:rsidR="00B37075" w:rsidRPr="00EF0067" w:rsidP="00EF0067">
      <w:pPr>
        <w:spacing w:after="0" w:line="288" w:lineRule="auto"/>
        <w:rPr>
          <w:rFonts w:eastAsia="Aptos"/>
          <w:b/>
        </w:rPr>
      </w:pPr>
      <w:r w:rsidRPr="00EF0067">
        <w:rPr>
          <w:rFonts w:eastAsia="Aptos"/>
          <w:b/>
        </w:rPr>
        <w:t xml:space="preserve">Overview </w:t>
      </w:r>
    </w:p>
    <w:p w:rsidR="00B37075" w:rsidRPr="00EF0067" w:rsidP="00EF0067">
      <w:pPr>
        <w:numPr>
          <w:ilvl w:val="0"/>
          <w:numId w:val="1"/>
        </w:numPr>
        <w:pBdr>
          <w:top w:val="nil"/>
          <w:left w:val="nil"/>
          <w:bottom w:val="nil"/>
          <w:right w:val="nil"/>
          <w:between w:val="nil"/>
        </w:pBdr>
        <w:spacing w:after="0" w:line="288" w:lineRule="auto"/>
        <w:rPr>
          <w:rFonts w:eastAsia="Aptos"/>
          <w:color w:val="000000"/>
        </w:rPr>
      </w:pPr>
      <w:r w:rsidRPr="00EF0067">
        <w:rPr>
          <w:rFonts w:eastAsia="Aptos"/>
          <w:color w:val="000000"/>
        </w:rPr>
        <w:t>As of April 4, 2024, the Government increased the general salary threshold for Skilled Worker visas from £26,200 to £38,700 per annum. For the early years sector, where many essential roles- including nursery practitioners and teaching assistants - earn significantly below this level, these changes have made it financially unviable to sponsor overseas workers.</w:t>
      </w:r>
    </w:p>
    <w:p w:rsidR="00B37075" w:rsidRPr="00EF0067" w:rsidP="00EF0067">
      <w:pPr>
        <w:numPr>
          <w:ilvl w:val="0"/>
          <w:numId w:val="1"/>
        </w:numPr>
        <w:pBdr>
          <w:top w:val="nil"/>
          <w:left w:val="nil"/>
          <w:bottom w:val="nil"/>
          <w:right w:val="nil"/>
          <w:between w:val="nil"/>
        </w:pBdr>
        <w:spacing w:after="0" w:line="288" w:lineRule="auto"/>
        <w:rPr>
          <w:rFonts w:eastAsia="Aptos"/>
          <w:color w:val="000000"/>
        </w:rPr>
      </w:pPr>
      <w:r w:rsidRPr="00EF0067">
        <w:rPr>
          <w:rFonts w:eastAsia="Aptos"/>
          <w:color w:val="000000"/>
        </w:rPr>
        <w:t>Additionally, the removal of the 20% salary discount for roles on the Shortage Occupation List has further raised the bar for recruitment in roles previously identified as experiencing workforce shortages.</w:t>
      </w:r>
    </w:p>
    <w:p w:rsidR="00B37075" w:rsidRPr="00EF0067" w:rsidP="00EF0067">
      <w:pPr>
        <w:numPr>
          <w:ilvl w:val="0"/>
          <w:numId w:val="1"/>
        </w:numPr>
        <w:pBdr>
          <w:top w:val="nil"/>
          <w:left w:val="nil"/>
          <w:bottom w:val="nil"/>
          <w:right w:val="nil"/>
          <w:between w:val="nil"/>
        </w:pBdr>
        <w:spacing w:after="0" w:line="288" w:lineRule="auto"/>
        <w:rPr>
          <w:rFonts w:eastAsia="Aptos"/>
          <w:color w:val="000000"/>
        </w:rPr>
      </w:pPr>
      <w:r w:rsidRPr="00EF0067">
        <w:rPr>
          <w:rFonts w:eastAsia="Aptos"/>
          <w:color w:val="000000"/>
        </w:rPr>
        <w:t>While qualified teachers on national pay scales benefit from an exemption, most early years support roles, such as childcare workers and teaching assistants do not. This creates a significant disparity that limits the sector’s ability to recruit skilled international candidates into critical roles.</w:t>
      </w:r>
    </w:p>
    <w:p w:rsidR="00B37075" w:rsidRPr="00EF0067" w:rsidP="00EF0067">
      <w:pPr>
        <w:spacing w:after="0" w:line="288" w:lineRule="auto"/>
        <w:rPr>
          <w:rFonts w:eastAsia="Aptos"/>
          <w:b/>
        </w:rPr>
      </w:pPr>
      <w:r w:rsidRPr="00EF0067">
        <w:rPr>
          <w:rFonts w:eastAsia="Aptos"/>
          <w:b/>
        </w:rPr>
        <w:t xml:space="preserve">Impact </w:t>
      </w:r>
    </w:p>
    <w:p w:rsidR="00B37075" w:rsidRPr="00EF0067" w:rsidP="00EF0067">
      <w:pPr>
        <w:spacing w:after="0" w:line="288" w:lineRule="auto"/>
        <w:rPr>
          <w:rFonts w:eastAsia="Aptos"/>
        </w:rPr>
      </w:pPr>
      <w:r w:rsidRPr="00EF0067">
        <w:rPr>
          <w:rFonts w:eastAsia="Aptos"/>
        </w:rPr>
        <w:t xml:space="preserve">As the early years sector continues to face considerable strain due to understaffing, settings are missing out on the ability to recruit skilled overseas workers. Despite recognition of the importance of childcare to supporting the development of children and ensuring parents are able to return to work, early years workers face considerable and expensive barriers in coming to work in the UK. In particular, the need for practitioners to earn £38.9k, which is well above the average for the country, is making </w:t>
      </w:r>
      <w:r w:rsidRPr="00EF0067">
        <w:rPr>
          <w:rFonts w:eastAsia="Aptos"/>
        </w:rPr>
        <w:t>it difficult to recruit or retain skilled professionals from overseas.  </w:t>
      </w:r>
    </w:p>
    <w:p w:rsidR="00B37075" w:rsidRPr="00EF0067" w:rsidP="00EF0067">
      <w:pPr>
        <w:spacing w:after="0" w:line="288" w:lineRule="auto"/>
        <w:rPr>
          <w:rFonts w:eastAsia="Aptos"/>
          <w:color w:val="000000"/>
        </w:rPr>
      </w:pPr>
      <w:r w:rsidRPr="00EF0067">
        <w:rPr>
          <w:rFonts w:eastAsia="Aptos"/>
        </w:rPr>
        <w:t xml:space="preserve">The impact on settings has been demonstrable following the UK leaving the European Union and the 2020 Covid pandemic, with workers slowly leaving the UK for opportunities where there are fewer barriers and less expense to stay and work. A number of settings across the country reported that prior to Brexit it was much easier to recruit high quality and well qualified practitioners – this continues to limit settings ability to expand its provision. </w:t>
      </w:r>
      <w:r w:rsidRPr="00EF0067">
        <w:rPr>
          <w:rFonts w:eastAsia="Aptos"/>
          <w:color w:val="000000"/>
        </w:rPr>
        <w:t>Recruiting qualified practitioners is crucial for maintaining high standards in early years education, directly impacting child development and future learning outcomes.</w:t>
      </w:r>
    </w:p>
    <w:p w:rsidR="00B37075" w:rsidRPr="00EF0067" w:rsidP="00EF0067">
      <w:pPr>
        <w:spacing w:after="0" w:line="288" w:lineRule="auto"/>
        <w:rPr>
          <w:rFonts w:eastAsia="Aptos"/>
        </w:rPr>
      </w:pPr>
      <w:r w:rsidRPr="00EF0067">
        <w:rPr>
          <w:rFonts w:eastAsia="Aptos"/>
        </w:rPr>
        <w:t>This issue is even more urgent in light of the government's planned expansion of the funded childcare entitlement in September 2025.  The rollout is expected to lead to a huge spike in demand for places across nurseries and early years settings. Ensuring that these settings are well-staffed with high-quality professionals will be central to the success of this policy and in achieving the government’s ambition to give every child the best start in life.</w:t>
      </w:r>
    </w:p>
    <w:p w:rsidR="00B37075" w:rsidRPr="00EF0067" w:rsidP="00EF0067">
      <w:pPr>
        <w:spacing w:after="0" w:line="288" w:lineRule="auto"/>
        <w:rPr>
          <w:rFonts w:eastAsia="Aptos"/>
        </w:rPr>
      </w:pPr>
      <w:r w:rsidRPr="00EF0067">
        <w:rPr>
          <w:rFonts w:eastAsia="Aptos"/>
        </w:rPr>
        <w:t>Without meaningful relief and support to help the sector recruit, including internationally, there is a real risk that the government’s goals will fall short. Staffing shortages will continue to exacerbate long waiting lists, place further pressure on remaining workers, and ultimately leave families without access to the high-quality early education and care they need.</w:t>
      </w:r>
    </w:p>
    <w:p w:rsidR="00B37075" w:rsidRPr="00EF0067" w:rsidP="00EF0067">
      <w:pPr>
        <w:spacing w:after="0" w:line="288" w:lineRule="auto"/>
        <w:rPr>
          <w:rFonts w:eastAsia="Aptos"/>
          <w:b/>
        </w:rPr>
      </w:pPr>
      <w:r w:rsidRPr="00EF0067">
        <w:rPr>
          <w:rFonts w:eastAsia="Aptos"/>
          <w:b/>
        </w:rPr>
        <w:t xml:space="preserve">Case studies </w:t>
      </w:r>
    </w:p>
    <w:p w:rsidR="00B37075" w:rsidRPr="00EF0067" w:rsidP="00EF0067">
      <w:pPr>
        <w:spacing w:after="0" w:line="288" w:lineRule="auto"/>
        <w:rPr>
          <w:rFonts w:eastAsia="Aptos"/>
        </w:rPr>
      </w:pPr>
      <w:r w:rsidRPr="00EF0067">
        <w:rPr>
          <w:rFonts w:eastAsia="Aptos"/>
        </w:rPr>
        <w:t xml:space="preserve">Detailed below are a number of case studies from settings across the UK, which demonstrate the impact of the visa requirements – limiting settings ability to increase </w:t>
      </w:r>
      <w:r w:rsidRPr="00EF0067">
        <w:rPr>
          <w:rFonts w:eastAsia="Aptos"/>
        </w:rPr>
        <w:t>access to childcare.</w:t>
      </w:r>
    </w:p>
    <w:p w:rsidR="00B37075" w:rsidRPr="00EF0067" w:rsidP="00EF0067">
      <w:pPr>
        <w:spacing w:after="0" w:line="288" w:lineRule="auto"/>
        <w:rPr>
          <w:rFonts w:eastAsia="Aptos"/>
          <w:b/>
        </w:rPr>
      </w:pPr>
      <w:r w:rsidRPr="00EF0067">
        <w:rPr>
          <w:rFonts w:eastAsia="Aptos"/>
          <w:b/>
        </w:rPr>
        <w:t xml:space="preserve">Provider 1 </w:t>
      </w:r>
    </w:p>
    <w:p w:rsidR="00B37075" w:rsidRPr="00EF0067" w:rsidP="00EF0067">
      <w:pPr>
        <w:numPr>
          <w:ilvl w:val="0"/>
          <w:numId w:val="3"/>
        </w:numPr>
        <w:spacing w:after="0" w:line="288" w:lineRule="auto"/>
        <w:rPr>
          <w:rFonts w:eastAsia="Aptos"/>
        </w:rPr>
      </w:pPr>
      <w:r w:rsidRPr="00EF0067">
        <w:rPr>
          <w:rFonts w:eastAsia="Aptos"/>
        </w:rPr>
        <w:t xml:space="preserve">In the years immediately following Brexit, our nurseries were primarily located in the </w:t>
      </w:r>
      <w:r w:rsidRPr="00EF0067">
        <w:rPr>
          <w:rFonts w:eastAsia="Aptos"/>
        </w:rPr>
        <w:t>North West</w:t>
      </w:r>
      <w:r w:rsidRPr="00EF0067">
        <w:rPr>
          <w:rFonts w:eastAsia="Aptos"/>
        </w:rPr>
        <w:t xml:space="preserve"> of England, where the majority of staff were UK residents. In late 2021, we expanded into Oxford and Cambridge, areas with a higher reliance on European workers.</w:t>
      </w:r>
    </w:p>
    <w:p w:rsidR="00B37075" w:rsidRPr="00EF0067" w:rsidP="00EF0067">
      <w:pPr>
        <w:numPr>
          <w:ilvl w:val="0"/>
          <w:numId w:val="3"/>
        </w:numPr>
        <w:spacing w:after="0" w:line="288" w:lineRule="auto"/>
        <w:rPr>
          <w:rFonts w:eastAsia="Aptos"/>
        </w:rPr>
      </w:pPr>
      <w:r w:rsidRPr="00EF0067">
        <w:rPr>
          <w:rFonts w:eastAsia="Aptos"/>
        </w:rPr>
        <w:t>Initially, we did not see a mass departure post-Brexit; however, the combined effects of Covid-19 and ongoing residency uncertainty have led to several valued colleagues leaving the UK permanently, often for family or personal reasons.</w:t>
      </w:r>
    </w:p>
    <w:p w:rsidR="00B37075" w:rsidRPr="00EF0067" w:rsidP="00EF0067">
      <w:pPr>
        <w:numPr>
          <w:ilvl w:val="0"/>
          <w:numId w:val="3"/>
        </w:numPr>
        <w:spacing w:after="0" w:line="288" w:lineRule="auto"/>
        <w:rPr>
          <w:rFonts w:eastAsia="Aptos"/>
        </w:rPr>
      </w:pPr>
      <w:r w:rsidRPr="00EF0067">
        <w:rPr>
          <w:rFonts w:eastAsia="Aptos"/>
        </w:rPr>
        <w:t>Recruitment in these regions has become increasingly difficult, due to the significantly reduced availability of international candidates.</w:t>
      </w:r>
    </w:p>
    <w:p w:rsidR="00B37075" w:rsidRPr="00EF0067" w:rsidP="00EF0067">
      <w:pPr>
        <w:numPr>
          <w:ilvl w:val="0"/>
          <w:numId w:val="3"/>
        </w:numPr>
        <w:spacing w:after="0" w:line="288" w:lineRule="auto"/>
        <w:rPr>
          <w:rFonts w:eastAsia="Aptos"/>
        </w:rPr>
      </w:pPr>
      <w:r w:rsidRPr="00EF0067">
        <w:rPr>
          <w:rFonts w:eastAsia="Aptos"/>
        </w:rPr>
        <w:t>These challenges are now compounded by the new 2024 visa rules, which have made it almost impossible to recruit from overseas to fill these gaps. Even when skilled candidates are available, the increased salary thresholds and cost burdens place recruitment firmly out of reach, leaving us unable to restore previous staffing levels.</w:t>
      </w:r>
    </w:p>
    <w:p w:rsidR="00B37075" w:rsidRPr="00EF0067" w:rsidP="00EF0067">
      <w:pPr>
        <w:spacing w:after="0" w:line="288" w:lineRule="auto"/>
        <w:rPr>
          <w:rFonts w:eastAsia="Aptos"/>
          <w:b/>
          <w:color w:val="000000"/>
        </w:rPr>
      </w:pPr>
      <w:r w:rsidRPr="00EF0067">
        <w:rPr>
          <w:rFonts w:eastAsia="Aptos"/>
          <w:b/>
          <w:color w:val="000000"/>
        </w:rPr>
        <w:t xml:space="preserve">Provider 2 </w:t>
      </w:r>
    </w:p>
    <w:p w:rsidR="00B37075" w:rsidRPr="00EF0067" w:rsidP="00EF0067">
      <w:pPr>
        <w:numPr>
          <w:ilvl w:val="0"/>
          <w:numId w:val="4"/>
        </w:numPr>
        <w:spacing w:after="0" w:line="288" w:lineRule="auto"/>
        <w:rPr>
          <w:rFonts w:eastAsia="Aptos"/>
          <w:color w:val="000000"/>
        </w:rPr>
      </w:pPr>
      <w:r w:rsidRPr="00EF0067">
        <w:rPr>
          <w:rFonts w:eastAsia="Aptos"/>
          <w:color w:val="000000"/>
        </w:rPr>
        <w:t>Before Brexit, freedom of movement allowed us to recruit high-quality, qualified practitioners from Europe with relative ease and minimal cost</w:t>
      </w:r>
      <w:r w:rsidRPr="00EF0067">
        <w:rPr>
          <w:rFonts w:eastAsia="Aptos"/>
        </w:rPr>
        <w:t xml:space="preserve"> - </w:t>
      </w:r>
      <w:r w:rsidRPr="00EF0067">
        <w:rPr>
          <w:rFonts w:eastAsia="Aptos"/>
          <w:color w:val="000000"/>
        </w:rPr>
        <w:t>typically limited to attraction and relocation.</w:t>
      </w:r>
    </w:p>
    <w:p w:rsidR="00B37075" w:rsidRPr="00EF0067" w:rsidP="00EF0067">
      <w:pPr>
        <w:numPr>
          <w:ilvl w:val="0"/>
          <w:numId w:val="4"/>
        </w:numPr>
        <w:spacing w:after="0" w:line="288" w:lineRule="auto"/>
        <w:rPr>
          <w:rFonts w:eastAsia="Aptos"/>
          <w:color w:val="000000"/>
        </w:rPr>
      </w:pPr>
      <w:r w:rsidRPr="00EF0067">
        <w:rPr>
          <w:rFonts w:eastAsia="Aptos"/>
          <w:color w:val="000000"/>
        </w:rPr>
        <w:t>Currently, the cost of recruiting a single international candidate has risen to approximately £11,000, due to visa fees and associated expenses.</w:t>
      </w:r>
    </w:p>
    <w:p w:rsidR="00B37075" w:rsidRPr="00EF0067" w:rsidP="00EF0067">
      <w:pPr>
        <w:numPr>
          <w:ilvl w:val="0"/>
          <w:numId w:val="4"/>
        </w:numPr>
        <w:spacing w:after="0" w:line="288" w:lineRule="auto"/>
        <w:rPr>
          <w:rFonts w:eastAsia="Aptos"/>
          <w:color w:val="000000"/>
        </w:rPr>
      </w:pPr>
      <w:r w:rsidRPr="00EF0067">
        <w:rPr>
          <w:rFonts w:eastAsia="Aptos"/>
          <w:color w:val="000000"/>
        </w:rPr>
        <w:t>Pre-Brexit, we employed around 97 European-qualified practitioners, which enabled us to offer places to an additional 378 children.</w:t>
      </w:r>
    </w:p>
    <w:p w:rsidR="00B37075" w:rsidRPr="00EF0067" w:rsidP="00EF0067">
      <w:pPr>
        <w:numPr>
          <w:ilvl w:val="0"/>
          <w:numId w:val="4"/>
        </w:numPr>
        <w:spacing w:after="0" w:line="288" w:lineRule="auto"/>
        <w:rPr>
          <w:rFonts w:eastAsia="Aptos"/>
          <w:color w:val="000000"/>
        </w:rPr>
      </w:pPr>
      <w:r w:rsidRPr="00EF0067">
        <w:rPr>
          <w:rFonts w:eastAsia="Aptos"/>
          <w:color w:val="000000"/>
        </w:rPr>
        <w:t>Between 2019 and 2021, 89 of these practitioners (92%) left the UK, driven by both the pandemic and the withdrawal from the EU.</w:t>
      </w:r>
    </w:p>
    <w:p w:rsidR="00B37075" w:rsidRPr="00EF0067" w:rsidP="00EF0067">
      <w:pPr>
        <w:numPr>
          <w:ilvl w:val="0"/>
          <w:numId w:val="4"/>
        </w:numPr>
        <w:spacing w:after="0" w:line="288" w:lineRule="auto"/>
        <w:rPr>
          <w:rFonts w:eastAsia="Aptos"/>
          <w:color w:val="000000"/>
        </w:rPr>
      </w:pPr>
      <w:r w:rsidRPr="00EF0067">
        <w:rPr>
          <w:rFonts w:eastAsia="Aptos"/>
          <w:color w:val="000000"/>
        </w:rPr>
        <w:t>We now have waiting lists of over 300 children</w:t>
      </w:r>
      <w:r w:rsidRPr="00EF0067">
        <w:rPr>
          <w:rFonts w:eastAsia="Aptos"/>
        </w:rPr>
        <w:t xml:space="preserve">- </w:t>
      </w:r>
      <w:r w:rsidRPr="00EF0067">
        <w:rPr>
          <w:rFonts w:eastAsia="Aptos"/>
          <w:color w:val="000000"/>
        </w:rPr>
        <w:t>a demand we previously could have met through overseas recruitment.</w:t>
      </w:r>
    </w:p>
    <w:p w:rsidR="00B37075" w:rsidRPr="00EF0067" w:rsidP="00EF0067">
      <w:pPr>
        <w:numPr>
          <w:ilvl w:val="0"/>
          <w:numId w:val="4"/>
        </w:numPr>
        <w:spacing w:after="0" w:line="288" w:lineRule="auto"/>
        <w:rPr>
          <w:rFonts w:eastAsia="Aptos"/>
          <w:color w:val="000000"/>
        </w:rPr>
      </w:pPr>
      <w:r w:rsidRPr="00EF0067">
        <w:rPr>
          <w:rFonts w:eastAsia="Aptos"/>
          <w:color w:val="000000"/>
        </w:rPr>
        <w:t>Unfortunately, the 2024 visa reforms have closed the door on this potential solution. Despite demand, we are now unable to recruit international candidates due to the prohibitive salary threshold and lack of accessible visa routes for early years professionals.</w:t>
      </w:r>
    </w:p>
    <w:p w:rsidR="00B37075" w:rsidRPr="00EF0067" w:rsidP="00EF0067">
      <w:pPr>
        <w:spacing w:after="0" w:line="288" w:lineRule="auto"/>
        <w:rPr>
          <w:rFonts w:eastAsia="Aptos"/>
          <w:b/>
          <w:color w:val="000000"/>
        </w:rPr>
      </w:pPr>
      <w:r w:rsidRPr="00EF0067">
        <w:rPr>
          <w:rFonts w:eastAsia="Aptos"/>
          <w:b/>
          <w:color w:val="000000"/>
        </w:rPr>
        <w:t xml:space="preserve">Provider 3 </w:t>
      </w:r>
    </w:p>
    <w:p w:rsidR="00B37075" w:rsidRPr="00EF0067" w:rsidP="00EF0067">
      <w:pPr>
        <w:numPr>
          <w:ilvl w:val="0"/>
          <w:numId w:val="5"/>
        </w:numPr>
        <w:spacing w:after="0" w:line="288" w:lineRule="auto"/>
        <w:rPr>
          <w:rFonts w:eastAsia="Aptos"/>
          <w:color w:val="000000"/>
        </w:rPr>
      </w:pPr>
      <w:r w:rsidRPr="00EF0067">
        <w:rPr>
          <w:rFonts w:eastAsia="Aptos"/>
          <w:color w:val="000000"/>
        </w:rPr>
        <w:t>The combined effects of Brexit and Covid have worsened workforce issues across several of our settings.</w:t>
      </w:r>
    </w:p>
    <w:p w:rsidR="00B37075" w:rsidRPr="00EF0067" w:rsidP="00EF0067">
      <w:pPr>
        <w:numPr>
          <w:ilvl w:val="0"/>
          <w:numId w:val="5"/>
        </w:numPr>
        <w:spacing w:after="0" w:line="288" w:lineRule="auto"/>
        <w:rPr>
          <w:rFonts w:eastAsia="Aptos"/>
          <w:color w:val="000000"/>
        </w:rPr>
      </w:pPr>
      <w:r w:rsidRPr="00EF0067">
        <w:rPr>
          <w:rFonts w:eastAsia="Aptos"/>
          <w:color w:val="000000"/>
        </w:rPr>
        <w:t>Our most difficult locations to staff include Milton Keynes, West Sussex, Inner and Outer London, Essex, and Hampshire.</w:t>
      </w:r>
    </w:p>
    <w:p w:rsidR="00B37075" w:rsidRPr="00EF0067" w:rsidP="00EF0067">
      <w:pPr>
        <w:numPr>
          <w:ilvl w:val="0"/>
          <w:numId w:val="5"/>
        </w:numPr>
        <w:spacing w:after="0" w:line="288" w:lineRule="auto"/>
        <w:rPr>
          <w:rFonts w:eastAsia="Aptos"/>
          <w:color w:val="000000"/>
        </w:rPr>
      </w:pPr>
      <w:r w:rsidRPr="00EF0067">
        <w:rPr>
          <w:rFonts w:eastAsia="Aptos"/>
          <w:color w:val="000000"/>
        </w:rPr>
        <w:t>The issue is not a lack of applicants, but a shortage of qualified full-time practitioners. Many potential recruits now seek part-time or flexible hours, which are difficult to accommodate in a nursery environment with strict ratios and deployment needs.</w:t>
      </w:r>
    </w:p>
    <w:p w:rsidR="00B37075" w:rsidRPr="00EF0067" w:rsidP="00EF0067">
      <w:pPr>
        <w:numPr>
          <w:ilvl w:val="0"/>
          <w:numId w:val="5"/>
        </w:numPr>
        <w:spacing w:after="0" w:line="288" w:lineRule="auto"/>
        <w:rPr>
          <w:rFonts w:eastAsia="Aptos"/>
          <w:color w:val="000000"/>
        </w:rPr>
      </w:pPr>
      <w:r w:rsidRPr="00EF0067">
        <w:rPr>
          <w:rFonts w:eastAsia="Aptos"/>
          <w:color w:val="000000"/>
        </w:rPr>
        <w:t xml:space="preserve">We are already under pressure, and this is expected to intensify with the </w:t>
      </w:r>
      <w:r w:rsidRPr="00EF0067">
        <w:rPr>
          <w:rFonts w:eastAsia="Aptos"/>
          <w:color w:val="000000"/>
        </w:rPr>
        <w:t>roll-out of expanded funded places, increasing demand for skilled staff even further.</w:t>
      </w:r>
    </w:p>
    <w:p w:rsidR="00B37075" w:rsidRPr="00EF0067" w:rsidP="00EF0067">
      <w:pPr>
        <w:numPr>
          <w:ilvl w:val="0"/>
          <w:numId w:val="5"/>
        </w:numPr>
        <w:spacing w:after="0" w:line="288" w:lineRule="auto"/>
        <w:rPr>
          <w:rFonts w:eastAsia="Aptos"/>
          <w:color w:val="000000"/>
        </w:rPr>
      </w:pPr>
      <w:r w:rsidRPr="00EF0067">
        <w:rPr>
          <w:rFonts w:eastAsia="Aptos"/>
          <w:color w:val="000000"/>
        </w:rPr>
        <w:t xml:space="preserve">Previously, international recruitment offered a viable solution to these persistent challenges. However, the new Skilled Worker visa restrictions have made this </w:t>
      </w:r>
      <w:r w:rsidRPr="00EF0067">
        <w:rPr>
          <w:rFonts w:eastAsia="Aptos"/>
          <w:color w:val="000000"/>
        </w:rPr>
        <w:t>avenue inaccessible, leaving us with no practical way to address workforce shortages through overseas hiring.</w:t>
      </w:r>
    </w:p>
    <w:p w:rsidR="00B37075" w:rsidRPr="00EF0067" w:rsidP="00EF0067">
      <w:pPr>
        <w:spacing w:after="0" w:line="288" w:lineRule="auto"/>
        <w:rPr>
          <w:rFonts w:eastAsia="Aptos"/>
          <w:b/>
        </w:rPr>
      </w:pPr>
      <w:r w:rsidRPr="00EF0067">
        <w:rPr>
          <w:rFonts w:eastAsia="Aptos"/>
          <w:b/>
        </w:rPr>
        <w:t xml:space="preserve">Recommendations </w:t>
      </w:r>
    </w:p>
    <w:p w:rsidR="00B37075" w:rsidRPr="00EF0067" w:rsidP="00EF0067">
      <w:pPr>
        <w:spacing w:after="0" w:line="288" w:lineRule="auto"/>
        <w:rPr>
          <w:rFonts w:eastAsia="Aptos"/>
        </w:rPr>
      </w:pPr>
      <w:r w:rsidRPr="00EF0067">
        <w:rPr>
          <w:rFonts w:eastAsia="Aptos"/>
        </w:rPr>
        <w:t>To address the critical and growing workforce shortage in early years settings, the Government should:</w:t>
      </w:r>
    </w:p>
    <w:p w:rsidR="00B37075" w:rsidRPr="00EF0067" w:rsidP="00EF0067">
      <w:pPr>
        <w:numPr>
          <w:ilvl w:val="0"/>
          <w:numId w:val="2"/>
        </w:numPr>
        <w:spacing w:after="0" w:line="288" w:lineRule="auto"/>
        <w:rPr>
          <w:rFonts w:eastAsia="Aptos"/>
        </w:rPr>
      </w:pPr>
      <w:r w:rsidRPr="00EF0067">
        <w:rPr>
          <w:rFonts w:eastAsia="Aptos"/>
        </w:rPr>
        <w:t>Make the Skilled Worker visa route more accessible and affordable for qualified early years professionals.</w:t>
      </w:r>
    </w:p>
    <w:p w:rsidR="00B37075" w:rsidRPr="00EF0067" w:rsidP="00EF0067">
      <w:pPr>
        <w:numPr>
          <w:ilvl w:val="0"/>
          <w:numId w:val="2"/>
        </w:numPr>
        <w:spacing w:after="0" w:line="288" w:lineRule="auto"/>
        <w:rPr>
          <w:rFonts w:eastAsia="Aptos"/>
        </w:rPr>
      </w:pPr>
      <w:r w:rsidRPr="00EF0067">
        <w:rPr>
          <w:rFonts w:eastAsia="Aptos"/>
        </w:rPr>
        <w:t xml:space="preserve">Specifically, we recommend that key early </w:t>
      </w:r>
      <w:r w:rsidRPr="00EF0067">
        <w:rPr>
          <w:rFonts w:eastAsia="Aptos"/>
        </w:rPr>
        <w:t>years</w:t>
      </w:r>
      <w:r w:rsidRPr="00EF0067">
        <w:rPr>
          <w:rFonts w:eastAsia="Aptos"/>
        </w:rPr>
        <w:t xml:space="preserve"> roles be added to the Health and Care visa route, recognising their importance to both children’s outcomes and the UK labour market.</w:t>
      </w:r>
    </w:p>
    <w:p w:rsidR="00B37075" w:rsidRPr="00EF0067" w:rsidP="00EF0067">
      <w:pPr>
        <w:spacing w:after="0" w:line="288" w:lineRule="auto"/>
        <w:rPr>
          <w:rFonts w:eastAsia="Aptos"/>
        </w:rPr>
      </w:pPr>
      <w:r w:rsidRPr="00EF0067">
        <w:rPr>
          <w:rFonts w:eastAsia="Aptos"/>
        </w:rPr>
        <w:t>This change would enable providers to once again draw on international talent to meet demand, raise quality, and support the national childcare expansion ambitions.</w:t>
      </w:r>
    </w:p>
    <w:p w:rsidR="00EF0067" w:rsidRPr="00EF0067" w:rsidP="00EF0067">
      <w:pPr>
        <w:spacing w:after="0" w:line="288" w:lineRule="auto"/>
        <w:rPr>
          <w:rFonts w:eastAsia="Aptos"/>
        </w:rPr>
      </w:pPr>
    </w:p>
    <w:p w:rsidR="00B37075" w:rsidRPr="00EF0067" w:rsidP="00EF0067">
      <w:pPr>
        <w:spacing w:after="0" w:line="288" w:lineRule="auto"/>
        <w:rPr>
          <w:rFonts w:eastAsia="Aptos"/>
          <w:b/>
          <w:color w:val="000000"/>
        </w:rPr>
      </w:pPr>
      <w:r w:rsidRPr="00EF0067">
        <w:rPr>
          <w:rFonts w:eastAsia="Aptos"/>
          <w:b/>
          <w:color w:val="000000"/>
        </w:rPr>
        <w:t>ENDS</w:t>
      </w:r>
    </w:p>
    <w:sectPr w:rsidSect="00EF0067">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624"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C9F82A40-96B6-47B5-8676-1E93552D3E3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13EBB9B0-B412-4E4A-AE9F-550B3C6DB7F4}"/>
    <w:embedBold r:id="rId3" w:fontKey="{82F2E876-654E-4842-99D9-06B79AC4F527}"/>
    <w:embedItalic r:id="rId4" w:fontKey="{A2C568F3-D4F6-4232-A73F-C1C5D5C67C75}"/>
  </w:font>
  <w:font w:name="Play">
    <w:charset w:val="00"/>
    <w:family w:val="auto"/>
    <w:pitch w:val="default"/>
    <w:embedRegular r:id="rId5" w:fontKey="{F319F101-8CCD-4E8D-A3FF-BBDF857107C4}"/>
  </w:font>
  <w:font w:name="Aptos">
    <w:charset w:val="00"/>
    <w:family w:val="swiss"/>
    <w:pitch w:val="variable"/>
    <w:sig w:usb0="20000287" w:usb1="00000003" w:usb2="00000000" w:usb3="00000000" w:csb0="0000019F" w:csb1="00000000"/>
    <w:embedRegular r:id="rId6" w:fontKey="{13F61449-B3D5-44B0-A883-17B41DDC5CB7}"/>
    <w:embedBold r:id="rId7" w:fontKey="{0A1755DA-2D52-4AE2-8689-B064ED94EB9F}"/>
    <w:embedItalic r:id="rId8" w:fontKey="{7574C6B2-4AE5-4E8A-9CED-0C2B2862DB6E}"/>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9" w:fontKey="{C696C0A3-F94A-4978-95AE-6D56279AFC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rsidRPr="00EF0067" w:rsidP="00EF0067">
    <w:pPr>
      <w:pStyle w:val="Header"/>
      <w:jc w:val="center"/>
      <w:rPr>
        <w:b/>
        <w:bCs/>
        <w:sz w:val="28"/>
        <w:szCs w:val="28"/>
      </w:rPr>
    </w:pPr>
    <w:r w:rsidRPr="00EF0067">
      <w:rPr>
        <w:b/>
        <w:bCs/>
        <w:sz w:val="28"/>
        <w:szCs w:val="28"/>
      </w:rPr>
      <w:t>Written evidence submitted by National Partnership in Early Learning and Childcare (IMM0016)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00000002"/>
    <w:multiLevelType w:val="hybridMultilevel"/>
    <w:tmpl w:val="0000000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nsid w:val="00000003"/>
    <w:multiLevelType w:val="hybridMultilevel"/>
    <w:tmpl w:val="0000000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nsid w:val="00000004"/>
    <w:multiLevelType w:val="hybridMultilevel"/>
    <w:tmpl w:val="0000000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nsid w:val="00000005"/>
    <w:multiLevelType w:val="hybridMultilevel"/>
    <w:tmpl w:val="0000000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pPr>
      <w:keepNext/>
      <w:keepLines/>
      <w:spacing w:before="360" w:after="80" w:line="240" w:lineRule="auto"/>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line="240" w:lineRule="auto"/>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line="240" w:lineRule="auto"/>
      <w:outlineLvl w:val="2"/>
    </w:pPr>
    <w:rPr>
      <w:rFonts w:ascii="Aptos" w:eastAsia="Aptos" w:hAnsi="Aptos" w:cs="Aptos"/>
      <w:color w:val="0F4761"/>
      <w:sz w:val="28"/>
      <w:szCs w:val="28"/>
    </w:rPr>
  </w:style>
  <w:style w:type="paragraph" w:styleId="Heading4">
    <w:name w:val="heading 4"/>
    <w:basedOn w:val="Normal"/>
    <w:next w:val="Normal"/>
    <w:pPr>
      <w:keepNext/>
      <w:keepLines/>
      <w:spacing w:before="80" w:after="40" w:line="240" w:lineRule="auto"/>
      <w:outlineLvl w:val="3"/>
    </w:pPr>
    <w:rPr>
      <w:rFonts w:ascii="Aptos" w:eastAsia="Aptos" w:hAnsi="Aptos" w:cs="Aptos"/>
      <w:i/>
      <w:color w:val="0F4761"/>
    </w:rPr>
  </w:style>
  <w:style w:type="paragraph" w:styleId="Heading5">
    <w:name w:val="heading 5"/>
    <w:basedOn w:val="Normal"/>
    <w:next w:val="Normal"/>
    <w:pPr>
      <w:keepNext/>
      <w:keepLines/>
      <w:spacing w:before="80" w:after="40" w:line="240" w:lineRule="auto"/>
      <w:outlineLvl w:val="4"/>
    </w:pPr>
    <w:rPr>
      <w:rFonts w:ascii="Aptos" w:eastAsia="Aptos" w:hAnsi="Aptos" w:cs="Aptos"/>
      <w:color w:val="0F4761"/>
    </w:rPr>
  </w:style>
  <w:style w:type="paragraph" w:styleId="Heading6">
    <w:name w:val="heading 6"/>
    <w:basedOn w:val="Normal"/>
    <w:next w:val="Normal"/>
    <w:pPr>
      <w:keepNext/>
      <w:keepLines/>
      <w:spacing w:before="40" w:after="0" w:line="240" w:lineRule="auto"/>
      <w:outlineLvl w:val="5"/>
    </w:pPr>
    <w:rPr>
      <w:rFonts w:ascii="Aptos" w:eastAsia="Aptos" w:hAnsi="Aptos" w:cs="Aptos"/>
      <w:i/>
      <w:color w:val="595959"/>
    </w:rPr>
  </w:style>
  <w:style w:type="paragraph" w:styleId="Heading7">
    <w:name w:val="heading 7"/>
    <w:basedOn w:val="Normal"/>
    <w:next w:val="Normal"/>
    <w:link w:val="Heading7Char"/>
    <w:uiPriority w:val="9"/>
    <w:semiHidden/>
    <w:unhideWhenUsed/>
    <w:qFormat/>
    <w:rsid w:val="005E52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52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52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customStyle="1" w:styleId="Heading10">
    <w:name w:val="Heading 1_0"/>
    <w:basedOn w:val="Normal"/>
    <w:next w:val="Normal"/>
    <w:link w:val="Heading1Char"/>
    <w:uiPriority w:val="9"/>
    <w:qFormat/>
    <w:rsid w:val="005E5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customStyle="1" w:styleId="Heading20">
    <w:name w:val="Heading 2_0"/>
    <w:basedOn w:val="Normal"/>
    <w:next w:val="Normal"/>
    <w:link w:val="Heading2Char"/>
    <w:uiPriority w:val="9"/>
    <w:semiHidden/>
    <w:unhideWhenUsed/>
    <w:qFormat/>
    <w:rsid w:val="005E5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customStyle="1" w:styleId="Heading30">
    <w:name w:val="Heading 3_0"/>
    <w:basedOn w:val="Normal"/>
    <w:next w:val="Normal"/>
    <w:link w:val="Heading3Char"/>
    <w:uiPriority w:val="9"/>
    <w:semiHidden/>
    <w:unhideWhenUsed/>
    <w:qFormat/>
    <w:rsid w:val="005E52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Heading40">
    <w:name w:val="Heading 4_0"/>
    <w:basedOn w:val="Normal"/>
    <w:next w:val="Normal"/>
    <w:link w:val="Heading4Char"/>
    <w:uiPriority w:val="9"/>
    <w:semiHidden/>
    <w:unhideWhenUsed/>
    <w:qFormat/>
    <w:rsid w:val="005E5256"/>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Heading50">
    <w:name w:val="Heading 5_0"/>
    <w:basedOn w:val="Normal"/>
    <w:next w:val="Normal"/>
    <w:link w:val="Heading5Char"/>
    <w:uiPriority w:val="9"/>
    <w:semiHidden/>
    <w:unhideWhenUsed/>
    <w:qFormat/>
    <w:rsid w:val="005E5256"/>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Heading60">
    <w:name w:val="Heading 6_0"/>
    <w:basedOn w:val="Normal"/>
    <w:next w:val="Normal"/>
    <w:link w:val="Heading6Char"/>
    <w:uiPriority w:val="9"/>
    <w:semiHidden/>
    <w:unhideWhenUsed/>
    <w:qFormat/>
    <w:rsid w:val="005E5256"/>
    <w:pPr>
      <w:keepNext/>
      <w:keepLines/>
      <w:spacing w:before="40" w:after="0"/>
      <w:outlineLvl w:val="5"/>
    </w:pPr>
    <w:rPr>
      <w:rFonts w:asciiTheme="minorHAnsi" w:eastAsiaTheme="majorEastAsia" w:hAnsiTheme="minorHAnsi" w:cstheme="majorBidi"/>
      <w:i/>
      <w:iCs/>
      <w:color w:val="595959" w:themeColor="text1" w:themeTint="A6"/>
    </w:rPr>
  </w:style>
  <w:style w:type="character" w:customStyle="1" w:styleId="Heading1Char">
    <w:name w:val="Heading 1 Char"/>
    <w:basedOn w:val="DefaultParagraphFont"/>
    <w:link w:val="Heading10"/>
    <w:uiPriority w:val="9"/>
    <w:rsid w:val="005E5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0"/>
    <w:uiPriority w:val="9"/>
    <w:semiHidden/>
    <w:rsid w:val="005E5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0"/>
    <w:uiPriority w:val="9"/>
    <w:semiHidden/>
    <w:rsid w:val="005E525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0"/>
    <w:uiPriority w:val="9"/>
    <w:semiHidden/>
    <w:rsid w:val="005E525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0"/>
    <w:uiPriority w:val="9"/>
    <w:semiHidden/>
    <w:rsid w:val="005E525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0"/>
    <w:uiPriority w:val="9"/>
    <w:semiHidden/>
    <w:rsid w:val="005E52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52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52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5256"/>
    <w:rPr>
      <w:rFonts w:asciiTheme="minorHAnsi" w:eastAsiaTheme="majorEastAsia" w:hAnsiTheme="minorHAnsi" w:cstheme="majorBidi"/>
      <w:color w:val="272727" w:themeColor="text1" w:themeTint="D8"/>
    </w:rPr>
  </w:style>
  <w:style w:type="paragraph" w:customStyle="1" w:styleId="Title0">
    <w:name w:val="Title_0"/>
    <w:basedOn w:val="Normal"/>
    <w:next w:val="Normal"/>
    <w:link w:val="TitleChar"/>
    <w:uiPriority w:val="10"/>
    <w:qFormat/>
    <w:rsid w:val="005E5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0"/>
    <w:uiPriority w:val="10"/>
    <w:rsid w:val="005E5256"/>
    <w:rPr>
      <w:rFonts w:asciiTheme="majorHAnsi" w:eastAsiaTheme="majorEastAsia" w:hAnsiTheme="majorHAnsi" w:cstheme="majorBidi"/>
      <w:spacing w:val="-10"/>
      <w:kern w:val="28"/>
      <w:sz w:val="56"/>
      <w:szCs w:val="56"/>
    </w:rPr>
  </w:style>
  <w:style w:type="paragraph" w:styleId="Subtitle">
    <w:name w:val="Subtitle"/>
    <w:basedOn w:val="Normal"/>
    <w:next w:val="Normal"/>
    <w:uiPriority w:val="11"/>
    <w:qFormat/>
    <w:rsid w:val="005E52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0"/>
    <w:uiPriority w:val="11"/>
    <w:rsid w:val="005E525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5256"/>
    <w:pPr>
      <w:spacing w:before="160"/>
      <w:jc w:val="center"/>
    </w:pPr>
    <w:rPr>
      <w:i/>
      <w:iCs/>
      <w:color w:val="404040" w:themeColor="text1" w:themeTint="BF"/>
    </w:rPr>
  </w:style>
  <w:style w:type="character" w:customStyle="1" w:styleId="QuoteChar">
    <w:name w:val="Quote Char"/>
    <w:basedOn w:val="DefaultParagraphFont"/>
    <w:link w:val="Quote"/>
    <w:uiPriority w:val="29"/>
    <w:rsid w:val="005E5256"/>
    <w:rPr>
      <w:i/>
      <w:iCs/>
      <w:color w:val="404040" w:themeColor="text1" w:themeTint="BF"/>
    </w:rPr>
  </w:style>
  <w:style w:type="paragraph" w:styleId="ListParagraph">
    <w:name w:val="List Paragraph"/>
    <w:basedOn w:val="Normal"/>
    <w:uiPriority w:val="34"/>
    <w:qFormat/>
    <w:rsid w:val="005E5256"/>
    <w:pPr>
      <w:ind w:left="720"/>
      <w:contextualSpacing/>
    </w:pPr>
  </w:style>
  <w:style w:type="character" w:styleId="IntenseEmphasis">
    <w:name w:val="Intense Emphasis"/>
    <w:basedOn w:val="DefaultParagraphFont"/>
    <w:uiPriority w:val="21"/>
    <w:qFormat/>
    <w:rsid w:val="005E5256"/>
    <w:rPr>
      <w:i/>
      <w:iCs/>
      <w:color w:val="0F4761" w:themeColor="accent1" w:themeShade="BF"/>
    </w:rPr>
  </w:style>
  <w:style w:type="paragraph" w:styleId="IntenseQuote">
    <w:name w:val="Intense Quote"/>
    <w:basedOn w:val="Normal"/>
    <w:next w:val="Normal"/>
    <w:link w:val="IntenseQuoteChar"/>
    <w:uiPriority w:val="30"/>
    <w:qFormat/>
    <w:rsid w:val="005E5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256"/>
    <w:rPr>
      <w:i/>
      <w:iCs/>
      <w:color w:val="0F4761" w:themeColor="accent1" w:themeShade="BF"/>
    </w:rPr>
  </w:style>
  <w:style w:type="character" w:styleId="IntenseReference">
    <w:name w:val="Intense Reference"/>
    <w:basedOn w:val="DefaultParagraphFont"/>
    <w:uiPriority w:val="32"/>
    <w:qFormat/>
    <w:rsid w:val="005E5256"/>
    <w:rPr>
      <w:b/>
      <w:bCs/>
      <w:smallCaps/>
      <w:color w:val="0F4761" w:themeColor="accent1" w:themeShade="BF"/>
      <w:spacing w:val="5"/>
    </w:rPr>
  </w:style>
  <w:style w:type="paragraph" w:styleId="Header">
    <w:name w:val="header"/>
    <w:basedOn w:val="Normal"/>
    <w:link w:val="HeaderChar"/>
    <w:uiPriority w:val="99"/>
    <w:unhideWhenUsed/>
    <w:rsid w:val="005E52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256"/>
  </w:style>
  <w:style w:type="paragraph" w:styleId="Footer">
    <w:name w:val="footer"/>
    <w:basedOn w:val="Normal"/>
    <w:link w:val="FooterChar"/>
    <w:uiPriority w:val="99"/>
    <w:unhideWhenUsed/>
    <w:rsid w:val="005E52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256"/>
  </w:style>
  <w:style w:type="character" w:styleId="Hyperlink">
    <w:name w:val="Hyperlink"/>
    <w:basedOn w:val="DefaultParagraphFont"/>
    <w:uiPriority w:val="99"/>
    <w:unhideWhenUsed/>
    <w:rsid w:val="00B157A2"/>
    <w:rPr>
      <w:color w:val="467886" w:themeColor="hyperlink"/>
      <w:u w:val="single"/>
    </w:rPr>
  </w:style>
  <w:style w:type="character" w:customStyle="1" w:styleId="UnresolvedMention1">
    <w:name w:val="Unresolved Mention1"/>
    <w:basedOn w:val="DefaultParagraphFont"/>
    <w:uiPriority w:val="99"/>
    <w:semiHidden/>
    <w:unhideWhenUsed/>
    <w:rsid w:val="00B157A2"/>
    <w:rPr>
      <w:color w:val="605E5C"/>
      <w:shd w:val="clear" w:color="auto" w:fill="E1DFDD"/>
    </w:rPr>
  </w:style>
  <w:style w:type="paragraph" w:customStyle="1" w:styleId="Subtitle0">
    <w:name w:val="Subtitle_0"/>
    <w:basedOn w:val="Normal"/>
    <w:next w:val="Normal"/>
    <w:link w:val="SubtitleCha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pYw5K3p6/J5kwjOR89L3zQl8mQ==">CgMxLjA4AGonChRzdWdnZXN0LjNjOThqNDZkeWJ3ZBIPcmViZWNjYSBzZWFmb3JkaicKFHN1Z2dlc3QubnY5azh6NTY2OWg2Eg9yZWJlY2NhIHNlYWZvcmRqJwoUc3VnZ2VzdC4yYnoxZXJxMTNhcmUSD3JlYmVjY2Egc2VhZm9yZGonChRzdWdnZXN0LjNoZzBlcDkwMTNvNRIPcmViZWNjYSBzZWFmb3JkaicKFHN1Z2dlc3QuNXZ4YncwZXV4bjlyEg9yZWJlY2NhIHNlYWZvcmRyITF5WjlxdlpiMDRGNzAzaEEzQ051ZXpuSmV0TmplbHpC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