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B57FB" w:rsidRPr="00BB57FB" w:rsidP="00BB57FB">
      <w:pPr>
        <w:shd w:val="clear" w:color="auto" w:fill="FFFFFF"/>
        <w:spacing w:after="200"/>
        <w:rPr>
          <w:rFonts w:ascii="Verdana" w:hAnsi="Verdana"/>
          <w:b/>
          <w:bCs/>
          <w:sz w:val="28"/>
          <w:szCs w:val="28"/>
        </w:rPr>
      </w:pPr>
      <w:bookmarkStart w:id="0" w:name="_Hlk193977155"/>
      <w:r w:rsidRPr="00BB57FB">
        <w:rPr>
          <w:rFonts w:ascii="Verdana" w:hAnsi="Verdana"/>
          <w:b/>
          <w:bCs/>
          <w:color w:val="000000" w:themeColor="text1"/>
          <w:sz w:val="28"/>
          <w:szCs w:val="28"/>
        </w:rPr>
        <w:t xml:space="preserve">Independent Society of Musicians (ISM) </w:t>
      </w:r>
      <w:r w:rsidRPr="00BB57FB">
        <w:rPr>
          <w:rFonts w:ascii="Verdana" w:hAnsi="Verdana"/>
          <w:b/>
          <w:bCs/>
          <w:sz w:val="28"/>
          <w:szCs w:val="28"/>
        </w:rPr>
        <w:t>– Written Evidence (RES00</w:t>
      </w:r>
      <w:r w:rsidRPr="00BB57FB">
        <w:rPr>
          <w:rFonts w:ascii="Verdana" w:hAnsi="Verdana"/>
          <w:b/>
          <w:bCs/>
          <w:sz w:val="28"/>
          <w:szCs w:val="28"/>
        </w:rPr>
        <w:t>80</w:t>
      </w:r>
      <w:r w:rsidRPr="00BB57FB">
        <w:rPr>
          <w:rFonts w:ascii="Verdana" w:hAnsi="Verdana"/>
          <w:b/>
          <w:bCs/>
          <w:sz w:val="28"/>
          <w:szCs w:val="28"/>
        </w:rPr>
        <w:t>)</w:t>
      </w:r>
    </w:p>
    <w:p w:rsidR="00BB57FB" w:rsidRPr="00BB57FB" w:rsidP="001D4103">
      <w:pPr>
        <w:spacing w:line="276" w:lineRule="auto"/>
        <w:jc w:val="both"/>
        <w:rPr>
          <w:rFonts w:ascii="Verdana" w:hAnsi="Verdana"/>
          <w:b/>
          <w:bCs/>
          <w:sz w:val="24"/>
          <w:szCs w:val="24"/>
        </w:rPr>
      </w:pPr>
    </w:p>
    <w:p w:rsidR="00BB57FB" w:rsidRPr="00BB57FB" w:rsidP="001D4103">
      <w:pPr>
        <w:spacing w:line="276" w:lineRule="auto"/>
        <w:jc w:val="both"/>
        <w:rPr>
          <w:rFonts w:ascii="Verdana" w:hAnsi="Verdana"/>
          <w:b/>
          <w:bCs/>
          <w:sz w:val="24"/>
          <w:szCs w:val="24"/>
        </w:rPr>
      </w:pPr>
    </w:p>
    <w:p w:rsidR="000A605E" w:rsidRPr="00BB57FB" w:rsidP="001D4103">
      <w:pPr>
        <w:spacing w:line="276" w:lineRule="auto"/>
        <w:jc w:val="both"/>
        <w:rPr>
          <w:rFonts w:ascii="Verdana" w:eastAsia="Arial" w:hAnsi="Verdana"/>
          <w:b/>
          <w:bCs/>
          <w:sz w:val="24"/>
          <w:szCs w:val="24"/>
          <w:lang w:eastAsia="ja-JP"/>
        </w:rPr>
      </w:pPr>
      <w:r w:rsidRPr="00BB57FB">
        <w:rPr>
          <w:rFonts w:ascii="Verdana" w:eastAsia="Arial" w:hAnsi="Verdana"/>
          <w:b/>
          <w:bCs/>
          <w:sz w:val="24"/>
          <w:szCs w:val="24"/>
          <w:lang w:eastAsia="ja-JP"/>
        </w:rPr>
        <w:t>House of Lords European Affairs Committee inquiry into the UK-EU reset</w:t>
      </w:r>
    </w:p>
    <w:p w:rsidR="000A605E" w:rsidRPr="00BB57FB" w:rsidP="001D2758">
      <w:pPr>
        <w:spacing w:line="279" w:lineRule="auto"/>
        <w:jc w:val="center"/>
        <w:rPr>
          <w:rFonts w:ascii="Verdana" w:eastAsia="Arial" w:hAnsi="Verdana"/>
          <w:b/>
          <w:bCs/>
          <w:sz w:val="24"/>
          <w:szCs w:val="24"/>
          <w:lang w:eastAsia="ja-JP"/>
        </w:rPr>
      </w:pPr>
      <w:r w:rsidRPr="00BB57FB">
        <w:rPr>
          <w:rFonts w:ascii="Verdana" w:eastAsia="Arial" w:hAnsi="Verdana"/>
          <w:b/>
          <w:bCs/>
          <w:sz w:val="24"/>
          <w:szCs w:val="24"/>
          <w:lang w:eastAsia="ja-JP"/>
        </w:rPr>
        <w:t>Follow up briefing to the evidence session</w:t>
      </w:r>
      <w:r w:rsidRPr="00BB57FB" w:rsidR="00D9276A">
        <w:rPr>
          <w:rFonts w:ascii="Verdana" w:eastAsia="Arial" w:hAnsi="Verdana"/>
          <w:b/>
          <w:bCs/>
          <w:sz w:val="24"/>
          <w:szCs w:val="24"/>
          <w:lang w:eastAsia="ja-JP"/>
        </w:rPr>
        <w:t xml:space="preserve"> on</w:t>
      </w:r>
      <w:r w:rsidRPr="00BB57FB">
        <w:rPr>
          <w:rFonts w:ascii="Verdana" w:eastAsia="Arial" w:hAnsi="Verdana"/>
          <w:b/>
          <w:bCs/>
          <w:sz w:val="24"/>
          <w:szCs w:val="24"/>
          <w:lang w:eastAsia="ja-JP"/>
        </w:rPr>
        <w:t xml:space="preserve"> 1 April 2025 </w:t>
      </w:r>
      <w:r w:rsidRPr="00BB57FB" w:rsidR="00D9276A">
        <w:rPr>
          <w:rFonts w:ascii="Verdana" w:eastAsia="Arial" w:hAnsi="Verdana"/>
          <w:b/>
          <w:bCs/>
          <w:sz w:val="24"/>
          <w:szCs w:val="24"/>
          <w:lang w:eastAsia="ja-JP"/>
        </w:rPr>
        <w:br/>
      </w:r>
      <w:r w:rsidRPr="00BB57FB">
        <w:rPr>
          <w:rFonts w:ascii="Verdana" w:eastAsia="Arial" w:hAnsi="Verdana"/>
          <w:b/>
          <w:bCs/>
          <w:sz w:val="24"/>
          <w:szCs w:val="24"/>
          <w:lang w:eastAsia="ja-JP"/>
        </w:rPr>
        <w:t>from the Independent Society of Musicians</w:t>
      </w:r>
    </w:p>
    <w:p w:rsidR="001D2758" w:rsidRPr="00BB57FB" w:rsidP="001D2758">
      <w:pPr>
        <w:spacing w:line="279" w:lineRule="auto"/>
        <w:jc w:val="center"/>
        <w:rPr>
          <w:rFonts w:ascii="Verdana" w:eastAsia="Arial" w:hAnsi="Verdana"/>
          <w:sz w:val="24"/>
          <w:szCs w:val="24"/>
          <w:lang w:eastAsia="ja-JP"/>
        </w:rPr>
      </w:pPr>
    </w:p>
    <w:p w:rsidR="000A605E" w:rsidRPr="00BB57FB" w:rsidP="00D9276A">
      <w:pPr>
        <w:spacing w:after="160" w:line="279" w:lineRule="auto"/>
        <w:jc w:val="both"/>
        <w:rPr>
          <w:rFonts w:ascii="Verdana" w:eastAsia="Arial" w:hAnsi="Verdana"/>
          <w:b/>
          <w:sz w:val="24"/>
          <w:szCs w:val="24"/>
          <w:lang w:eastAsia="ja-JP"/>
        </w:rPr>
      </w:pPr>
      <w:bookmarkEnd w:id="0"/>
      <w:r w:rsidRPr="00BB57FB">
        <w:rPr>
          <w:rFonts w:ascii="Verdana" w:eastAsia="Arial" w:hAnsi="Verdana"/>
          <w:b/>
          <w:sz w:val="24"/>
          <w:szCs w:val="24"/>
          <w:lang w:eastAsia="ja-JP"/>
        </w:rPr>
        <w:t>About the ISM</w:t>
      </w:r>
      <w:r w:rsidRPr="00BB57FB">
        <w:rPr>
          <w:rFonts w:ascii="Verdana" w:eastAsia="Arial" w:hAnsi="Verdana"/>
          <w:b/>
          <w:sz w:val="24"/>
          <w:szCs w:val="24"/>
          <w:lang w:eastAsia="ja-JP"/>
        </w:rPr>
        <w:tab/>
      </w:r>
    </w:p>
    <w:p w:rsidR="000A605E" w:rsidRPr="00BB57FB" w:rsidP="00A54C26">
      <w:pPr>
        <w:spacing w:line="276" w:lineRule="auto"/>
        <w:jc w:val="both"/>
        <w:rPr>
          <w:rFonts w:ascii="Verdana" w:eastAsia="Arial" w:hAnsi="Verdana"/>
          <w:bCs/>
          <w:sz w:val="24"/>
          <w:szCs w:val="24"/>
          <w:lang w:eastAsia="ja-JP"/>
        </w:rPr>
      </w:pPr>
      <w:r w:rsidRPr="00BB57FB">
        <w:rPr>
          <w:rFonts w:ascii="Verdana" w:eastAsia="Arial" w:hAnsi="Verdana"/>
          <w:bCs/>
          <w:sz w:val="24"/>
          <w:szCs w:val="24"/>
          <w:lang w:eastAsia="ja-JP"/>
        </w:rPr>
        <w:t>The Independent Society of Musicians (ISM) is the UK’s largest non-trade union representative body for musicians with over 11,000 members who come from all parts of the music sector. Since 2016 we have researched the impact of the decision to leave the EU on musicians and their work in Europe. In August 2023 the ISM published its sixth Brexit report focusing on the impact of the Trade and Cooperation Agreement (TCA) on musicians and touring in Europe.</w:t>
      </w:r>
      <w:r>
        <w:rPr>
          <w:rFonts w:ascii="Verdana" w:eastAsia="Arial" w:hAnsi="Verdana"/>
          <w:bCs/>
          <w:sz w:val="24"/>
          <w:szCs w:val="24"/>
          <w:vertAlign w:val="superscript"/>
          <w:lang w:eastAsia="ja-JP"/>
        </w:rPr>
        <w:endnoteReference w:id="2"/>
      </w:r>
      <w:r w:rsidRPr="00BB57FB">
        <w:rPr>
          <w:rFonts w:ascii="Verdana" w:eastAsia="Arial" w:hAnsi="Verdana"/>
          <w:bCs/>
          <w:sz w:val="24"/>
          <w:szCs w:val="24"/>
          <w:lang w:eastAsia="ja-JP"/>
        </w:rPr>
        <w:t xml:space="preserve"> It is the most comprehensive piece of qualitative and quantitative research in this area and draws on the experiences of musicians from </w:t>
      </w:r>
      <w:r w:rsidRPr="00BB57FB" w:rsidR="00B05288">
        <w:rPr>
          <w:rFonts w:ascii="Verdana" w:eastAsia="Arial" w:hAnsi="Verdana"/>
          <w:bCs/>
          <w:sz w:val="24"/>
          <w:szCs w:val="24"/>
          <w:lang w:eastAsia="ja-JP"/>
        </w:rPr>
        <w:t xml:space="preserve">right </w:t>
      </w:r>
      <w:r w:rsidRPr="00BB57FB">
        <w:rPr>
          <w:rFonts w:ascii="Verdana" w:eastAsia="Arial" w:hAnsi="Verdana"/>
          <w:bCs/>
          <w:sz w:val="24"/>
          <w:szCs w:val="24"/>
          <w:lang w:eastAsia="ja-JP"/>
        </w:rPr>
        <w:t xml:space="preserve">across the music sector. The ISM provides extensive free resources and advice on touring on our website to non-members and members alike, and visa advice through the service delivered by Viva la Visa. </w:t>
      </w:r>
    </w:p>
    <w:p w:rsidR="00A54C26" w:rsidRPr="00BB57FB" w:rsidP="00A54C26">
      <w:pPr>
        <w:spacing w:line="276" w:lineRule="auto"/>
        <w:jc w:val="both"/>
        <w:rPr>
          <w:rFonts w:ascii="Verdana" w:eastAsia="Arial" w:hAnsi="Verdana"/>
          <w:bCs/>
          <w:sz w:val="24"/>
          <w:szCs w:val="24"/>
          <w:lang w:eastAsia="ja-JP"/>
        </w:rPr>
      </w:pPr>
    </w:p>
    <w:p w:rsidR="000A605E" w:rsidRPr="00BB57FB" w:rsidP="00D9276A">
      <w:pPr>
        <w:spacing w:after="160" w:line="279" w:lineRule="auto"/>
        <w:jc w:val="both"/>
        <w:rPr>
          <w:rFonts w:ascii="Verdana" w:eastAsia="Arial" w:hAnsi="Verdana"/>
          <w:b/>
          <w:bCs/>
          <w:sz w:val="24"/>
          <w:szCs w:val="24"/>
          <w:lang w:eastAsia="ja-JP"/>
        </w:rPr>
      </w:pPr>
      <w:r w:rsidRPr="00BB57FB">
        <w:rPr>
          <w:rFonts w:ascii="Verdana" w:eastAsia="Arial" w:hAnsi="Verdana"/>
          <w:b/>
          <w:bCs/>
          <w:sz w:val="24"/>
          <w:szCs w:val="24"/>
          <w:lang w:eastAsia="ja-JP"/>
        </w:rPr>
        <w:t xml:space="preserve">What are the arrangements for UK-EU professional mobility in your sector and what impact are these arrangements having? </w:t>
      </w:r>
    </w:p>
    <w:p w:rsidR="000A605E" w:rsidRPr="00BB57FB" w:rsidP="00DA11CA">
      <w:pPr>
        <w:spacing w:after="160" w:line="276" w:lineRule="auto"/>
        <w:jc w:val="both"/>
        <w:rPr>
          <w:rFonts w:ascii="Verdana" w:eastAsia="Arial" w:hAnsi="Verdana"/>
          <w:sz w:val="24"/>
          <w:szCs w:val="24"/>
          <w:lang w:eastAsia="ja-JP"/>
        </w:rPr>
      </w:pPr>
      <w:r w:rsidRPr="00BB57FB">
        <w:rPr>
          <w:rFonts w:ascii="Verdana" w:eastAsia="Arial" w:hAnsi="Verdana"/>
          <w:sz w:val="24"/>
          <w:szCs w:val="24"/>
          <w:lang w:eastAsia="ja-JP"/>
        </w:rPr>
        <w:t xml:space="preserve">The </w:t>
      </w:r>
      <w:r w:rsidRPr="00BB57FB">
        <w:rPr>
          <w:rFonts w:ascii="Verdana" w:eastAsia="Arial" w:hAnsi="Verdana"/>
          <w:sz w:val="24"/>
          <w:szCs w:val="24"/>
          <w:lang w:val="en-US" w:eastAsia="ja-JP"/>
        </w:rPr>
        <w:t xml:space="preserve">TCA </w:t>
      </w:r>
      <w:r w:rsidRPr="00BB57FB">
        <w:rPr>
          <w:rFonts w:ascii="Verdana" w:eastAsia="Arial" w:hAnsi="Verdana"/>
          <w:sz w:val="24"/>
          <w:szCs w:val="24"/>
          <w:lang w:eastAsia="ja-JP"/>
        </w:rPr>
        <w:t>made no provision for touring musicians, which means that since the UK’s exit from the EU, Member States can choose to treat UK musicians as ‘third country nationals’ when entering the country for paid work and require a visa or work permit, or both.</w:t>
      </w:r>
    </w:p>
    <w:p w:rsidR="000A605E" w:rsidRPr="00BB57FB" w:rsidP="00DA11CA">
      <w:pPr>
        <w:spacing w:after="160" w:line="276" w:lineRule="auto"/>
        <w:jc w:val="both"/>
        <w:rPr>
          <w:rFonts w:ascii="Verdana" w:eastAsia="Arial" w:hAnsi="Verdana"/>
          <w:sz w:val="24"/>
          <w:szCs w:val="24"/>
          <w:lang w:eastAsia="ja-JP"/>
        </w:rPr>
      </w:pPr>
      <w:r w:rsidRPr="00BB57FB">
        <w:rPr>
          <w:rFonts w:ascii="Verdana" w:eastAsia="Arial" w:hAnsi="Verdana"/>
          <w:sz w:val="24"/>
          <w:szCs w:val="24"/>
          <w:lang w:eastAsia="ja-JP"/>
        </w:rPr>
        <w:t xml:space="preserve">A number of Member States allow UK nationals to do paid work for up to 90 days in a period of 180 without requiring a visa or work permit. However, around ten Member States offer far less than this and at least one (Cyprus) offers no visa-free work at all (see Appendix I). In addition to work permits, proof of earnings, a criminal-record check or other notarised paperwork is often required. </w:t>
      </w:r>
    </w:p>
    <w:p w:rsidR="000A605E" w:rsidRPr="00BB57FB" w:rsidP="00DA11CA">
      <w:pPr>
        <w:spacing w:after="160" w:line="276" w:lineRule="auto"/>
        <w:jc w:val="both"/>
        <w:rPr>
          <w:rFonts w:ascii="Verdana" w:eastAsia="Arial" w:hAnsi="Verdana"/>
          <w:sz w:val="24"/>
          <w:szCs w:val="24"/>
          <w:lang w:eastAsia="ja-JP"/>
        </w:rPr>
      </w:pPr>
      <w:r w:rsidRPr="00BB57FB">
        <w:rPr>
          <w:rFonts w:ascii="Verdana" w:eastAsia="Arial" w:hAnsi="Verdana"/>
          <w:sz w:val="24"/>
          <w:szCs w:val="24"/>
          <w:lang w:eastAsia="ja-JP"/>
        </w:rPr>
        <w:t>There is currently no multi-country visa for the EU. Unless you remain in just one EU country and apply for a long-stay visa or residence permit, there is no visa that will allow you to stay for more than 90 days in 180.</w:t>
      </w:r>
    </w:p>
    <w:p w:rsidR="000A605E" w:rsidRPr="00BB57FB" w:rsidP="00DA11CA">
      <w:pPr>
        <w:spacing w:after="160" w:line="276" w:lineRule="auto"/>
        <w:jc w:val="both"/>
        <w:rPr>
          <w:rFonts w:ascii="Verdana" w:eastAsia="Arial" w:hAnsi="Verdana"/>
          <w:sz w:val="24"/>
          <w:szCs w:val="24"/>
          <w:lang w:eastAsia="ja-JP"/>
        </w:rPr>
      </w:pPr>
      <w:r w:rsidRPr="00BB57FB">
        <w:rPr>
          <w:rFonts w:ascii="Verdana" w:eastAsia="Arial" w:hAnsi="Verdana"/>
          <w:sz w:val="24"/>
          <w:szCs w:val="24"/>
          <w:lang w:eastAsia="ja-JP"/>
        </w:rPr>
        <w:t>The complex mobility regulations are time-consuming and expensive for UK artists to navigate. In February 2021 the ISM created a comprehensive visa and work permit guide to help musicians understand the different requirements for each country.</w:t>
      </w:r>
      <w:r>
        <w:rPr>
          <w:rFonts w:ascii="Verdana" w:eastAsia="Arial" w:hAnsi="Verdana"/>
          <w:sz w:val="24"/>
          <w:szCs w:val="24"/>
          <w:vertAlign w:val="superscript"/>
          <w:lang w:eastAsia="ja-JP"/>
        </w:rPr>
        <w:endnoteReference w:id="3"/>
      </w:r>
      <w:r w:rsidRPr="00BB57FB">
        <w:rPr>
          <w:rFonts w:ascii="Verdana" w:eastAsia="Arial" w:hAnsi="Verdana"/>
          <w:sz w:val="24"/>
          <w:szCs w:val="24"/>
          <w:lang w:eastAsia="ja-JP"/>
        </w:rPr>
        <w:t xml:space="preserve"> </w:t>
      </w:r>
    </w:p>
    <w:p w:rsidR="000A605E" w:rsidRPr="00BB57FB" w:rsidP="00DA11CA">
      <w:pPr>
        <w:spacing w:after="160" w:line="276" w:lineRule="auto"/>
        <w:jc w:val="both"/>
        <w:rPr>
          <w:rFonts w:ascii="Verdana" w:eastAsia="Arial" w:hAnsi="Verdana"/>
          <w:sz w:val="24"/>
          <w:szCs w:val="24"/>
          <w:lang w:val="en-US" w:eastAsia="ja-JP"/>
        </w:rPr>
      </w:pPr>
      <w:r w:rsidRPr="00BB57FB">
        <w:rPr>
          <w:rFonts w:ascii="Verdana" w:eastAsia="Arial" w:hAnsi="Verdana"/>
          <w:sz w:val="24"/>
          <w:szCs w:val="24"/>
          <w:lang w:eastAsia="ja-JP"/>
        </w:rPr>
        <w:t>The impact on UK artists is laid out in t</w:t>
      </w:r>
      <w:r w:rsidRPr="00BB57FB">
        <w:rPr>
          <w:rFonts w:ascii="Verdana" w:eastAsia="Arial" w:hAnsi="Verdana"/>
          <w:sz w:val="24"/>
          <w:szCs w:val="24"/>
          <w:lang w:val="en-US" w:eastAsia="ja-JP"/>
        </w:rPr>
        <w:t>he ISM’s sixth Brexit report, Paying the Price, which was the first to report on musicians’ experiences of working in Europe after 1 January 2021, the date that the TCA was provisionally applied:</w:t>
      </w:r>
    </w:p>
    <w:p w:rsidR="000A605E" w:rsidRPr="00BB57FB" w:rsidP="00A07520">
      <w:pPr>
        <w:numPr>
          <w:ilvl w:val="0"/>
          <w:numId w:val="7"/>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Almost half (</w:t>
      </w:r>
      <w:r w:rsidRPr="00BB57FB">
        <w:rPr>
          <w:rFonts w:ascii="Verdana" w:eastAsia="Arial" w:hAnsi="Verdana"/>
          <w:b/>
          <w:bCs/>
          <w:sz w:val="24"/>
          <w:szCs w:val="24"/>
          <w:lang w:eastAsia="ja-JP"/>
        </w:rPr>
        <w:t>47.4%</w:t>
      </w:r>
      <w:r w:rsidRPr="00BB57FB">
        <w:rPr>
          <w:rFonts w:ascii="Verdana" w:eastAsia="Arial" w:hAnsi="Verdana"/>
          <w:sz w:val="24"/>
          <w:szCs w:val="24"/>
          <w:lang w:eastAsia="ja-JP"/>
        </w:rPr>
        <w:t>) of the respondents in the survey said that they had less work in the EU after January 2021 than they did before Brexit. Over a quarter (</w:t>
      </w:r>
      <w:r w:rsidRPr="00BB57FB">
        <w:rPr>
          <w:rFonts w:ascii="Verdana" w:eastAsia="Arial" w:hAnsi="Verdana"/>
          <w:b/>
          <w:bCs/>
          <w:sz w:val="24"/>
          <w:szCs w:val="24"/>
          <w:lang w:eastAsia="ja-JP"/>
        </w:rPr>
        <w:t>27.8%</w:t>
      </w:r>
      <w:r w:rsidRPr="00BB57FB">
        <w:rPr>
          <w:rFonts w:ascii="Verdana" w:eastAsia="Arial" w:hAnsi="Verdana"/>
          <w:sz w:val="24"/>
          <w:szCs w:val="24"/>
          <w:lang w:eastAsia="ja-JP"/>
        </w:rPr>
        <w:t xml:space="preserve">) said that they had none at all. </w:t>
      </w:r>
    </w:p>
    <w:p w:rsidR="00BB16E5" w:rsidRPr="00E2166F" w:rsidP="00E2166F">
      <w:pPr>
        <w:numPr>
          <w:ilvl w:val="0"/>
          <w:numId w:val="5"/>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Over a third (</w:t>
      </w:r>
      <w:r w:rsidRPr="00BB57FB">
        <w:rPr>
          <w:rFonts w:ascii="Verdana" w:eastAsia="Arial" w:hAnsi="Verdana"/>
          <w:b/>
          <w:bCs/>
          <w:sz w:val="24"/>
          <w:szCs w:val="24"/>
          <w:lang w:eastAsia="ja-JP"/>
        </w:rPr>
        <w:t>39%</w:t>
      </w:r>
      <w:r w:rsidRPr="00BB57FB">
        <w:rPr>
          <w:rFonts w:ascii="Verdana" w:eastAsia="Arial" w:hAnsi="Verdana"/>
          <w:sz w:val="24"/>
          <w:szCs w:val="24"/>
          <w:lang w:eastAsia="ja-JP"/>
        </w:rPr>
        <w:t>) of respondents had had to turn down work since 1 January 2021. The amount of lost income ranged between £500 to £450,000. A similar number (</w:t>
      </w:r>
      <w:r w:rsidRPr="00BB57FB">
        <w:rPr>
          <w:rFonts w:ascii="Verdana" w:eastAsia="Arial" w:hAnsi="Verdana"/>
          <w:b/>
          <w:bCs/>
          <w:sz w:val="24"/>
          <w:szCs w:val="24"/>
          <w:lang w:eastAsia="ja-JP"/>
        </w:rPr>
        <w:t>40%</w:t>
      </w:r>
      <w:r w:rsidRPr="00BB57FB">
        <w:rPr>
          <w:rFonts w:ascii="Verdana" w:eastAsia="Arial" w:hAnsi="Verdana"/>
          <w:sz w:val="24"/>
          <w:szCs w:val="24"/>
          <w:lang w:eastAsia="ja-JP"/>
        </w:rPr>
        <w:t xml:space="preserve">) had had work cancelled in the same period. This represented lost income ranging from £800 to £100,000. </w:t>
      </w:r>
    </w:p>
    <w:p w:rsidR="00BB16E5" w:rsidRPr="00BB57FB" w:rsidP="00D9276A">
      <w:pPr>
        <w:spacing w:after="160" w:line="279" w:lineRule="auto"/>
        <w:jc w:val="both"/>
        <w:rPr>
          <w:rFonts w:ascii="Verdana" w:eastAsia="Arial" w:hAnsi="Verdana"/>
          <w:sz w:val="24"/>
          <w:szCs w:val="24"/>
          <w:lang w:eastAsia="ja-JP"/>
        </w:rPr>
      </w:pPr>
    </w:p>
    <w:p w:rsidR="000A605E" w:rsidRPr="00BB57FB" w:rsidP="00D9276A">
      <w:pPr>
        <w:spacing w:after="160" w:line="279" w:lineRule="auto"/>
        <w:jc w:val="both"/>
        <w:rPr>
          <w:rFonts w:ascii="Verdana" w:eastAsia="Arial" w:hAnsi="Verdana"/>
          <w:sz w:val="24"/>
          <w:szCs w:val="24"/>
          <w:lang w:eastAsia="ja-JP"/>
        </w:rPr>
      </w:pPr>
      <w:r w:rsidRPr="00BB57FB">
        <w:rPr>
          <w:rFonts w:ascii="Verdana" w:eastAsia="Arial" w:hAnsi="Verdana"/>
          <w:sz w:val="24"/>
          <w:szCs w:val="24"/>
          <w:lang w:eastAsia="ja-JP"/>
        </w:rPr>
        <w:t>Quotes from survey respondents:</w:t>
      </w:r>
    </w:p>
    <w:p w:rsidR="000A605E" w:rsidRPr="00BB57FB" w:rsidP="00A07520">
      <w:pPr>
        <w:pStyle w:val="ListParagraph"/>
        <w:numPr>
          <w:ilvl w:val="0"/>
          <w:numId w:val="18"/>
        </w:numPr>
        <w:spacing w:after="160" w:line="279" w:lineRule="auto"/>
        <w:jc w:val="both"/>
        <w:rPr>
          <w:rFonts w:ascii="Verdana" w:eastAsia="Arial" w:hAnsi="Verdana"/>
          <w:iCs/>
          <w:sz w:val="24"/>
          <w:szCs w:val="24"/>
          <w:lang w:eastAsia="ja-JP"/>
        </w:rPr>
      </w:pPr>
      <w:r w:rsidRPr="00BB57FB">
        <w:rPr>
          <w:rFonts w:ascii="Verdana" w:eastAsia="Arial" w:hAnsi="Verdana"/>
          <w:iCs/>
          <w:sz w:val="24"/>
          <w:szCs w:val="24"/>
          <w:lang w:eastAsia="ja-JP"/>
        </w:rPr>
        <w:t>‘I am unable to work. I was let go of my ensemble and now cannot find sufficient work to continue as a freelancer in the industry.’</w:t>
      </w:r>
    </w:p>
    <w:p w:rsidR="000A605E" w:rsidRPr="00BB57FB" w:rsidP="00A07520">
      <w:pPr>
        <w:pStyle w:val="ListParagraph"/>
        <w:numPr>
          <w:ilvl w:val="0"/>
          <w:numId w:val="18"/>
        </w:numPr>
        <w:spacing w:after="160" w:line="279" w:lineRule="auto"/>
        <w:jc w:val="both"/>
        <w:rPr>
          <w:rFonts w:ascii="Verdana" w:eastAsia="Arial" w:hAnsi="Verdana"/>
          <w:iCs/>
          <w:sz w:val="24"/>
          <w:szCs w:val="24"/>
          <w:lang w:eastAsia="ja-JP"/>
        </w:rPr>
      </w:pPr>
      <w:r w:rsidRPr="00BB57FB">
        <w:rPr>
          <w:rFonts w:ascii="Verdana" w:eastAsia="Arial" w:hAnsi="Verdana"/>
          <w:iCs/>
          <w:sz w:val="24"/>
          <w:szCs w:val="24"/>
          <w:lang w:eastAsia="ja-JP"/>
        </w:rPr>
        <w:t>‘Work has come to a halt</w:t>
      </w:r>
      <w:r w:rsidRPr="00BB57FB" w:rsidR="00DA11CA">
        <w:rPr>
          <w:rFonts w:ascii="Verdana" w:eastAsia="Arial" w:hAnsi="Verdana"/>
          <w:iCs/>
          <w:sz w:val="24"/>
          <w:szCs w:val="24"/>
          <w:lang w:eastAsia="ja-JP"/>
        </w:rPr>
        <w:t>…</w:t>
      </w:r>
      <w:r w:rsidRPr="00BB57FB">
        <w:rPr>
          <w:rFonts w:ascii="Verdana" w:eastAsia="Arial" w:hAnsi="Verdana"/>
          <w:iCs/>
          <w:sz w:val="24"/>
          <w:szCs w:val="24"/>
          <w:lang w:eastAsia="ja-JP"/>
        </w:rPr>
        <w:t>The offer of European gigs simply dried up completely</w:t>
      </w:r>
      <w:r w:rsidRPr="00BB57FB" w:rsidR="00DA11CA">
        <w:rPr>
          <w:rFonts w:ascii="Verdana" w:eastAsia="Arial" w:hAnsi="Verdana"/>
          <w:iCs/>
          <w:sz w:val="24"/>
          <w:szCs w:val="24"/>
          <w:lang w:eastAsia="ja-JP"/>
        </w:rPr>
        <w:t>…</w:t>
      </w:r>
      <w:r w:rsidRPr="00BB57FB">
        <w:rPr>
          <w:rFonts w:ascii="Verdana" w:eastAsia="Arial" w:hAnsi="Verdana"/>
          <w:iCs/>
          <w:sz w:val="24"/>
          <w:szCs w:val="24"/>
          <w:lang w:eastAsia="ja-JP"/>
        </w:rPr>
        <w:t>my band simply can’t make any kind of living in the tiny UK market, so we basically have folded as a working band.’</w:t>
      </w:r>
    </w:p>
    <w:p w:rsidR="000A605E" w:rsidRPr="00BB57FB" w:rsidP="00A07520">
      <w:pPr>
        <w:pStyle w:val="ListParagraph"/>
        <w:numPr>
          <w:ilvl w:val="0"/>
          <w:numId w:val="18"/>
        </w:numPr>
        <w:spacing w:after="160" w:line="279" w:lineRule="auto"/>
        <w:jc w:val="both"/>
        <w:rPr>
          <w:rFonts w:ascii="Verdana" w:eastAsia="Arial" w:hAnsi="Verdana"/>
          <w:iCs/>
          <w:sz w:val="24"/>
          <w:szCs w:val="24"/>
          <w:lang w:eastAsia="ja-JP"/>
        </w:rPr>
      </w:pPr>
      <w:r w:rsidRPr="00BB57FB">
        <w:rPr>
          <w:rFonts w:ascii="Verdana" w:eastAsia="Arial" w:hAnsi="Verdana"/>
          <w:iCs/>
          <w:sz w:val="24"/>
          <w:szCs w:val="24"/>
          <w:lang w:eastAsia="ja-JP"/>
        </w:rPr>
        <w:t>‘</w:t>
      </w:r>
      <w:r w:rsidRPr="00BB57FB" w:rsidR="00DA11CA">
        <w:rPr>
          <w:rFonts w:ascii="Verdana" w:eastAsia="Arial" w:hAnsi="Verdana"/>
          <w:iCs/>
          <w:sz w:val="24"/>
          <w:szCs w:val="24"/>
          <w:lang w:eastAsia="ja-JP"/>
        </w:rPr>
        <w:t>…</w:t>
      </w:r>
      <w:r w:rsidRPr="00BB57FB">
        <w:rPr>
          <w:rFonts w:ascii="Verdana" w:eastAsia="Arial" w:hAnsi="Verdana"/>
          <w:iCs/>
          <w:sz w:val="24"/>
          <w:szCs w:val="24"/>
          <w:lang w:eastAsia="ja-JP"/>
        </w:rPr>
        <w:t>many of my clients and colleagues have fallen foul of the 90 in 180-day travel restrictions. Some have lost out on tens of thousands of pounds in work as a result.’</w:t>
      </w:r>
    </w:p>
    <w:p w:rsidR="000A605E" w:rsidRPr="00BB57FB" w:rsidP="00A07520">
      <w:pPr>
        <w:pStyle w:val="ListParagraph"/>
        <w:numPr>
          <w:ilvl w:val="0"/>
          <w:numId w:val="18"/>
        </w:numPr>
        <w:spacing w:line="279" w:lineRule="auto"/>
        <w:jc w:val="both"/>
        <w:rPr>
          <w:rFonts w:ascii="Verdana" w:eastAsia="Arial" w:hAnsi="Verdana"/>
          <w:iCs/>
          <w:sz w:val="24"/>
          <w:szCs w:val="24"/>
          <w:lang w:eastAsia="ja-JP"/>
        </w:rPr>
      </w:pPr>
      <w:r w:rsidRPr="00BB57FB">
        <w:rPr>
          <w:rFonts w:ascii="Verdana" w:eastAsia="Arial" w:hAnsi="Verdana"/>
          <w:iCs/>
          <w:sz w:val="24"/>
          <w:szCs w:val="24"/>
          <w:lang w:eastAsia="ja-JP"/>
        </w:rPr>
        <w:t>‘</w:t>
      </w:r>
      <w:r w:rsidRPr="00BB57FB" w:rsidR="00DA11CA">
        <w:rPr>
          <w:rFonts w:ascii="Verdana" w:eastAsia="Arial" w:hAnsi="Verdana"/>
          <w:iCs/>
          <w:sz w:val="24"/>
          <w:szCs w:val="24"/>
          <w:lang w:eastAsia="ja-JP"/>
        </w:rPr>
        <w:t>…</w:t>
      </w:r>
      <w:r w:rsidRPr="00BB57FB">
        <w:rPr>
          <w:rFonts w:ascii="Verdana" w:eastAsia="Arial" w:hAnsi="Verdana"/>
          <w:iCs/>
          <w:sz w:val="24"/>
          <w:szCs w:val="24"/>
          <w:lang w:eastAsia="ja-JP"/>
        </w:rPr>
        <w:t>counting days, having to decide whether it is possible to take work, visit family or even go on holiday in EU</w:t>
      </w:r>
      <w:r w:rsidRPr="00BB57FB" w:rsidR="00DA11CA">
        <w:rPr>
          <w:rFonts w:ascii="Verdana" w:eastAsia="Arial" w:hAnsi="Verdana"/>
          <w:iCs/>
          <w:sz w:val="24"/>
          <w:szCs w:val="24"/>
          <w:lang w:eastAsia="ja-JP"/>
        </w:rPr>
        <w:t>…</w:t>
      </w:r>
      <w:r w:rsidRPr="00BB57FB">
        <w:rPr>
          <w:rFonts w:ascii="Verdana" w:eastAsia="Arial" w:hAnsi="Verdana"/>
          <w:iCs/>
          <w:sz w:val="24"/>
          <w:szCs w:val="24"/>
          <w:lang w:eastAsia="ja-JP"/>
        </w:rPr>
        <w:t>tough choices. Having to pay to come back between performances sometimes for 24 hours to “save” days’.</w:t>
      </w:r>
    </w:p>
    <w:p w:rsidR="00DA11CA" w:rsidRPr="00BB57FB" w:rsidP="00DA11CA">
      <w:pPr>
        <w:pStyle w:val="ListParagraph"/>
        <w:spacing w:line="279" w:lineRule="auto"/>
        <w:jc w:val="both"/>
        <w:rPr>
          <w:rFonts w:ascii="Verdana" w:eastAsia="Arial" w:hAnsi="Verdana"/>
          <w:iCs/>
          <w:sz w:val="24"/>
          <w:szCs w:val="24"/>
          <w:lang w:eastAsia="ja-JP"/>
        </w:rPr>
      </w:pPr>
    </w:p>
    <w:p w:rsidR="000A605E" w:rsidRPr="00BB57FB" w:rsidP="00D9276A">
      <w:pPr>
        <w:spacing w:after="160" w:line="279" w:lineRule="auto"/>
        <w:jc w:val="both"/>
        <w:rPr>
          <w:rFonts w:ascii="Verdana" w:eastAsia="Arial" w:hAnsi="Verdana"/>
          <w:b/>
          <w:bCs/>
          <w:sz w:val="24"/>
          <w:szCs w:val="24"/>
          <w:lang w:eastAsia="ja-JP"/>
        </w:rPr>
      </w:pPr>
      <w:r w:rsidRPr="00BB57FB">
        <w:rPr>
          <w:rFonts w:ascii="Verdana" w:eastAsia="Arial" w:hAnsi="Verdana"/>
          <w:b/>
          <w:bCs/>
          <w:sz w:val="24"/>
          <w:szCs w:val="24"/>
          <w:lang w:eastAsia="ja-JP"/>
        </w:rPr>
        <w:t>How do they compare with the EU’s arrangements with other non-Member States?</w:t>
      </w:r>
    </w:p>
    <w:p w:rsidR="000A605E" w:rsidRPr="00BB57FB" w:rsidP="00DA11CA">
      <w:pPr>
        <w:spacing w:after="160" w:line="276" w:lineRule="auto"/>
        <w:jc w:val="both"/>
        <w:rPr>
          <w:rFonts w:ascii="Verdana" w:eastAsia="Arial" w:hAnsi="Verdana"/>
          <w:sz w:val="24"/>
          <w:szCs w:val="24"/>
          <w:lang w:eastAsia="ja-JP"/>
        </w:rPr>
      </w:pPr>
      <w:r w:rsidRPr="00BB57FB">
        <w:rPr>
          <w:rFonts w:ascii="Verdana" w:eastAsia="Arial" w:hAnsi="Verdana"/>
          <w:sz w:val="24"/>
          <w:szCs w:val="24"/>
          <w:lang w:eastAsia="ja-JP"/>
        </w:rPr>
        <w:t xml:space="preserve">The EU has a series of visa-waiver arrangements with other non-Member States that allow visa-free short-term visits on a reciprocal basis for performing artists and their support crews taking up work on an ad-hoc basis for up to 90 days in a period of 180 days. </w:t>
      </w:r>
    </w:p>
    <w:p w:rsidR="000A605E" w:rsidRPr="00BB57FB" w:rsidP="00DA11CA">
      <w:pPr>
        <w:spacing w:line="276" w:lineRule="auto"/>
        <w:jc w:val="both"/>
        <w:rPr>
          <w:rFonts w:ascii="Verdana" w:eastAsia="Arial" w:hAnsi="Verdana"/>
          <w:sz w:val="24"/>
          <w:szCs w:val="24"/>
          <w:lang w:eastAsia="ja-JP"/>
        </w:rPr>
      </w:pPr>
      <w:r w:rsidRPr="00BB57FB">
        <w:rPr>
          <w:rFonts w:ascii="Verdana" w:eastAsia="Arial" w:hAnsi="Verdana"/>
          <w:sz w:val="24"/>
          <w:szCs w:val="24"/>
          <w:lang w:eastAsia="ja-JP"/>
        </w:rPr>
        <w:t>These cover a limited number of professions, such as ‘artists performing an activity on an ad-hoc basis.’ Since 2009 the EU has entered into nearly 30 such agreements.</w:t>
      </w:r>
      <w:r>
        <w:rPr>
          <w:rFonts w:ascii="Verdana" w:eastAsia="Arial" w:hAnsi="Verdana"/>
          <w:sz w:val="24"/>
          <w:szCs w:val="24"/>
          <w:vertAlign w:val="superscript"/>
          <w:lang w:eastAsia="ja-JP"/>
        </w:rPr>
        <w:endnoteReference w:id="4"/>
      </w:r>
    </w:p>
    <w:p w:rsidR="00DA11CA" w:rsidRPr="00BB57FB" w:rsidP="00DA11CA">
      <w:pPr>
        <w:spacing w:line="279" w:lineRule="auto"/>
        <w:jc w:val="both"/>
        <w:rPr>
          <w:rFonts w:ascii="Verdana" w:eastAsia="Arial" w:hAnsi="Verdana"/>
          <w:sz w:val="24"/>
          <w:szCs w:val="24"/>
          <w:lang w:eastAsia="ja-JP"/>
        </w:rPr>
      </w:pPr>
    </w:p>
    <w:p w:rsidR="000A605E" w:rsidRPr="00BB57FB" w:rsidP="00D9276A">
      <w:pPr>
        <w:spacing w:after="160" w:line="279" w:lineRule="auto"/>
        <w:jc w:val="both"/>
        <w:rPr>
          <w:rFonts w:ascii="Verdana" w:eastAsia="Arial" w:hAnsi="Verdana"/>
          <w:b/>
          <w:bCs/>
          <w:sz w:val="24"/>
          <w:szCs w:val="24"/>
          <w:lang w:eastAsia="ja-JP"/>
        </w:rPr>
      </w:pPr>
      <w:r w:rsidRPr="00BB57FB">
        <w:rPr>
          <w:rFonts w:ascii="Verdana" w:eastAsia="Arial" w:hAnsi="Verdana"/>
          <w:b/>
          <w:bCs/>
          <w:sz w:val="24"/>
          <w:szCs w:val="24"/>
          <w:lang w:eastAsia="ja-JP"/>
        </w:rPr>
        <w:t xml:space="preserve">Why does the UK services sector seem to be doing relatively well since Brexit? </w:t>
      </w:r>
    </w:p>
    <w:p w:rsidR="000A605E" w:rsidRPr="00BB57FB" w:rsidP="00DA11CA">
      <w:pPr>
        <w:spacing w:after="160" w:line="276" w:lineRule="auto"/>
        <w:jc w:val="both"/>
        <w:rPr>
          <w:rFonts w:ascii="Verdana" w:eastAsia="Arial" w:hAnsi="Verdana"/>
          <w:sz w:val="24"/>
          <w:szCs w:val="24"/>
          <w:lang w:eastAsia="ja-JP"/>
        </w:rPr>
      </w:pPr>
      <w:r w:rsidRPr="00BB57FB">
        <w:rPr>
          <w:rFonts w:ascii="Verdana" w:eastAsia="Arial" w:hAnsi="Verdana"/>
          <w:sz w:val="24"/>
          <w:szCs w:val="24"/>
          <w:lang w:eastAsia="ja-JP"/>
        </w:rPr>
        <w:t>Although the UK services sector has been more resilient since Brexit, this is mainly due to ‘other business services’ including accountancy, management consultancy and legal services. According to City AM, ‘Unlike finance, these services are less reliant on EU membership and so Brexit has imposed fewer costs. Business services are generally less heavily regulated than financial services and so the barriers to exchange are often lower.’</w:t>
      </w:r>
      <w:r>
        <w:rPr>
          <w:rFonts w:ascii="Verdana" w:eastAsia="Arial" w:hAnsi="Verdana"/>
          <w:sz w:val="24"/>
          <w:szCs w:val="24"/>
          <w:vertAlign w:val="superscript"/>
          <w:lang w:eastAsia="ja-JP"/>
        </w:rPr>
        <w:endnoteReference w:id="5"/>
      </w:r>
      <w:r w:rsidRPr="00BB57FB">
        <w:rPr>
          <w:rFonts w:ascii="Verdana" w:eastAsia="Arial" w:hAnsi="Verdana"/>
          <w:sz w:val="24"/>
          <w:szCs w:val="24"/>
          <w:lang w:eastAsia="ja-JP"/>
        </w:rPr>
        <w:t xml:space="preserve"> </w:t>
      </w:r>
    </w:p>
    <w:p w:rsidR="000A605E" w:rsidRPr="00BB57FB" w:rsidP="00DA11CA">
      <w:pPr>
        <w:spacing w:line="276" w:lineRule="auto"/>
        <w:jc w:val="both"/>
        <w:rPr>
          <w:rFonts w:ascii="Verdana" w:eastAsia="Arial" w:hAnsi="Verdana"/>
          <w:sz w:val="24"/>
          <w:szCs w:val="24"/>
          <w:lang w:eastAsia="ja-JP"/>
        </w:rPr>
      </w:pPr>
      <w:r w:rsidRPr="00BB57FB">
        <w:rPr>
          <w:rFonts w:ascii="Verdana" w:eastAsia="Arial" w:hAnsi="Verdana"/>
          <w:sz w:val="24"/>
          <w:szCs w:val="24"/>
          <w:lang w:eastAsia="ja-JP"/>
        </w:rPr>
        <w:t xml:space="preserve">Music and many creative industries have obviously not been so fortunate and have been particularly hard hit by Brexit. The </w:t>
      </w:r>
      <w:r w:rsidRPr="00BB57FB" w:rsidR="0022666A">
        <w:rPr>
          <w:rFonts w:ascii="Verdana" w:eastAsia="Arial" w:hAnsi="Verdana"/>
          <w:sz w:val="24"/>
          <w:szCs w:val="24"/>
          <w:lang w:eastAsia="ja-JP"/>
        </w:rPr>
        <w:t>c</w:t>
      </w:r>
      <w:r w:rsidRPr="00BB57FB">
        <w:rPr>
          <w:rFonts w:ascii="Verdana" w:eastAsia="Arial" w:hAnsi="Verdana"/>
          <w:sz w:val="24"/>
          <w:szCs w:val="24"/>
          <w:lang w:eastAsia="ja-JP"/>
        </w:rPr>
        <w:t xml:space="preserve">reative </w:t>
      </w:r>
      <w:r w:rsidRPr="00BB57FB" w:rsidR="0022666A">
        <w:rPr>
          <w:rFonts w:ascii="Verdana" w:eastAsia="Arial" w:hAnsi="Verdana"/>
          <w:sz w:val="24"/>
          <w:szCs w:val="24"/>
          <w:lang w:eastAsia="ja-JP"/>
        </w:rPr>
        <w:t>i</w:t>
      </w:r>
      <w:r w:rsidRPr="00BB57FB">
        <w:rPr>
          <w:rFonts w:ascii="Verdana" w:eastAsia="Arial" w:hAnsi="Verdana"/>
          <w:sz w:val="24"/>
          <w:szCs w:val="24"/>
          <w:lang w:eastAsia="ja-JP"/>
        </w:rPr>
        <w:t>ndustries are worth £124</w:t>
      </w:r>
      <w:r w:rsidRPr="00BB57FB" w:rsidR="0022666A">
        <w:rPr>
          <w:rFonts w:ascii="Verdana" w:eastAsia="Arial" w:hAnsi="Verdana"/>
          <w:sz w:val="24"/>
          <w:szCs w:val="24"/>
          <w:lang w:eastAsia="ja-JP"/>
        </w:rPr>
        <w:t xml:space="preserve"> </w:t>
      </w:r>
      <w:r w:rsidRPr="00BB57FB">
        <w:rPr>
          <w:rFonts w:ascii="Verdana" w:eastAsia="Arial" w:hAnsi="Verdana"/>
          <w:sz w:val="24"/>
          <w:szCs w:val="24"/>
          <w:lang w:eastAsia="ja-JP"/>
        </w:rPr>
        <w:t>b</w:t>
      </w:r>
      <w:r w:rsidRPr="00BB57FB" w:rsidR="0022666A">
        <w:rPr>
          <w:rFonts w:ascii="Verdana" w:eastAsia="Arial" w:hAnsi="Verdana"/>
          <w:sz w:val="24"/>
          <w:szCs w:val="24"/>
          <w:lang w:eastAsia="ja-JP"/>
        </w:rPr>
        <w:t>illio</w:t>
      </w:r>
      <w:r w:rsidRPr="00BB57FB">
        <w:rPr>
          <w:rFonts w:ascii="Verdana" w:eastAsia="Arial" w:hAnsi="Verdana"/>
          <w:sz w:val="24"/>
          <w:szCs w:val="24"/>
          <w:lang w:eastAsia="ja-JP"/>
        </w:rPr>
        <w:t>n per year and employ or engage over two million people.</w:t>
      </w:r>
      <w:r>
        <w:rPr>
          <w:rFonts w:ascii="Verdana" w:eastAsia="Arial" w:hAnsi="Verdana"/>
          <w:sz w:val="24"/>
          <w:szCs w:val="24"/>
          <w:vertAlign w:val="superscript"/>
          <w:lang w:eastAsia="ja-JP"/>
        </w:rPr>
        <w:endnoteReference w:id="6"/>
      </w:r>
      <w:r w:rsidRPr="00BB57FB">
        <w:rPr>
          <w:rFonts w:ascii="Verdana" w:eastAsia="Arial" w:hAnsi="Verdana"/>
          <w:sz w:val="24"/>
          <w:szCs w:val="24"/>
          <w:lang w:eastAsia="ja-JP"/>
        </w:rPr>
        <w:t xml:space="preserve"> </w:t>
      </w:r>
      <w:r w:rsidRPr="00BB57FB" w:rsidR="005C45F5">
        <w:rPr>
          <w:rFonts w:ascii="Verdana" w:eastAsia="Arial" w:hAnsi="Verdana"/>
          <w:sz w:val="24"/>
          <w:szCs w:val="24"/>
          <w:lang w:eastAsia="ja-JP"/>
        </w:rPr>
        <w:t>They are</w:t>
      </w:r>
      <w:r w:rsidRPr="00BB57FB">
        <w:rPr>
          <w:rFonts w:ascii="Verdana" w:eastAsia="Arial" w:hAnsi="Verdana"/>
          <w:sz w:val="24"/>
          <w:szCs w:val="24"/>
          <w:lang w:eastAsia="ja-JP"/>
        </w:rPr>
        <w:t xml:space="preserve"> one of our foremost industries and also deliver soft power. Musicians need to be able to tour freely and take up opportunities internationally in order to maintain the UK’s position as a global leader in music and continue growth in this area.</w:t>
      </w:r>
    </w:p>
    <w:p w:rsidR="000A605E" w:rsidRPr="00BB57FB" w:rsidP="00D9276A">
      <w:pPr>
        <w:jc w:val="both"/>
        <w:rPr>
          <w:rFonts w:ascii="Verdana" w:eastAsia="Arial" w:hAnsi="Verdana"/>
          <w:b/>
          <w:bCs/>
          <w:sz w:val="24"/>
          <w:szCs w:val="24"/>
          <w:lang w:eastAsia="ja-JP"/>
        </w:rPr>
      </w:pPr>
    </w:p>
    <w:p w:rsidR="000A605E" w:rsidRPr="00BB57FB" w:rsidP="00D9276A">
      <w:pPr>
        <w:spacing w:after="160" w:line="279" w:lineRule="auto"/>
        <w:jc w:val="both"/>
        <w:rPr>
          <w:rFonts w:ascii="Verdana" w:eastAsia="Arial" w:hAnsi="Verdana"/>
          <w:b/>
          <w:bCs/>
          <w:sz w:val="24"/>
          <w:szCs w:val="24"/>
          <w:lang w:eastAsia="ja-JP"/>
        </w:rPr>
      </w:pPr>
      <w:r w:rsidRPr="00BB57FB">
        <w:rPr>
          <w:rFonts w:ascii="Verdana" w:eastAsia="Arial" w:hAnsi="Verdana"/>
          <w:b/>
          <w:bCs/>
          <w:sz w:val="24"/>
          <w:szCs w:val="24"/>
          <w:lang w:eastAsia="ja-JP"/>
        </w:rPr>
        <w:t>Has anything changed since the last time you gave evidence in 2022?</w:t>
      </w:r>
    </w:p>
    <w:p w:rsidR="000A605E" w:rsidRPr="00BB57FB" w:rsidP="00B05288">
      <w:pPr>
        <w:spacing w:line="276" w:lineRule="auto"/>
        <w:jc w:val="both"/>
        <w:rPr>
          <w:rFonts w:ascii="Verdana" w:eastAsia="Arial" w:hAnsi="Verdana"/>
          <w:sz w:val="24"/>
          <w:szCs w:val="24"/>
          <w:lang w:eastAsia="ja-JP"/>
        </w:rPr>
      </w:pPr>
      <w:r w:rsidRPr="00BB57FB">
        <w:rPr>
          <w:rFonts w:ascii="Verdana" w:eastAsia="Arial" w:hAnsi="Verdana"/>
          <w:sz w:val="24"/>
          <w:szCs w:val="24"/>
          <w:lang w:eastAsia="ja-JP"/>
        </w:rPr>
        <w:t>There has been a disappointing lack of progress so far since I gave evidence in 2022. However, the level of engagement is much better than 12 months ago.</w:t>
      </w:r>
    </w:p>
    <w:p w:rsidR="00DA11CA" w:rsidRPr="00BB57FB" w:rsidP="00DA11CA">
      <w:pPr>
        <w:spacing w:line="279" w:lineRule="auto"/>
        <w:jc w:val="both"/>
        <w:rPr>
          <w:rFonts w:ascii="Verdana" w:eastAsia="Arial" w:hAnsi="Verdana"/>
          <w:b/>
          <w:bCs/>
          <w:sz w:val="24"/>
          <w:szCs w:val="24"/>
          <w:lang w:eastAsia="ja-JP"/>
        </w:rPr>
      </w:pPr>
    </w:p>
    <w:p w:rsidR="000A605E" w:rsidRPr="00BB57FB" w:rsidP="00D9276A">
      <w:pPr>
        <w:spacing w:after="160" w:line="279" w:lineRule="auto"/>
        <w:jc w:val="both"/>
        <w:rPr>
          <w:rFonts w:ascii="Verdana" w:eastAsia="Arial" w:hAnsi="Verdana"/>
          <w:b/>
          <w:bCs/>
          <w:sz w:val="24"/>
          <w:szCs w:val="24"/>
          <w:lang w:eastAsia="ja-JP"/>
        </w:rPr>
      </w:pPr>
      <w:r w:rsidRPr="00BB57FB">
        <w:rPr>
          <w:rFonts w:ascii="Verdana" w:eastAsia="Arial" w:hAnsi="Verdana"/>
          <w:b/>
          <w:bCs/>
          <w:sz w:val="24"/>
          <w:szCs w:val="24"/>
          <w:lang w:eastAsia="ja-JP"/>
        </w:rPr>
        <w:t>Is the Government identifying this as a ‘reset’ priority making any difference?</w:t>
      </w:r>
    </w:p>
    <w:p w:rsidR="000A605E" w:rsidRPr="00BB57FB" w:rsidP="00D9276A">
      <w:pPr>
        <w:spacing w:after="160" w:line="279" w:lineRule="auto"/>
        <w:jc w:val="both"/>
        <w:rPr>
          <w:rFonts w:ascii="Verdana" w:eastAsia="Arial" w:hAnsi="Verdana"/>
          <w:sz w:val="24"/>
          <w:szCs w:val="24"/>
          <w:lang w:eastAsia="ja-JP"/>
        </w:rPr>
      </w:pPr>
      <w:r w:rsidRPr="00BB57FB">
        <w:rPr>
          <w:rFonts w:ascii="Verdana" w:eastAsia="Arial" w:hAnsi="Verdana"/>
          <w:sz w:val="24"/>
          <w:szCs w:val="24"/>
          <w:lang w:eastAsia="ja-JP"/>
        </w:rPr>
        <w:t xml:space="preserve">There is noticeably more engagement with DCMS and of a higher quality since there has been a new government. The government has very warm words for the sector and seems to be genuinely committed to making touring in the EU easier. The next step is the summit on 19 May 2025, and the ISM is keen to see meaningful progress at the summit and immediately after. </w:t>
      </w:r>
    </w:p>
    <w:p w:rsidR="000A605E" w:rsidRPr="00BB57FB" w:rsidP="00B05288">
      <w:pPr>
        <w:spacing w:line="279" w:lineRule="auto"/>
        <w:jc w:val="both"/>
        <w:rPr>
          <w:rFonts w:ascii="Verdana" w:eastAsia="Arial" w:hAnsi="Verdana"/>
          <w:sz w:val="24"/>
          <w:szCs w:val="24"/>
          <w:lang w:eastAsia="ja-JP"/>
        </w:rPr>
      </w:pPr>
      <w:r w:rsidRPr="00BB57FB">
        <w:rPr>
          <w:rFonts w:ascii="Verdana" w:eastAsia="Arial" w:hAnsi="Verdana"/>
          <w:sz w:val="24"/>
          <w:szCs w:val="24"/>
          <w:lang w:eastAsia="ja-JP"/>
        </w:rPr>
        <w:t>Naturally we understand that there are other important issues that need to be discussed, but music and our creative industries cannot be set aside.</w:t>
      </w:r>
    </w:p>
    <w:p w:rsidR="00B05288" w:rsidRPr="00BB57FB" w:rsidP="00B05288">
      <w:pPr>
        <w:spacing w:line="279" w:lineRule="auto"/>
        <w:jc w:val="both"/>
        <w:rPr>
          <w:rFonts w:ascii="Verdana" w:eastAsia="Arial" w:hAnsi="Verdana"/>
          <w:sz w:val="24"/>
          <w:szCs w:val="24"/>
          <w:lang w:eastAsia="ja-JP"/>
        </w:rPr>
      </w:pPr>
    </w:p>
    <w:p w:rsidR="000A605E" w:rsidRPr="00BB57FB" w:rsidP="00D9276A">
      <w:pPr>
        <w:spacing w:after="160" w:line="279" w:lineRule="auto"/>
        <w:jc w:val="both"/>
        <w:rPr>
          <w:rFonts w:ascii="Verdana" w:eastAsia="Arial" w:hAnsi="Verdana"/>
          <w:b/>
          <w:bCs/>
          <w:sz w:val="24"/>
          <w:szCs w:val="24"/>
          <w:lang w:eastAsia="ja-JP"/>
        </w:rPr>
      </w:pPr>
      <w:r w:rsidRPr="00BB57FB">
        <w:rPr>
          <w:rFonts w:ascii="Verdana" w:eastAsia="Arial" w:hAnsi="Verdana"/>
          <w:b/>
          <w:bCs/>
          <w:sz w:val="24"/>
          <w:szCs w:val="24"/>
          <w:lang w:eastAsia="ja-JP"/>
        </w:rPr>
        <w:t xml:space="preserve">Are there any signs of the EU shifting its position?  </w:t>
      </w:r>
    </w:p>
    <w:p w:rsidR="000A605E" w:rsidRPr="00BB57FB" w:rsidP="00D9276A">
      <w:pPr>
        <w:spacing w:after="160" w:line="279" w:lineRule="auto"/>
        <w:jc w:val="both"/>
        <w:rPr>
          <w:rFonts w:ascii="Verdana" w:eastAsia="Arial" w:hAnsi="Verdana"/>
          <w:sz w:val="24"/>
          <w:szCs w:val="24"/>
          <w:lang w:eastAsia="ja-JP"/>
        </w:rPr>
      </w:pPr>
      <w:r w:rsidRPr="00BB57FB">
        <w:rPr>
          <w:rFonts w:ascii="Verdana" w:eastAsia="Arial" w:hAnsi="Verdana"/>
          <w:sz w:val="24"/>
          <w:szCs w:val="24"/>
          <w:lang w:eastAsia="ja-JP"/>
        </w:rPr>
        <w:t xml:space="preserve">The new European Commission has only been in place since January and we are keen for mobility issues around touring and musicians to be covered at the summit on 19 May. There seems to be a genuine interest on the EU’s part to reset the relationship. The government’s agenda is focused on growth, which we endorse. As part of this strategy, we believe that the many issues which have arisen as a result of the creative industries not being covered in the TCA should be tackled. Some of these are within the domain of the UK Government. Some can only be addressed through talking to the EU. See Appendix III, which sets out who is responsible for what – the buckets diagram. </w:t>
      </w:r>
    </w:p>
    <w:p w:rsidR="000A605E" w:rsidRPr="00BB57FB" w:rsidP="00B05288">
      <w:pPr>
        <w:spacing w:line="279" w:lineRule="auto"/>
        <w:jc w:val="both"/>
        <w:rPr>
          <w:rFonts w:ascii="Verdana" w:eastAsia="Arial" w:hAnsi="Verdana"/>
          <w:sz w:val="24"/>
          <w:szCs w:val="24"/>
          <w:lang w:eastAsia="ja-JP"/>
        </w:rPr>
      </w:pPr>
      <w:r w:rsidRPr="00BB57FB">
        <w:rPr>
          <w:rFonts w:ascii="Verdana" w:eastAsia="Arial" w:hAnsi="Verdana"/>
          <w:sz w:val="24"/>
          <w:szCs w:val="24"/>
          <w:lang w:eastAsia="ja-JP"/>
        </w:rPr>
        <w:t xml:space="preserve">The UK Government does seem genuinely keen to engage its EU counterparts and the ISM is hopeful for meaningful discussions between the two parties soon. </w:t>
      </w:r>
    </w:p>
    <w:p w:rsidR="00B05288" w:rsidRPr="00BB57FB" w:rsidP="00B05288">
      <w:pPr>
        <w:spacing w:line="279" w:lineRule="auto"/>
        <w:jc w:val="both"/>
        <w:rPr>
          <w:rFonts w:ascii="Verdana" w:eastAsia="Arial" w:hAnsi="Verdana"/>
          <w:sz w:val="24"/>
          <w:szCs w:val="24"/>
          <w:lang w:eastAsia="ja-JP"/>
        </w:rPr>
      </w:pPr>
    </w:p>
    <w:p w:rsidR="000A605E" w:rsidRPr="00BB57FB" w:rsidP="00D9276A">
      <w:pPr>
        <w:spacing w:after="160" w:line="279" w:lineRule="auto"/>
        <w:jc w:val="both"/>
        <w:rPr>
          <w:rFonts w:ascii="Verdana" w:eastAsia="Arial" w:hAnsi="Verdana"/>
          <w:sz w:val="24"/>
          <w:szCs w:val="24"/>
          <w:lang w:eastAsia="ja-JP"/>
        </w:rPr>
      </w:pPr>
      <w:r w:rsidRPr="00BB57FB">
        <w:rPr>
          <w:rFonts w:ascii="Verdana" w:eastAsia="Arial" w:hAnsi="Verdana"/>
          <w:b/>
          <w:bCs/>
          <w:sz w:val="24"/>
          <w:szCs w:val="24"/>
          <w:lang w:eastAsia="ja-JP"/>
        </w:rPr>
        <w:t>What are the ‘asks’ that the Government should have for the reset with respect to professional mobility &amp; your sector more widely?</w:t>
      </w:r>
    </w:p>
    <w:p w:rsidR="000A605E" w:rsidRPr="00BB57FB" w:rsidP="00D9276A">
      <w:pPr>
        <w:spacing w:line="257" w:lineRule="auto"/>
        <w:contextualSpacing/>
        <w:jc w:val="both"/>
        <w:rPr>
          <w:rFonts w:ascii="Verdana" w:eastAsia="Arial" w:hAnsi="Verdana"/>
          <w:sz w:val="24"/>
          <w:szCs w:val="24"/>
          <w:lang w:val="en-US" w:eastAsia="ja-JP"/>
        </w:rPr>
      </w:pPr>
      <w:r w:rsidRPr="00BB57FB">
        <w:rPr>
          <w:rFonts w:ascii="Verdana" w:eastAsia="Arial" w:hAnsi="Verdana"/>
          <w:sz w:val="24"/>
          <w:szCs w:val="24"/>
          <w:u w:val="single"/>
          <w:lang w:val="en-US" w:eastAsia="ja-JP"/>
        </w:rPr>
        <w:t xml:space="preserve">Visa Waiver Agreement </w:t>
      </w:r>
      <w:r w:rsidRPr="00BB57FB" w:rsidR="1A113B1F">
        <w:rPr>
          <w:rFonts w:ascii="Verdana" w:eastAsia="Arial" w:hAnsi="Verdana"/>
          <w:sz w:val="24"/>
          <w:szCs w:val="24"/>
          <w:u w:val="single"/>
          <w:lang w:val="en-US" w:eastAsia="ja-JP"/>
        </w:rPr>
        <w:t>and Touring Visa</w:t>
      </w:r>
    </w:p>
    <w:p w:rsidR="000A605E" w:rsidRPr="00BB57FB" w:rsidP="00D9276A">
      <w:pPr>
        <w:spacing w:line="276" w:lineRule="auto"/>
        <w:jc w:val="both"/>
        <w:rPr>
          <w:rFonts w:ascii="Verdana" w:eastAsia="Arial" w:hAnsi="Verdana"/>
          <w:sz w:val="24"/>
          <w:szCs w:val="24"/>
          <w:lang w:eastAsia="ja-JP"/>
        </w:rPr>
      </w:pPr>
    </w:p>
    <w:p w:rsidR="000A605E" w:rsidRPr="00BB57FB" w:rsidP="00D9276A">
      <w:pPr>
        <w:spacing w:after="160" w:line="276" w:lineRule="auto"/>
        <w:jc w:val="both"/>
        <w:rPr>
          <w:rFonts w:ascii="Verdana" w:eastAsia="Arial" w:hAnsi="Verdana"/>
          <w:sz w:val="24"/>
          <w:szCs w:val="24"/>
          <w:lang w:eastAsia="ja-JP"/>
        </w:rPr>
      </w:pPr>
      <w:r w:rsidRPr="00BB57FB">
        <w:rPr>
          <w:rFonts w:ascii="Verdana" w:eastAsia="Arial" w:hAnsi="Verdana"/>
          <w:sz w:val="24"/>
          <w:szCs w:val="24"/>
          <w:lang w:eastAsia="ja-JP"/>
        </w:rPr>
        <w:t>Short-term work: Visa Waiver Agreement</w:t>
      </w:r>
    </w:p>
    <w:p w:rsidR="000A605E" w:rsidRPr="00BB57FB" w:rsidP="00D9276A">
      <w:pPr>
        <w:spacing w:line="276" w:lineRule="auto"/>
        <w:jc w:val="both"/>
        <w:rPr>
          <w:rFonts w:ascii="Verdana" w:eastAsia="Arial" w:hAnsi="Verdana"/>
          <w:sz w:val="24"/>
          <w:szCs w:val="24"/>
          <w:lang w:eastAsia="ja-JP"/>
        </w:rPr>
      </w:pPr>
      <w:r w:rsidRPr="00BB57FB">
        <w:rPr>
          <w:rFonts w:ascii="Verdana" w:eastAsia="Arial" w:hAnsi="Verdana"/>
          <w:sz w:val="24"/>
          <w:szCs w:val="24"/>
          <w:lang w:eastAsia="ja-JP"/>
        </w:rPr>
        <w:t>In January 2021, the ISM put forward a proposal for a Visa Waiver Agreement (VWA) having obtained extensive legal advice from Sarah Lee KC, an expert barrister with specialisms in the World Trade Organisation (WTO) and global rules of trade, EU law and trade agreements (see Appendix II). A VWA is a commonly used mechanism to cover mobility and is a short agreement between the EU and countries outside the EU. It would not require TCA negotiations to be reopened and this type of agreement is common practice for the EU, which has entered into nearly 30 VWA or Joint Declarations with third countries since 2009.</w:t>
      </w:r>
    </w:p>
    <w:p w:rsidR="000A605E" w:rsidRPr="00BB57FB" w:rsidP="00D9276A">
      <w:pPr>
        <w:spacing w:line="276" w:lineRule="auto"/>
        <w:jc w:val="both"/>
        <w:rPr>
          <w:rFonts w:ascii="Verdana" w:eastAsia="MS Mincho" w:hAnsi="Verdana"/>
          <w:sz w:val="24"/>
          <w:szCs w:val="24"/>
          <w:lang w:eastAsia="ja-JP"/>
        </w:rPr>
      </w:pPr>
    </w:p>
    <w:p w:rsidR="000A605E" w:rsidRPr="00BB57FB" w:rsidP="00D9276A">
      <w:pPr>
        <w:spacing w:line="276" w:lineRule="auto"/>
        <w:jc w:val="both"/>
        <w:rPr>
          <w:rFonts w:ascii="Verdana" w:eastAsia="MS Mincho" w:hAnsi="Verdana"/>
          <w:sz w:val="24"/>
          <w:szCs w:val="24"/>
          <w:lang w:eastAsia="ja-JP"/>
        </w:rPr>
      </w:pPr>
      <w:r w:rsidRPr="00BB57FB">
        <w:rPr>
          <w:rFonts w:ascii="Verdana" w:eastAsia="Arial" w:hAnsi="Verdana"/>
          <w:sz w:val="24"/>
          <w:szCs w:val="24"/>
          <w:lang w:eastAsia="ja-JP"/>
        </w:rPr>
        <w:t>The proposed VWA would be a reciprocal deal negotiated between the UK Government and the EU. It would allow UK performing artists and their support staff the freedom to take up short-term work on an ad-hoc basis</w:t>
      </w:r>
      <w:r w:rsidRPr="00BB57FB" w:rsidR="00505788">
        <w:rPr>
          <w:rFonts w:ascii="Verdana" w:eastAsia="Arial" w:hAnsi="Verdana"/>
          <w:sz w:val="24"/>
          <w:szCs w:val="24"/>
          <w:lang w:eastAsia="ja-JP"/>
        </w:rPr>
        <w:t xml:space="preserve"> in the EU</w:t>
      </w:r>
      <w:r w:rsidRPr="00BB57FB">
        <w:rPr>
          <w:rFonts w:ascii="Verdana" w:eastAsia="Arial" w:hAnsi="Verdana"/>
          <w:sz w:val="24"/>
          <w:szCs w:val="24"/>
          <w:lang w:eastAsia="ja-JP"/>
        </w:rPr>
        <w:t xml:space="preserve"> for up to 90 days in a period of 180 days. It would harmonise the existing visa regulations across the various EU Member States, removing a large element of the complex red tape that currently exists.</w:t>
      </w:r>
    </w:p>
    <w:p w:rsidR="000A605E" w:rsidRPr="00BB57FB" w:rsidP="00D9276A">
      <w:pPr>
        <w:spacing w:line="276" w:lineRule="auto"/>
        <w:jc w:val="both"/>
        <w:rPr>
          <w:rFonts w:ascii="Verdana" w:eastAsia="Arial" w:hAnsi="Verdana"/>
          <w:sz w:val="24"/>
          <w:szCs w:val="24"/>
          <w:lang w:eastAsia="ja-JP"/>
        </w:rPr>
      </w:pPr>
    </w:p>
    <w:p w:rsidR="000A605E" w:rsidRPr="00BB57FB" w:rsidP="00D9276A">
      <w:pPr>
        <w:spacing w:after="160" w:line="276" w:lineRule="auto"/>
        <w:jc w:val="both"/>
        <w:rPr>
          <w:rFonts w:ascii="Verdana" w:eastAsia="Arial" w:hAnsi="Verdana"/>
          <w:sz w:val="24"/>
          <w:szCs w:val="24"/>
          <w:lang w:eastAsia="ja-JP"/>
        </w:rPr>
      </w:pPr>
      <w:r w:rsidRPr="00BB57FB">
        <w:rPr>
          <w:rFonts w:ascii="Verdana" w:eastAsia="Arial" w:hAnsi="Verdana"/>
          <w:sz w:val="24"/>
          <w:szCs w:val="24"/>
          <w:lang w:eastAsia="ja-JP"/>
        </w:rPr>
        <w:t xml:space="preserve">Long-term work: Touring </w:t>
      </w:r>
      <w:r w:rsidRPr="00BB57FB" w:rsidR="009B388B">
        <w:rPr>
          <w:rFonts w:ascii="Verdana" w:eastAsia="Arial" w:hAnsi="Verdana"/>
          <w:sz w:val="24"/>
          <w:szCs w:val="24"/>
          <w:lang w:eastAsia="ja-JP"/>
        </w:rPr>
        <w:t>V</w:t>
      </w:r>
      <w:r w:rsidRPr="00BB57FB">
        <w:rPr>
          <w:rFonts w:ascii="Verdana" w:eastAsia="Arial" w:hAnsi="Verdana"/>
          <w:sz w:val="24"/>
          <w:szCs w:val="24"/>
          <w:lang w:eastAsia="ja-JP"/>
        </w:rPr>
        <w:t>isa</w:t>
      </w:r>
    </w:p>
    <w:p w:rsidR="000A605E" w:rsidRPr="00BB57FB" w:rsidP="00D9276A">
      <w:pPr>
        <w:spacing w:line="276" w:lineRule="auto"/>
        <w:jc w:val="both"/>
        <w:rPr>
          <w:rFonts w:ascii="Verdana" w:eastAsia="Arial" w:hAnsi="Verdana"/>
          <w:sz w:val="24"/>
          <w:szCs w:val="24"/>
          <w:lang w:eastAsia="ja-JP"/>
        </w:rPr>
      </w:pPr>
      <w:r w:rsidRPr="00BB57FB">
        <w:rPr>
          <w:rFonts w:ascii="Verdana" w:eastAsia="Arial" w:hAnsi="Verdana"/>
          <w:sz w:val="24"/>
          <w:szCs w:val="24"/>
          <w:lang w:eastAsia="ja-JP"/>
        </w:rPr>
        <w:t>As early as 2017, the ISM and others in the industry called for a two-year, multi-entry touring visa. The House of Lords European Union Committee agreed in its 2018 report recommendations: ‘The Government should also seek a commitment for an EU-wide multi-country, multi-entry short-term “touring visa” for UK citizens, and offer a reciprocal commitment for EU citizens. This would enable self-employed persons to travel for short-term visits between the UK and the EU, recognising the two-way benefits that accrue from allowing artists, entertainers and other cultural sector workers to move freely between the UK and EU to tour and work on short-term contracts.’</w:t>
      </w:r>
      <w:r>
        <w:rPr>
          <w:rFonts w:ascii="Verdana" w:eastAsia="Arial" w:hAnsi="Verdana"/>
          <w:sz w:val="24"/>
          <w:szCs w:val="24"/>
          <w:vertAlign w:val="superscript"/>
          <w:lang w:eastAsia="ja-JP"/>
        </w:rPr>
        <w:endnoteReference w:id="7"/>
      </w:r>
    </w:p>
    <w:p w:rsidR="000A605E" w:rsidRPr="00BB57FB" w:rsidP="00D9276A">
      <w:pPr>
        <w:spacing w:line="276" w:lineRule="auto"/>
        <w:jc w:val="both"/>
        <w:rPr>
          <w:rFonts w:ascii="Verdana" w:eastAsia="Arial" w:hAnsi="Verdana"/>
          <w:sz w:val="24"/>
          <w:szCs w:val="24"/>
          <w:lang w:eastAsia="ja-JP"/>
        </w:rPr>
      </w:pPr>
    </w:p>
    <w:p w:rsidR="000A605E" w:rsidRPr="00BB57FB" w:rsidP="00D9276A">
      <w:pPr>
        <w:spacing w:line="276" w:lineRule="auto"/>
        <w:jc w:val="both"/>
        <w:rPr>
          <w:rFonts w:ascii="Verdana" w:eastAsia="Arial" w:hAnsi="Verdana"/>
          <w:sz w:val="24"/>
          <w:szCs w:val="24"/>
          <w:lang w:eastAsia="ja-JP"/>
        </w:rPr>
      </w:pPr>
      <w:r w:rsidRPr="00BB57FB">
        <w:rPr>
          <w:rFonts w:ascii="Verdana" w:eastAsia="Arial" w:hAnsi="Verdana"/>
          <w:sz w:val="24"/>
          <w:szCs w:val="24"/>
          <w:lang w:eastAsia="ja-JP"/>
        </w:rPr>
        <w:t>The European Commission proposed the establishment of a touring visa in 2014, recognising that touring artists and accompanying staff don’t generally meet the residency requirements for long-stay visas. The ‘T-type visa’ would have covered stays in two or more Member States for more than 90 days but less than a year, with the possibility of extending up to two years.</w:t>
      </w:r>
      <w:r>
        <w:rPr>
          <w:rFonts w:ascii="Verdana" w:eastAsia="Arial" w:hAnsi="Verdana"/>
          <w:sz w:val="24"/>
          <w:szCs w:val="24"/>
          <w:vertAlign w:val="superscript"/>
          <w:lang w:eastAsia="ja-JP"/>
        </w:rPr>
        <w:endnoteReference w:id="8"/>
      </w:r>
    </w:p>
    <w:p w:rsidR="000A605E" w:rsidRPr="00BB57FB" w:rsidP="00D9276A">
      <w:pPr>
        <w:spacing w:line="276" w:lineRule="auto"/>
        <w:jc w:val="both"/>
        <w:rPr>
          <w:rFonts w:ascii="Verdana" w:eastAsia="Arial" w:hAnsi="Verdana"/>
          <w:sz w:val="24"/>
          <w:szCs w:val="24"/>
          <w:lang w:eastAsia="ja-JP"/>
        </w:rPr>
      </w:pPr>
    </w:p>
    <w:p w:rsidR="000A605E" w:rsidRPr="00BB57FB" w:rsidP="00D9276A">
      <w:pPr>
        <w:spacing w:line="276" w:lineRule="auto"/>
        <w:jc w:val="both"/>
        <w:rPr>
          <w:rFonts w:ascii="Verdana" w:eastAsia="Arial" w:hAnsi="Verdana"/>
          <w:sz w:val="24"/>
          <w:szCs w:val="24"/>
          <w:lang w:eastAsia="ja-JP"/>
        </w:rPr>
      </w:pPr>
      <w:r w:rsidRPr="00BB57FB">
        <w:rPr>
          <w:rFonts w:ascii="Verdana" w:eastAsia="Arial" w:hAnsi="Verdana"/>
          <w:sz w:val="24"/>
          <w:szCs w:val="24"/>
          <w:lang w:eastAsia="ja-JP"/>
        </w:rPr>
        <w:t>The UK and EU Domestic Advisory Groups (DAG) to the EU-UK Trade and Cooperation Agreement released a joint statement ahead of the second Civil Society Forum (CSF) in November 2023. In it, they stated that ‘…a range of workers and professional service providers, including those in creative industries, should be allowed more flexible travel arrangements, including visa-free and longer stays than 90 in 180 days. A cultural visa waiver should be created for creative workers.’</w:t>
      </w:r>
      <w:r>
        <w:rPr>
          <w:rFonts w:ascii="Verdana" w:eastAsia="Arial" w:hAnsi="Verdana"/>
          <w:sz w:val="24"/>
          <w:szCs w:val="24"/>
          <w:vertAlign w:val="superscript"/>
          <w:lang w:eastAsia="ja-JP"/>
        </w:rPr>
        <w:endnoteReference w:id="9"/>
      </w:r>
    </w:p>
    <w:p w:rsidR="000A605E" w:rsidRPr="00BB57FB" w:rsidP="00D9276A">
      <w:pPr>
        <w:spacing w:line="276" w:lineRule="auto"/>
        <w:jc w:val="both"/>
        <w:rPr>
          <w:rFonts w:ascii="Verdana" w:eastAsia="MS Mincho" w:hAnsi="Verdana"/>
          <w:sz w:val="24"/>
          <w:szCs w:val="24"/>
          <w:lang w:eastAsia="ja-JP"/>
        </w:rPr>
      </w:pPr>
    </w:p>
    <w:p w:rsidR="000A605E" w:rsidRPr="00BB57FB" w:rsidP="00D9276A">
      <w:pPr>
        <w:spacing w:line="276" w:lineRule="auto"/>
        <w:jc w:val="both"/>
        <w:rPr>
          <w:rFonts w:ascii="Verdana" w:eastAsia="Arial" w:hAnsi="Verdana"/>
          <w:sz w:val="24"/>
          <w:szCs w:val="24"/>
          <w:lang w:eastAsia="ja-JP"/>
        </w:rPr>
      </w:pPr>
      <w:r w:rsidRPr="00BB57FB">
        <w:rPr>
          <w:rFonts w:ascii="Verdana" w:eastAsia="Arial" w:hAnsi="Verdana"/>
          <w:sz w:val="24"/>
          <w:szCs w:val="24"/>
          <w:lang w:eastAsia="ja-JP"/>
        </w:rPr>
        <w:t xml:space="preserve">The ISM agrees with this position and believes that a VWA and a touring visa could work </w:t>
      </w:r>
      <w:r w:rsidRPr="00BB57FB" w:rsidR="006C214A">
        <w:rPr>
          <w:rFonts w:ascii="Verdana" w:eastAsia="Arial" w:hAnsi="Verdana"/>
          <w:sz w:val="24"/>
          <w:szCs w:val="24"/>
          <w:lang w:eastAsia="ja-JP"/>
        </w:rPr>
        <w:t>i</w:t>
      </w:r>
      <w:r w:rsidRPr="00BB57FB">
        <w:rPr>
          <w:rFonts w:ascii="Verdana" w:eastAsia="Arial" w:hAnsi="Verdana"/>
          <w:sz w:val="24"/>
          <w:szCs w:val="24"/>
          <w:lang w:eastAsia="ja-JP"/>
        </w:rPr>
        <w:t>n tandem to address the issues currently faced by creative workers in both short-term and long-term situations. A VWA would help alleviate the administrative and financial burdens that have emerged for short-term work of less than 90 days, and a touring visa would support those creatives engaged in long-term work beyond the current Schengen allowance of 90 days in a 180-day period.</w:t>
      </w:r>
    </w:p>
    <w:p w:rsidR="000A605E" w:rsidRPr="00BB57FB" w:rsidP="00D9276A">
      <w:pPr>
        <w:spacing w:line="276" w:lineRule="auto"/>
        <w:jc w:val="both"/>
        <w:rPr>
          <w:rFonts w:ascii="Verdana" w:eastAsia="MS Mincho" w:hAnsi="Verdana"/>
          <w:sz w:val="24"/>
          <w:szCs w:val="24"/>
          <w:lang w:eastAsia="ja-JP"/>
        </w:rPr>
      </w:pPr>
    </w:p>
    <w:p w:rsidR="000A605E" w:rsidRPr="00BB57FB" w:rsidP="00D9276A">
      <w:pPr>
        <w:spacing w:line="276" w:lineRule="auto"/>
        <w:jc w:val="both"/>
        <w:rPr>
          <w:rFonts w:ascii="Verdana" w:eastAsia="MS Mincho" w:hAnsi="Verdana"/>
          <w:sz w:val="24"/>
          <w:szCs w:val="24"/>
          <w:lang w:eastAsia="ja-JP"/>
        </w:rPr>
      </w:pPr>
      <w:r w:rsidRPr="00BB57FB">
        <w:rPr>
          <w:rFonts w:ascii="Verdana" w:eastAsia="Arial" w:hAnsi="Verdana"/>
          <w:sz w:val="24"/>
          <w:szCs w:val="24"/>
          <w:lang w:eastAsia="ja-JP"/>
        </w:rPr>
        <w:t xml:space="preserve">Neither proposal would run counter to government policies around the end of freedom of movement, particularly as the UK already offers similar arrangements for those who come to work here in creative fields, both short- and long-term. </w:t>
      </w:r>
    </w:p>
    <w:p w:rsidR="000A605E" w:rsidRPr="00BB57FB" w:rsidP="00D9276A">
      <w:pPr>
        <w:spacing w:line="276" w:lineRule="auto"/>
        <w:jc w:val="both"/>
        <w:rPr>
          <w:rFonts w:ascii="Verdana" w:eastAsia="Arial" w:hAnsi="Verdana"/>
          <w:sz w:val="24"/>
          <w:szCs w:val="24"/>
          <w:lang w:eastAsia="ja-JP"/>
        </w:rPr>
      </w:pPr>
    </w:p>
    <w:p w:rsidR="00B05288" w:rsidRPr="00BB57FB" w:rsidP="00B05288">
      <w:pPr>
        <w:spacing w:after="160"/>
        <w:rPr>
          <w:rFonts w:ascii="Verdana" w:hAnsi="Verdana"/>
          <w:sz w:val="24"/>
          <w:szCs w:val="24"/>
          <w:u w:val="single"/>
        </w:rPr>
      </w:pPr>
      <w:r w:rsidRPr="00BB57FB">
        <w:rPr>
          <w:rFonts w:ascii="Verdana" w:hAnsi="Verdana"/>
          <w:sz w:val="24"/>
          <w:szCs w:val="24"/>
          <w:u w:val="single"/>
          <w:lang w:val="en-US" w:eastAsia="ja-JP"/>
        </w:rPr>
        <w:t xml:space="preserve">Access to the UK by EU </w:t>
      </w:r>
      <w:r w:rsidRPr="00BB57FB" w:rsidR="009E737E">
        <w:rPr>
          <w:rFonts w:ascii="Verdana" w:hAnsi="Verdana"/>
          <w:sz w:val="24"/>
          <w:szCs w:val="24"/>
          <w:u w:val="single"/>
          <w:lang w:val="en-US" w:eastAsia="ja-JP"/>
        </w:rPr>
        <w:t>c</w:t>
      </w:r>
      <w:r w:rsidRPr="00BB57FB">
        <w:rPr>
          <w:rFonts w:ascii="Verdana" w:hAnsi="Verdana"/>
          <w:sz w:val="24"/>
          <w:szCs w:val="24"/>
          <w:u w:val="single"/>
          <w:lang w:val="en-US" w:eastAsia="ja-JP"/>
        </w:rPr>
        <w:t>reatives</w:t>
      </w:r>
    </w:p>
    <w:p w:rsidR="000A605E" w:rsidRPr="00BB57FB" w:rsidP="006750CE">
      <w:pPr>
        <w:spacing w:after="160" w:line="276" w:lineRule="auto"/>
        <w:jc w:val="both"/>
        <w:rPr>
          <w:rFonts w:ascii="Verdana" w:hAnsi="Verdana"/>
          <w:sz w:val="24"/>
          <w:szCs w:val="24"/>
          <w:lang w:val="en-US" w:eastAsia="ja-JP"/>
        </w:rPr>
      </w:pPr>
      <w:r w:rsidRPr="00BB57FB">
        <w:rPr>
          <w:rFonts w:ascii="Verdana" w:hAnsi="Verdana"/>
          <w:sz w:val="24"/>
          <w:szCs w:val="24"/>
          <w:lang w:eastAsia="ja-JP"/>
        </w:rPr>
        <w:t>The UK does not have work permits. The UK’s domestic rules allow musicians, entertainers and artists from non-visa national countries, such as EU Member States and the US, to come to undertake paid work in the UK for a duration of:</w:t>
      </w:r>
    </w:p>
    <w:p w:rsidR="000A605E" w:rsidRPr="00BB57FB" w:rsidP="00A07520">
      <w:pPr>
        <w:numPr>
          <w:ilvl w:val="0"/>
          <w:numId w:val="1"/>
        </w:numPr>
        <w:spacing w:after="160" w:line="276" w:lineRule="auto"/>
        <w:contextualSpacing/>
        <w:jc w:val="both"/>
        <w:rPr>
          <w:rFonts w:ascii="Verdana" w:eastAsia="MS Mincho" w:hAnsi="Verdana"/>
          <w:sz w:val="24"/>
          <w:szCs w:val="24"/>
          <w:lang w:eastAsia="ja-JP"/>
        </w:rPr>
      </w:pPr>
      <w:r w:rsidRPr="00BB57FB">
        <w:rPr>
          <w:rFonts w:ascii="Verdana" w:eastAsia="MS Mincho" w:hAnsi="Verdana"/>
          <w:sz w:val="24"/>
          <w:szCs w:val="24"/>
          <w:lang w:eastAsia="ja-JP"/>
        </w:rPr>
        <w:t>30 days upon arrival as a visitor without requiring a visa if they are invited to the UK by a UK-based client or organisation and paid by a UK source (Permitted Paid Engagement).</w:t>
      </w:r>
    </w:p>
    <w:p w:rsidR="000A605E" w:rsidRPr="00BB57FB" w:rsidP="00A07520">
      <w:pPr>
        <w:numPr>
          <w:ilvl w:val="0"/>
          <w:numId w:val="1"/>
        </w:numPr>
        <w:spacing w:after="160" w:line="276" w:lineRule="auto"/>
        <w:contextualSpacing/>
        <w:jc w:val="both"/>
        <w:rPr>
          <w:rFonts w:ascii="Verdana" w:eastAsia="MS Mincho" w:hAnsi="Verdana"/>
          <w:sz w:val="24"/>
          <w:szCs w:val="24"/>
          <w:lang w:eastAsia="ja-JP"/>
        </w:rPr>
      </w:pPr>
      <w:r w:rsidRPr="00BB57FB">
        <w:rPr>
          <w:rFonts w:ascii="Verdana" w:eastAsia="MS Mincho" w:hAnsi="Verdana"/>
          <w:sz w:val="24"/>
          <w:szCs w:val="24"/>
          <w:lang w:eastAsia="ja-JP"/>
        </w:rPr>
        <w:t>3 months without requiring a visa if they have been assigned a Certificate of Sponsorship by a licensed sponsor under the Creative Worker visa concession.</w:t>
      </w:r>
    </w:p>
    <w:p w:rsidR="000A605E" w:rsidRPr="00BB57FB" w:rsidP="00A07520">
      <w:pPr>
        <w:numPr>
          <w:ilvl w:val="0"/>
          <w:numId w:val="1"/>
        </w:numPr>
        <w:spacing w:after="160" w:line="276" w:lineRule="auto"/>
        <w:contextualSpacing/>
        <w:jc w:val="both"/>
        <w:rPr>
          <w:rFonts w:ascii="Verdana" w:eastAsia="MS Mincho" w:hAnsi="Verdana"/>
          <w:sz w:val="24"/>
          <w:szCs w:val="24"/>
          <w:lang w:eastAsia="ja-JP"/>
        </w:rPr>
      </w:pPr>
      <w:r w:rsidRPr="00BB57FB">
        <w:rPr>
          <w:rFonts w:ascii="Verdana" w:eastAsia="MS Mincho" w:hAnsi="Verdana"/>
          <w:sz w:val="24"/>
          <w:szCs w:val="24"/>
          <w:lang w:eastAsia="ja-JP"/>
        </w:rPr>
        <w:t>6 months without requiring a visa if performing at a permit-free festival. The list of permit free festivals is published under the Immigration Rules and includes a range of events, from Glastonbury to Glyndebourne.</w:t>
      </w:r>
    </w:p>
    <w:p w:rsidR="000A605E" w:rsidRPr="00BB57FB" w:rsidP="00A07520">
      <w:pPr>
        <w:numPr>
          <w:ilvl w:val="0"/>
          <w:numId w:val="1"/>
        </w:numPr>
        <w:spacing w:line="276" w:lineRule="auto"/>
        <w:contextualSpacing/>
        <w:jc w:val="both"/>
        <w:rPr>
          <w:rFonts w:ascii="Verdana" w:eastAsia="MS Mincho" w:hAnsi="Verdana"/>
          <w:sz w:val="24"/>
          <w:szCs w:val="24"/>
          <w:lang w:eastAsia="ja-JP"/>
        </w:rPr>
      </w:pPr>
      <w:r w:rsidRPr="00BB57FB">
        <w:rPr>
          <w:rFonts w:ascii="Verdana" w:eastAsia="MS Mincho" w:hAnsi="Verdana"/>
          <w:sz w:val="24"/>
          <w:szCs w:val="24"/>
          <w:lang w:eastAsia="ja-JP"/>
        </w:rPr>
        <w:t>12 months on the Creative Worker visa route, if they obtain a visa and a Certificate of Sponsorship.</w:t>
      </w:r>
    </w:p>
    <w:p w:rsidR="000A605E" w:rsidRPr="00BB57FB" w:rsidP="00D9276A">
      <w:pPr>
        <w:spacing w:line="276" w:lineRule="auto"/>
        <w:ind w:left="720"/>
        <w:contextualSpacing/>
        <w:jc w:val="both"/>
        <w:rPr>
          <w:rFonts w:ascii="Verdana" w:eastAsia="MS Mincho" w:hAnsi="Verdana"/>
          <w:sz w:val="24"/>
          <w:szCs w:val="24"/>
          <w:lang w:eastAsia="ja-JP"/>
        </w:rPr>
      </w:pPr>
    </w:p>
    <w:p w:rsidR="000A605E" w:rsidRPr="00BB57FB" w:rsidP="00B05288">
      <w:pPr>
        <w:spacing w:line="276" w:lineRule="auto"/>
        <w:jc w:val="both"/>
        <w:rPr>
          <w:rFonts w:ascii="Verdana" w:eastAsia="Arial" w:hAnsi="Verdana"/>
          <w:sz w:val="24"/>
          <w:szCs w:val="24"/>
          <w:lang w:eastAsia="ja-JP"/>
        </w:rPr>
      </w:pPr>
      <w:r w:rsidRPr="00BB57FB">
        <w:rPr>
          <w:rFonts w:ascii="Verdana" w:eastAsia="Arial" w:hAnsi="Verdana"/>
          <w:sz w:val="24"/>
          <w:szCs w:val="24"/>
          <w:lang w:eastAsia="ja-JP"/>
        </w:rPr>
        <w:t>The ISM would like to see a level playing field with EU creatives who as non-visa nationals can come into the UK to work using one of the four routes listed above.</w:t>
      </w:r>
      <w:r>
        <w:rPr>
          <w:rFonts w:ascii="Verdana" w:eastAsia="Arial" w:hAnsi="Verdana"/>
          <w:sz w:val="24"/>
          <w:szCs w:val="24"/>
          <w:vertAlign w:val="superscript"/>
          <w:lang w:eastAsia="ja-JP"/>
        </w:rPr>
        <w:endnoteReference w:id="10"/>
      </w:r>
      <w:r w:rsidRPr="00BB57FB">
        <w:rPr>
          <w:rFonts w:ascii="Verdana" w:eastAsia="Arial" w:hAnsi="Verdana"/>
          <w:sz w:val="24"/>
          <w:szCs w:val="24"/>
          <w:lang w:eastAsia="ja-JP"/>
        </w:rPr>
        <w:t xml:space="preserve"> We ask that UK musicians have the same level of access to the EU that the UK provides to EU creatives at the Creative Worker visa route level in addition to the VWA. This would be the touring visa</w:t>
      </w:r>
      <w:r w:rsidRPr="00BB57FB" w:rsidR="00B05288">
        <w:rPr>
          <w:rFonts w:ascii="Verdana" w:eastAsia="Arial" w:hAnsi="Verdana"/>
          <w:sz w:val="24"/>
          <w:szCs w:val="24"/>
          <w:lang w:eastAsia="ja-JP"/>
        </w:rPr>
        <w:t xml:space="preserve"> described above</w:t>
      </w:r>
      <w:r w:rsidRPr="00BB57FB">
        <w:rPr>
          <w:rFonts w:ascii="Verdana" w:eastAsia="Arial" w:hAnsi="Verdana"/>
          <w:sz w:val="24"/>
          <w:szCs w:val="24"/>
          <w:lang w:eastAsia="ja-JP"/>
        </w:rPr>
        <w:t xml:space="preserve">. </w:t>
      </w:r>
    </w:p>
    <w:p w:rsidR="00B05288" w:rsidRPr="00BB57FB" w:rsidP="00D9276A">
      <w:pPr>
        <w:spacing w:line="276" w:lineRule="auto"/>
        <w:contextualSpacing/>
        <w:jc w:val="both"/>
        <w:rPr>
          <w:rFonts w:ascii="Verdana" w:eastAsia="MS Mincho" w:hAnsi="Verdana"/>
          <w:b/>
          <w:bCs/>
          <w:sz w:val="24"/>
          <w:szCs w:val="24"/>
          <w:lang w:eastAsia="ja-JP"/>
        </w:rPr>
      </w:pPr>
    </w:p>
    <w:p w:rsidR="00001EE5" w:rsidRPr="00BB57FB" w:rsidP="00D9276A">
      <w:pPr>
        <w:spacing w:after="160" w:line="279" w:lineRule="auto"/>
        <w:jc w:val="both"/>
        <w:rPr>
          <w:rFonts w:ascii="Verdana" w:eastAsia="Arial" w:hAnsi="Verdana"/>
          <w:b/>
          <w:bCs/>
          <w:sz w:val="24"/>
          <w:szCs w:val="24"/>
          <w:lang w:eastAsia="ja-JP"/>
        </w:rPr>
      </w:pPr>
    </w:p>
    <w:p w:rsidR="00001EE5" w:rsidRPr="00BB57FB" w:rsidP="00D9276A">
      <w:pPr>
        <w:spacing w:after="160" w:line="279" w:lineRule="auto"/>
        <w:jc w:val="both"/>
        <w:rPr>
          <w:rFonts w:ascii="Verdana" w:eastAsia="Arial" w:hAnsi="Verdana"/>
          <w:b/>
          <w:bCs/>
          <w:sz w:val="24"/>
          <w:szCs w:val="24"/>
          <w:lang w:eastAsia="ja-JP"/>
        </w:rPr>
      </w:pPr>
    </w:p>
    <w:p w:rsidR="000A605E" w:rsidRPr="00BB57FB" w:rsidP="00D9276A">
      <w:pPr>
        <w:spacing w:after="160" w:line="279" w:lineRule="auto"/>
        <w:jc w:val="both"/>
        <w:rPr>
          <w:rFonts w:ascii="Verdana" w:eastAsia="Arial" w:hAnsi="Verdana"/>
          <w:b/>
          <w:bCs/>
          <w:sz w:val="24"/>
          <w:szCs w:val="24"/>
          <w:lang w:eastAsia="ja-JP"/>
        </w:rPr>
      </w:pPr>
      <w:r w:rsidRPr="00BB57FB">
        <w:rPr>
          <w:rFonts w:ascii="Verdana" w:eastAsia="Arial" w:hAnsi="Verdana"/>
          <w:b/>
          <w:bCs/>
          <w:sz w:val="24"/>
          <w:szCs w:val="24"/>
          <w:lang w:eastAsia="ja-JP"/>
        </w:rPr>
        <w:t xml:space="preserve">What would the ideal outcome of the reset look like? </w:t>
      </w:r>
    </w:p>
    <w:p w:rsidR="000A605E" w:rsidRPr="00BB57FB" w:rsidP="00D9276A">
      <w:pPr>
        <w:spacing w:line="278" w:lineRule="auto"/>
        <w:jc w:val="both"/>
        <w:rPr>
          <w:rFonts w:ascii="Verdana" w:eastAsia="Arial" w:hAnsi="Verdana"/>
          <w:sz w:val="24"/>
          <w:szCs w:val="24"/>
          <w:lang w:eastAsia="ja-JP"/>
        </w:rPr>
      </w:pPr>
      <w:r w:rsidRPr="00BB57FB">
        <w:rPr>
          <w:rFonts w:ascii="Verdana" w:eastAsia="Arial" w:hAnsi="Verdana"/>
          <w:sz w:val="24"/>
          <w:szCs w:val="24"/>
          <w:lang w:eastAsia="ja-JP"/>
        </w:rPr>
        <w:t>A VWA would not require amending the TCA. It can be encompassed in a short supplementing agreement or a Joint Declaration added to the TCA. The possibility of other bilateral agreements between the UK and EU is clearly outlined in the TCA.</w:t>
      </w:r>
    </w:p>
    <w:p w:rsidR="000A605E" w:rsidRPr="00BB57FB" w:rsidP="00D9276A">
      <w:pPr>
        <w:spacing w:line="278" w:lineRule="auto"/>
        <w:jc w:val="both"/>
        <w:rPr>
          <w:rFonts w:ascii="Verdana" w:eastAsia="Arial" w:hAnsi="Verdana"/>
          <w:sz w:val="24"/>
          <w:szCs w:val="24"/>
          <w:lang w:eastAsia="ja-JP"/>
        </w:rPr>
      </w:pPr>
    </w:p>
    <w:p w:rsidR="000A605E" w:rsidRPr="00BB57FB" w:rsidP="00001EE5">
      <w:pPr>
        <w:spacing w:line="276" w:lineRule="auto"/>
        <w:jc w:val="both"/>
        <w:rPr>
          <w:rFonts w:ascii="Verdana" w:eastAsia="Arial" w:hAnsi="Verdana"/>
          <w:sz w:val="24"/>
          <w:szCs w:val="24"/>
          <w:lang w:eastAsia="ja-JP"/>
        </w:rPr>
      </w:pPr>
      <w:r w:rsidRPr="00BB57FB">
        <w:rPr>
          <w:rFonts w:ascii="Verdana" w:eastAsia="Arial" w:hAnsi="Verdana"/>
          <w:sz w:val="24"/>
          <w:szCs w:val="24"/>
          <w:lang w:eastAsia="ja-JP"/>
        </w:rPr>
        <w:t>A touring visa would require the amendment of the 90/180 day rule for non-Schengen third countries (such as the UK) to extend the duration touring artists can stay in a country without taking residence. It would be contingent on the introduction of a specific ‘International Touring Visa’. The extended duration would only be available to those who have purchased this visa for a reasonable fee. Further conditions for such a visa could include the requirement for artists to provide proof of their contract of engagement.</w:t>
      </w:r>
    </w:p>
    <w:p w:rsidR="000A605E" w:rsidRPr="00BB57FB" w:rsidP="00D9276A">
      <w:pPr>
        <w:jc w:val="both"/>
        <w:rPr>
          <w:rFonts w:ascii="Verdana" w:eastAsia="Arial" w:hAnsi="Verdana"/>
          <w:b/>
          <w:bCs/>
          <w:sz w:val="24"/>
          <w:szCs w:val="24"/>
          <w:lang w:eastAsia="ja-JP"/>
        </w:rPr>
      </w:pPr>
    </w:p>
    <w:p w:rsidR="000A605E" w:rsidRPr="00BB57FB" w:rsidP="00D9276A">
      <w:pPr>
        <w:spacing w:after="160" w:line="279" w:lineRule="auto"/>
        <w:jc w:val="both"/>
        <w:rPr>
          <w:rFonts w:ascii="Verdana" w:eastAsia="Arial" w:hAnsi="Verdana"/>
          <w:b/>
          <w:bCs/>
          <w:sz w:val="24"/>
          <w:szCs w:val="24"/>
          <w:lang w:eastAsia="ja-JP"/>
        </w:rPr>
      </w:pPr>
      <w:r w:rsidRPr="00BB57FB">
        <w:rPr>
          <w:rFonts w:ascii="Verdana" w:eastAsia="Arial" w:hAnsi="Verdana"/>
          <w:b/>
          <w:bCs/>
          <w:sz w:val="24"/>
          <w:szCs w:val="24"/>
          <w:lang w:eastAsia="ja-JP"/>
        </w:rPr>
        <w:t>How is the Government going about making policy in this area and how is it engaging with you?</w:t>
      </w:r>
    </w:p>
    <w:p w:rsidR="000A605E" w:rsidRPr="00BB57FB" w:rsidP="00D9276A">
      <w:pPr>
        <w:spacing w:after="160" w:line="279" w:lineRule="auto"/>
        <w:jc w:val="both"/>
        <w:rPr>
          <w:rFonts w:ascii="Verdana" w:eastAsia="Arial" w:hAnsi="Verdana"/>
          <w:sz w:val="24"/>
          <w:szCs w:val="24"/>
          <w:lang w:eastAsia="ja-JP"/>
        </w:rPr>
      </w:pPr>
      <w:r w:rsidRPr="00BB57FB">
        <w:rPr>
          <w:rFonts w:ascii="Verdana" w:eastAsia="Arial" w:hAnsi="Verdana"/>
          <w:sz w:val="24"/>
          <w:szCs w:val="24"/>
          <w:lang w:eastAsia="ja-JP"/>
        </w:rPr>
        <w:t xml:space="preserve">The Labour Manifesto made a specific commitment on resolving the touring issues in Europe. This is something that government ministers have repeated many times since the election. </w:t>
      </w:r>
    </w:p>
    <w:p w:rsidR="000A605E" w:rsidRPr="00BB57FB" w:rsidP="00D9276A">
      <w:pPr>
        <w:spacing w:after="160" w:line="279" w:lineRule="auto"/>
        <w:jc w:val="both"/>
        <w:rPr>
          <w:rFonts w:ascii="Verdana" w:eastAsia="Arial" w:hAnsi="Verdana"/>
          <w:sz w:val="24"/>
          <w:szCs w:val="24"/>
          <w:lang w:eastAsia="ja-JP"/>
        </w:rPr>
      </w:pPr>
      <w:r w:rsidRPr="00BB57FB">
        <w:rPr>
          <w:rFonts w:ascii="Verdana" w:eastAsia="Arial" w:hAnsi="Verdana"/>
          <w:sz w:val="24"/>
          <w:szCs w:val="24"/>
          <w:lang w:eastAsia="ja-JP"/>
        </w:rPr>
        <w:t xml:space="preserve">We are anxious for change because musicians have been waiting too long, and the careers and livelihoods of musicians are suffering all the time because of the restrictions. </w:t>
      </w:r>
    </w:p>
    <w:p w:rsidR="000A605E" w:rsidRPr="00BB57FB" w:rsidP="00DE1734">
      <w:pPr>
        <w:spacing w:line="279" w:lineRule="auto"/>
        <w:jc w:val="both"/>
        <w:rPr>
          <w:rFonts w:ascii="Verdana" w:eastAsia="Arial" w:hAnsi="Verdana"/>
          <w:sz w:val="24"/>
          <w:szCs w:val="24"/>
          <w:lang w:eastAsia="ja-JP"/>
        </w:rPr>
      </w:pPr>
      <w:r w:rsidRPr="00BB57FB">
        <w:rPr>
          <w:rFonts w:ascii="Verdana" w:eastAsia="Arial" w:hAnsi="Verdana"/>
          <w:sz w:val="24"/>
          <w:szCs w:val="24"/>
          <w:lang w:eastAsia="ja-JP"/>
        </w:rPr>
        <w:t xml:space="preserve">The Labour government is engaging with the music sector in a more productive and collaborative way than the previous government. We are in a place now where it feels as though, on the UK side, they really want to listen to and work with the sector. While engagement has certainly improved, what we really need now is for the UK and the EU to sit down and find out what is going to be possible and for the mutual benefits to both the UK and the EU to flow. </w:t>
      </w:r>
    </w:p>
    <w:p w:rsidR="00DE1734" w:rsidRPr="00BB57FB" w:rsidP="00DE1734">
      <w:pPr>
        <w:spacing w:line="279" w:lineRule="auto"/>
        <w:jc w:val="both"/>
        <w:rPr>
          <w:rFonts w:ascii="Verdana" w:eastAsia="Arial" w:hAnsi="Verdana"/>
          <w:sz w:val="24"/>
          <w:szCs w:val="24"/>
          <w:lang w:eastAsia="ja-JP"/>
        </w:rPr>
      </w:pPr>
    </w:p>
    <w:p w:rsidR="000A605E" w:rsidRPr="00BB57FB" w:rsidP="00D9276A">
      <w:pPr>
        <w:spacing w:after="160" w:line="276" w:lineRule="auto"/>
        <w:jc w:val="both"/>
        <w:rPr>
          <w:rFonts w:ascii="Verdana" w:eastAsia="Arial" w:hAnsi="Verdana"/>
          <w:b/>
          <w:bCs/>
          <w:sz w:val="24"/>
          <w:szCs w:val="24"/>
          <w:lang w:eastAsia="ja-JP"/>
        </w:rPr>
      </w:pPr>
      <w:r w:rsidRPr="00BB57FB">
        <w:rPr>
          <w:rFonts w:ascii="Verdana" w:eastAsia="Arial" w:hAnsi="Verdana"/>
          <w:b/>
          <w:bCs/>
          <w:sz w:val="24"/>
          <w:szCs w:val="24"/>
          <w:lang w:eastAsia="ja-JP"/>
        </w:rPr>
        <w:t>Geopolitical concerns</w:t>
      </w:r>
    </w:p>
    <w:p w:rsidR="000A605E" w:rsidRPr="00BB57FB" w:rsidP="00D9276A">
      <w:pPr>
        <w:spacing w:line="276" w:lineRule="auto"/>
        <w:jc w:val="both"/>
        <w:rPr>
          <w:rFonts w:ascii="Verdana" w:eastAsia="Arial" w:hAnsi="Verdana"/>
          <w:sz w:val="24"/>
          <w:szCs w:val="24"/>
          <w:lang w:eastAsia="ja-JP"/>
        </w:rPr>
      </w:pPr>
      <w:r w:rsidRPr="00BB57FB">
        <w:rPr>
          <w:rFonts w:ascii="Verdana" w:eastAsia="Arial" w:hAnsi="Verdana"/>
          <w:sz w:val="24"/>
          <w:szCs w:val="24"/>
          <w:lang w:eastAsia="ja-JP"/>
        </w:rPr>
        <w:t>As a result of the re-election of Donald Trump as President of the United States, the UK faces an unstable and uncertain geopolitical future. It is not yet clear if our government will seek closer ties with Europe or build on those with the US or try to pursue both.</w:t>
      </w:r>
    </w:p>
    <w:p w:rsidR="000A605E" w:rsidRPr="00BB57FB" w:rsidP="00D9276A">
      <w:pPr>
        <w:jc w:val="both"/>
        <w:rPr>
          <w:rFonts w:ascii="Verdana" w:eastAsia="Arial" w:hAnsi="Verdana"/>
          <w:sz w:val="24"/>
          <w:szCs w:val="24"/>
          <w:lang w:eastAsia="ja-JP"/>
        </w:rPr>
      </w:pPr>
    </w:p>
    <w:p w:rsidR="000A605E" w:rsidRPr="00BB57FB" w:rsidP="00D9276A">
      <w:pPr>
        <w:spacing w:line="276" w:lineRule="auto"/>
        <w:jc w:val="both"/>
        <w:rPr>
          <w:rFonts w:ascii="Verdana" w:eastAsia="Arial" w:hAnsi="Verdana"/>
          <w:sz w:val="24"/>
          <w:szCs w:val="24"/>
          <w:lang w:eastAsia="ja-JP"/>
        </w:rPr>
      </w:pPr>
      <w:r w:rsidRPr="00BB57FB">
        <w:rPr>
          <w:rFonts w:ascii="Verdana" w:eastAsia="Arial" w:hAnsi="Verdana"/>
          <w:sz w:val="24"/>
          <w:szCs w:val="24"/>
          <w:lang w:eastAsia="ja-JP"/>
        </w:rPr>
        <w:t>The existential threat from AI, plans to dismantle domestic copyright laws and the increasingly complex, expensive and unpredictable nature of navigating entry for work in the US means that it is more important than ever that UK musicians and creative workers are able to easily take up engagements in Europe.</w:t>
      </w:r>
    </w:p>
    <w:p w:rsidR="000A605E" w:rsidRPr="00BB57FB" w:rsidP="00D9276A">
      <w:pPr>
        <w:jc w:val="both"/>
        <w:rPr>
          <w:rFonts w:ascii="Verdana" w:eastAsia="Arial" w:hAnsi="Verdana"/>
          <w:sz w:val="24"/>
          <w:szCs w:val="24"/>
          <w:lang w:eastAsia="ja-JP"/>
        </w:rPr>
      </w:pPr>
    </w:p>
    <w:p w:rsidR="000A605E" w:rsidRPr="00BB57FB" w:rsidP="00D9276A">
      <w:pPr>
        <w:spacing w:line="276" w:lineRule="auto"/>
        <w:jc w:val="both"/>
        <w:rPr>
          <w:rFonts w:ascii="Verdana" w:eastAsia="MS Mincho" w:hAnsi="Verdana"/>
          <w:sz w:val="24"/>
          <w:szCs w:val="24"/>
          <w:lang w:eastAsia="ja-JP"/>
        </w:rPr>
      </w:pPr>
      <w:r w:rsidRPr="00BB57FB">
        <w:rPr>
          <w:rFonts w:ascii="Verdana" w:eastAsia="Arial" w:hAnsi="Verdana"/>
          <w:sz w:val="24"/>
          <w:szCs w:val="24"/>
          <w:lang w:eastAsia="ja-JP"/>
        </w:rPr>
        <w:t xml:space="preserve">Europe boasts a vibrant musical legacy, a wide range of cultural events, and a robust infrastructure for hosting major concerts and festivals. European music festivals in particular draw millions of visitors from around the world and are a key market for UK artists, contributing significantly to revenue generation. </w:t>
      </w:r>
    </w:p>
    <w:p w:rsidR="000A605E" w:rsidRPr="00BB57FB" w:rsidP="00D9276A">
      <w:pPr>
        <w:jc w:val="both"/>
        <w:rPr>
          <w:rFonts w:ascii="Verdana" w:eastAsia="Arial" w:hAnsi="Verdana"/>
          <w:sz w:val="24"/>
          <w:szCs w:val="24"/>
          <w:lang w:eastAsia="ja-JP"/>
        </w:rPr>
      </w:pPr>
    </w:p>
    <w:p w:rsidR="000A605E" w:rsidRPr="00BB57FB" w:rsidP="00D9276A">
      <w:pPr>
        <w:spacing w:after="160" w:line="279" w:lineRule="auto"/>
        <w:jc w:val="both"/>
        <w:rPr>
          <w:rFonts w:ascii="Verdana" w:eastAsia="Arial" w:hAnsi="Verdana"/>
          <w:b/>
          <w:bCs/>
          <w:sz w:val="24"/>
          <w:szCs w:val="24"/>
          <w:lang w:eastAsia="ja-JP"/>
        </w:rPr>
      </w:pPr>
      <w:r w:rsidRPr="00BB57FB">
        <w:rPr>
          <w:rFonts w:ascii="Verdana" w:eastAsia="Arial" w:hAnsi="Verdana"/>
          <w:b/>
          <w:bCs/>
          <w:sz w:val="24"/>
          <w:szCs w:val="24"/>
          <w:lang w:eastAsia="ja-JP"/>
        </w:rPr>
        <w:t>1</w:t>
      </w:r>
      <w:r w:rsidRPr="00BB57FB" w:rsidR="4B5AABE7">
        <w:rPr>
          <w:rFonts w:ascii="Verdana" w:eastAsia="Arial" w:hAnsi="Verdana"/>
          <w:b/>
          <w:bCs/>
          <w:sz w:val="24"/>
          <w:szCs w:val="24"/>
          <w:lang w:eastAsia="ja-JP"/>
        </w:rPr>
        <w:t>9</w:t>
      </w:r>
      <w:r w:rsidRPr="00BB57FB">
        <w:rPr>
          <w:rFonts w:ascii="Verdana" w:eastAsia="Arial" w:hAnsi="Verdana"/>
          <w:b/>
          <w:sz w:val="24"/>
          <w:szCs w:val="24"/>
          <w:lang w:eastAsia="ja-JP"/>
        </w:rPr>
        <w:t xml:space="preserve"> May UK-EU Summit </w:t>
      </w:r>
    </w:p>
    <w:p w:rsidR="000A605E" w:rsidRPr="00BB57FB" w:rsidP="00D9276A">
      <w:pPr>
        <w:spacing w:after="160" w:line="279" w:lineRule="auto"/>
        <w:jc w:val="both"/>
        <w:rPr>
          <w:rFonts w:ascii="Verdana" w:eastAsia="Arial" w:hAnsi="Verdana"/>
          <w:sz w:val="24"/>
          <w:szCs w:val="24"/>
          <w:lang w:eastAsia="ja-JP"/>
        </w:rPr>
      </w:pPr>
      <w:r w:rsidRPr="00BB57FB">
        <w:rPr>
          <w:rFonts w:ascii="Verdana" w:eastAsia="Arial" w:hAnsi="Verdana"/>
          <w:sz w:val="24"/>
          <w:szCs w:val="24"/>
          <w:lang w:eastAsia="ja-JP"/>
        </w:rPr>
        <w:t xml:space="preserve">The Labour government has pledged to reset the UK’s relationship with the European Union. </w:t>
      </w:r>
    </w:p>
    <w:p w:rsidR="000A605E" w:rsidRPr="00BB57FB" w:rsidP="00D9276A">
      <w:pPr>
        <w:spacing w:after="160" w:line="279" w:lineRule="auto"/>
        <w:jc w:val="both"/>
        <w:rPr>
          <w:rFonts w:ascii="Verdana" w:eastAsia="Arial" w:hAnsi="Verdana"/>
          <w:sz w:val="24"/>
          <w:szCs w:val="24"/>
          <w:lang w:eastAsia="ja-JP"/>
        </w:rPr>
      </w:pPr>
      <w:r w:rsidRPr="00BB57FB">
        <w:rPr>
          <w:rFonts w:ascii="Verdana" w:eastAsia="Arial" w:hAnsi="Verdana"/>
          <w:sz w:val="24"/>
          <w:szCs w:val="24"/>
          <w:lang w:eastAsia="ja-JP"/>
        </w:rPr>
        <w:t>European Council President António Costa said the summit would focus on devising ‘the closest relationship it will be possible to build together.’ President von der Leyen said London and Brussels would ‘discuss the structure and format’ of deeper security cooperation ‘and other topics at our common joint defence summit in the U.K. in May.’</w:t>
      </w:r>
      <w:r>
        <w:rPr>
          <w:rFonts w:ascii="Verdana" w:eastAsia="Arial" w:hAnsi="Verdana"/>
          <w:sz w:val="24"/>
          <w:szCs w:val="24"/>
          <w:vertAlign w:val="superscript"/>
          <w:lang w:eastAsia="ja-JP"/>
        </w:rPr>
        <w:endnoteReference w:id="11"/>
      </w:r>
    </w:p>
    <w:p w:rsidR="000A605E" w:rsidRPr="00BB57FB" w:rsidP="00D9276A">
      <w:pPr>
        <w:spacing w:after="160" w:line="279" w:lineRule="auto"/>
        <w:jc w:val="both"/>
        <w:rPr>
          <w:rFonts w:ascii="Verdana" w:eastAsia="Arial" w:hAnsi="Verdana"/>
          <w:sz w:val="24"/>
          <w:szCs w:val="24"/>
          <w:lang w:eastAsia="ja-JP"/>
        </w:rPr>
      </w:pPr>
      <w:r w:rsidRPr="00BB57FB">
        <w:rPr>
          <w:rFonts w:ascii="Verdana" w:eastAsia="Arial" w:hAnsi="Verdana"/>
          <w:sz w:val="24"/>
          <w:szCs w:val="24"/>
          <w:lang w:eastAsia="ja-JP"/>
        </w:rPr>
        <w:t>No.10 Downing Street said the summit would ‘provide an opportunity to make further progress on areas which will deliver tangible benefits for the people of the U.K. and the EU and further strengthen the unique relationship between the United Kingdom and the European Union.’</w:t>
      </w:r>
      <w:r>
        <w:rPr>
          <w:rFonts w:ascii="Verdana" w:eastAsia="Arial" w:hAnsi="Verdana"/>
          <w:sz w:val="24"/>
          <w:szCs w:val="24"/>
          <w:vertAlign w:val="superscript"/>
          <w:lang w:eastAsia="ja-JP"/>
        </w:rPr>
        <w:endnoteReference w:id="12"/>
      </w:r>
    </w:p>
    <w:p w:rsidR="000A605E" w:rsidRPr="00BB57FB" w:rsidP="00D9276A">
      <w:pPr>
        <w:spacing w:after="160" w:line="279" w:lineRule="auto"/>
        <w:jc w:val="both"/>
        <w:rPr>
          <w:rFonts w:ascii="Verdana" w:eastAsia="Arial" w:hAnsi="Verdana"/>
          <w:sz w:val="24"/>
          <w:szCs w:val="24"/>
          <w:lang w:eastAsia="ja-JP"/>
        </w:rPr>
      </w:pPr>
      <w:r w:rsidRPr="00BB57FB">
        <w:rPr>
          <w:rFonts w:ascii="Verdana" w:eastAsia="Arial" w:hAnsi="Verdana"/>
          <w:sz w:val="24"/>
          <w:szCs w:val="24"/>
          <w:lang w:eastAsia="ja-JP"/>
        </w:rPr>
        <w:t xml:space="preserve">Minister for EU Relations Nick Thomas Symonds told the European Affairs Committee on 10 December 2024 that he saw the reset as having three pillars: </w:t>
      </w:r>
    </w:p>
    <w:p w:rsidR="000A605E" w:rsidRPr="00BB57FB" w:rsidP="00A07520">
      <w:pPr>
        <w:numPr>
          <w:ilvl w:val="0"/>
          <w:numId w:val="2"/>
        </w:numPr>
        <w:spacing w:after="160" w:line="279"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This covers foreign policy and security cooperation.</w:t>
      </w:r>
    </w:p>
    <w:p w:rsidR="000A605E" w:rsidRPr="00BB57FB" w:rsidP="00A07520">
      <w:pPr>
        <w:numPr>
          <w:ilvl w:val="0"/>
          <w:numId w:val="2"/>
        </w:numPr>
        <w:spacing w:after="160" w:line="279"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Safety of citizens. This covers closer law enforcement cooperation in areas of serious and organised crime, such as counter-terror operations and tackling irregular migration.</w:t>
      </w:r>
    </w:p>
    <w:p w:rsidR="000A605E" w:rsidRPr="00BB57FB" w:rsidP="00A07520">
      <w:pPr>
        <w:numPr>
          <w:ilvl w:val="0"/>
          <w:numId w:val="2"/>
        </w:numPr>
        <w:spacing w:line="279"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Growth and trade. This included the manifesto commitments to negotiate an SPS agreement with the EU and improve arrangements on mutual recognition of professional qualifications and for touring artists.</w:t>
      </w:r>
      <w:r>
        <w:rPr>
          <w:rFonts w:ascii="Verdana" w:eastAsia="Arial" w:hAnsi="Verdana"/>
          <w:sz w:val="24"/>
          <w:szCs w:val="24"/>
          <w:vertAlign w:val="superscript"/>
          <w:lang w:eastAsia="ja-JP"/>
        </w:rPr>
        <w:endnoteReference w:id="13"/>
      </w:r>
    </w:p>
    <w:p w:rsidR="00DE1734" w:rsidRPr="00BB57FB" w:rsidP="00DE1734">
      <w:pPr>
        <w:spacing w:line="279" w:lineRule="auto"/>
        <w:jc w:val="both"/>
        <w:rPr>
          <w:rFonts w:ascii="Verdana" w:eastAsia="Arial" w:hAnsi="Verdana"/>
          <w:sz w:val="24"/>
          <w:szCs w:val="24"/>
          <w:lang w:eastAsia="ja-JP"/>
        </w:rPr>
      </w:pPr>
    </w:p>
    <w:p w:rsidR="000A605E" w:rsidRPr="00BB57FB" w:rsidP="00D9276A">
      <w:pPr>
        <w:spacing w:after="160" w:line="279" w:lineRule="auto"/>
        <w:jc w:val="both"/>
        <w:rPr>
          <w:rFonts w:ascii="Verdana" w:eastAsia="Arial" w:hAnsi="Verdana"/>
          <w:sz w:val="24"/>
          <w:szCs w:val="24"/>
          <w:lang w:eastAsia="ja-JP"/>
        </w:rPr>
      </w:pPr>
      <w:r w:rsidRPr="00BB57FB">
        <w:rPr>
          <w:rFonts w:ascii="Verdana" w:eastAsia="Arial" w:hAnsi="Verdana"/>
          <w:sz w:val="24"/>
          <w:szCs w:val="24"/>
          <w:lang w:eastAsia="ja-JP"/>
        </w:rPr>
        <w:t xml:space="preserve">The UK music and wider creative industries hope that the summit will make progress on the Labour party manifesto commitment to improve conditions for touring artists. While appreciating there are other important issues for the summit to discuss, the current restrictions do the UK Creative Industries great harm. </w:t>
      </w:r>
    </w:p>
    <w:p w:rsidR="000A605E" w:rsidRPr="00BB57FB" w:rsidP="00BA19FB">
      <w:pPr>
        <w:spacing w:after="160" w:line="276" w:lineRule="auto"/>
        <w:jc w:val="both"/>
        <w:rPr>
          <w:rFonts w:ascii="Verdana" w:eastAsia="Arial" w:hAnsi="Verdana"/>
          <w:sz w:val="24"/>
          <w:szCs w:val="24"/>
          <w:lang w:eastAsia="ja-JP"/>
        </w:rPr>
      </w:pPr>
      <w:r w:rsidRPr="00BB57FB">
        <w:rPr>
          <w:rFonts w:ascii="Verdana" w:eastAsia="Arial" w:hAnsi="Verdana"/>
          <w:sz w:val="24"/>
          <w:szCs w:val="24"/>
          <w:lang w:eastAsia="ja-JP"/>
        </w:rPr>
        <w:t>As the EU-UK Parliamentary Partnership Assembly wrote in its recent (March 2025) letter to the Chairs of the Partnership Council</w:t>
      </w:r>
      <w:r w:rsidRPr="00BB57FB" w:rsidR="00BA19FB">
        <w:rPr>
          <w:rFonts w:ascii="Verdana" w:eastAsia="Arial" w:hAnsi="Verdana"/>
          <w:sz w:val="24"/>
          <w:szCs w:val="24"/>
          <w:lang w:eastAsia="ja-JP"/>
        </w:rPr>
        <w:t>:</w:t>
      </w:r>
      <w:r w:rsidRPr="00BB57FB">
        <w:rPr>
          <w:rFonts w:ascii="Verdana" w:eastAsia="Arial" w:hAnsi="Verdana"/>
          <w:sz w:val="24"/>
          <w:szCs w:val="24"/>
          <w:lang w:eastAsia="ja-JP"/>
        </w:rPr>
        <w:t xml:space="preserve"> ‘</w:t>
      </w:r>
      <w:r w:rsidRPr="00BB57FB" w:rsidR="25DBE2FB">
        <w:rPr>
          <w:rFonts w:ascii="Verdana" w:eastAsia="Arial" w:hAnsi="Verdana"/>
          <w:b/>
          <w:bCs/>
          <w:sz w:val="24"/>
          <w:szCs w:val="24"/>
          <w:lang w:eastAsia="ja-JP"/>
        </w:rPr>
        <w:t>Stresses</w:t>
      </w:r>
      <w:r w:rsidRPr="00BB57FB" w:rsidR="25DBE2FB">
        <w:rPr>
          <w:rFonts w:ascii="Verdana" w:eastAsia="Arial" w:hAnsi="Verdana"/>
          <w:sz w:val="24"/>
          <w:szCs w:val="24"/>
          <w:lang w:eastAsia="ja-JP"/>
        </w:rPr>
        <w:t xml:space="preserve"> that people-to-people contacts are at the core of the UK-EU relationship and that the UK leaving the EU has had a negative impact on touring artists and young people affecting their ability to benefit from youth, cultural, educational, research, employment and training opportunities. </w:t>
      </w:r>
      <w:r w:rsidRPr="00BB57FB" w:rsidR="25DBE2FB">
        <w:rPr>
          <w:rFonts w:ascii="Verdana" w:eastAsia="Arial" w:hAnsi="Verdana"/>
          <w:b/>
          <w:bCs/>
          <w:sz w:val="24"/>
          <w:szCs w:val="24"/>
          <w:lang w:eastAsia="ja-JP"/>
        </w:rPr>
        <w:t>Recognises</w:t>
      </w:r>
      <w:r w:rsidRPr="00BB57FB" w:rsidR="25DBE2FB">
        <w:rPr>
          <w:rFonts w:ascii="Verdana" w:eastAsia="Arial" w:hAnsi="Verdana"/>
          <w:sz w:val="24"/>
          <w:szCs w:val="24"/>
          <w:lang w:eastAsia="ja-JP"/>
        </w:rPr>
        <w:t xml:space="preserve"> that cross border collaboration and cultural exchange drives intercultural understanding, innovation and skills sharing. </w:t>
      </w:r>
      <w:r w:rsidRPr="00BB57FB">
        <w:rPr>
          <w:rFonts w:ascii="Verdana" w:eastAsia="Arial" w:hAnsi="Verdana"/>
          <w:b/>
          <w:bCs/>
          <w:sz w:val="24"/>
          <w:szCs w:val="24"/>
          <w:lang w:eastAsia="ja-JP"/>
        </w:rPr>
        <w:t>Underscores</w:t>
      </w:r>
      <w:r w:rsidRPr="00BB57FB">
        <w:rPr>
          <w:rFonts w:ascii="Verdana" w:eastAsia="Arial" w:hAnsi="Verdana"/>
          <w:sz w:val="24"/>
          <w:szCs w:val="24"/>
          <w:lang w:eastAsia="ja-JP"/>
        </w:rPr>
        <w:t xml:space="preserve"> the need for both the UK and the EU to facilitate travel for touring artists to the maximum extent possible, and to establish a youth opportunity scheme, including apprenticeships’.</w:t>
      </w:r>
      <w:r>
        <w:rPr>
          <w:rFonts w:ascii="Verdana" w:eastAsia="Arial" w:hAnsi="Verdana"/>
          <w:sz w:val="24"/>
          <w:szCs w:val="24"/>
          <w:vertAlign w:val="superscript"/>
          <w:lang w:eastAsia="ja-JP"/>
        </w:rPr>
        <w:endnoteReference w:id="14"/>
      </w:r>
      <w:r w:rsidRPr="00BB57FB">
        <w:rPr>
          <w:rFonts w:ascii="Verdana" w:eastAsia="Arial" w:hAnsi="Verdana"/>
          <w:sz w:val="24"/>
          <w:szCs w:val="24"/>
          <w:lang w:eastAsia="ja-JP"/>
        </w:rPr>
        <w:t xml:space="preserve"> </w:t>
      </w:r>
    </w:p>
    <w:p w:rsidR="000A605E" w:rsidRPr="00BB57FB" w:rsidP="00BA19FB">
      <w:pPr>
        <w:spacing w:after="160" w:line="279" w:lineRule="auto"/>
        <w:jc w:val="both"/>
        <w:rPr>
          <w:rFonts w:ascii="Verdana" w:eastAsia="Arial" w:hAnsi="Verdana"/>
          <w:sz w:val="24"/>
          <w:szCs w:val="24"/>
          <w:lang w:eastAsia="ja-JP"/>
        </w:rPr>
      </w:pPr>
      <w:r w:rsidRPr="00BB57FB">
        <w:rPr>
          <w:rFonts w:ascii="Verdana" w:eastAsia="Arial" w:hAnsi="Verdana"/>
          <w:sz w:val="24"/>
          <w:szCs w:val="24"/>
          <w:lang w:eastAsia="ja-JP"/>
        </w:rPr>
        <w:t>It is our strong preference that we do not wait until the TCA renegotiation for changes to be made. Solutions can be found with the right political will.</w:t>
      </w:r>
    </w:p>
    <w:p w:rsidR="000A605E" w:rsidRPr="00BB57FB" w:rsidP="00D9276A">
      <w:pPr>
        <w:spacing w:line="276" w:lineRule="auto"/>
        <w:jc w:val="both"/>
        <w:rPr>
          <w:rFonts w:ascii="Verdana" w:eastAsia="Arial" w:hAnsi="Verdana"/>
          <w:b/>
          <w:bCs/>
          <w:sz w:val="24"/>
          <w:szCs w:val="24"/>
          <w:lang w:eastAsia="ja-JP"/>
        </w:rPr>
      </w:pPr>
    </w:p>
    <w:p w:rsidR="000A605E" w:rsidRPr="00BB57FB" w:rsidP="00D9276A">
      <w:pPr>
        <w:spacing w:after="160" w:line="279" w:lineRule="auto"/>
        <w:jc w:val="both"/>
        <w:rPr>
          <w:rFonts w:ascii="Verdana" w:eastAsia="Arial" w:hAnsi="Verdana"/>
          <w:b/>
          <w:sz w:val="24"/>
          <w:szCs w:val="24"/>
          <w:lang w:eastAsia="ja-JP"/>
        </w:rPr>
      </w:pPr>
      <w:r w:rsidRPr="00BB57FB">
        <w:rPr>
          <w:rFonts w:ascii="Verdana" w:eastAsia="Arial" w:hAnsi="Verdana"/>
          <w:b/>
          <w:sz w:val="24"/>
          <w:szCs w:val="24"/>
          <w:lang w:eastAsia="ja-JP"/>
        </w:rPr>
        <w:t xml:space="preserve">General background briefing </w:t>
      </w:r>
    </w:p>
    <w:p w:rsidR="000A605E" w:rsidRPr="00BB57FB" w:rsidP="00D9276A">
      <w:pPr>
        <w:spacing w:after="160" w:line="279" w:lineRule="auto"/>
        <w:jc w:val="both"/>
        <w:rPr>
          <w:rFonts w:ascii="Verdana" w:eastAsia="Arial" w:hAnsi="Verdana"/>
          <w:b/>
          <w:bCs/>
          <w:sz w:val="24"/>
          <w:szCs w:val="24"/>
          <w:lang w:eastAsia="ja-JP"/>
        </w:rPr>
      </w:pPr>
      <w:r w:rsidRPr="00BB57FB">
        <w:rPr>
          <w:rFonts w:ascii="Verdana" w:eastAsia="Arial" w:hAnsi="Verdana"/>
          <w:b/>
          <w:sz w:val="24"/>
          <w:szCs w:val="24"/>
          <w:lang w:eastAsia="ja-JP"/>
        </w:rPr>
        <w:t>Impact on musicians’ work</w:t>
      </w:r>
    </w:p>
    <w:p w:rsidR="000A605E" w:rsidRPr="00BB57FB" w:rsidP="00A07520">
      <w:pPr>
        <w:numPr>
          <w:ilvl w:val="0"/>
          <w:numId w:val="8"/>
        </w:numPr>
        <w:spacing w:after="160" w:line="276" w:lineRule="auto"/>
        <w:contextualSpacing/>
        <w:jc w:val="both"/>
        <w:rPr>
          <w:rFonts w:ascii="Verdana" w:eastAsia="Arial" w:hAnsi="Verdana"/>
          <w:sz w:val="24"/>
          <w:szCs w:val="24"/>
          <w:lang w:val="en-US" w:eastAsia="ja-JP"/>
        </w:rPr>
      </w:pPr>
      <w:r w:rsidRPr="00BB57FB">
        <w:rPr>
          <w:rFonts w:ascii="Verdana" w:eastAsia="Arial" w:hAnsi="Verdana"/>
          <w:sz w:val="24"/>
          <w:szCs w:val="24"/>
          <w:lang w:val="en-US" w:eastAsia="ja-JP"/>
        </w:rPr>
        <w:t xml:space="preserve">The ISM’s sixth Brexit report, Paying the Price (2023), was the first to report on musicians’ experiences of working in Europe after 1 January 2021, the date that the Trade and Cooperation Agreement (TCA) was provisionally applied. </w:t>
      </w:r>
    </w:p>
    <w:p w:rsidR="000A605E" w:rsidRPr="00BB57FB" w:rsidP="00A07520">
      <w:pPr>
        <w:numPr>
          <w:ilvl w:val="0"/>
          <w:numId w:val="7"/>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Almost half (</w:t>
      </w:r>
      <w:r w:rsidRPr="00BB57FB">
        <w:rPr>
          <w:rFonts w:ascii="Verdana" w:eastAsia="Arial" w:hAnsi="Verdana"/>
          <w:b/>
          <w:bCs/>
          <w:sz w:val="24"/>
          <w:szCs w:val="24"/>
          <w:lang w:eastAsia="ja-JP"/>
        </w:rPr>
        <w:t>47.4%</w:t>
      </w:r>
      <w:r w:rsidRPr="00BB57FB">
        <w:rPr>
          <w:rFonts w:ascii="Verdana" w:eastAsia="Arial" w:hAnsi="Verdana"/>
          <w:sz w:val="24"/>
          <w:szCs w:val="24"/>
          <w:lang w:eastAsia="ja-JP"/>
        </w:rPr>
        <w:t>) of the respondents in the survey said that they had less work in the EU after January 2021 than they did before Brexit. Over a quarter (</w:t>
      </w:r>
      <w:r w:rsidRPr="00BB57FB">
        <w:rPr>
          <w:rFonts w:ascii="Verdana" w:eastAsia="Arial" w:hAnsi="Verdana"/>
          <w:b/>
          <w:bCs/>
          <w:sz w:val="24"/>
          <w:szCs w:val="24"/>
          <w:lang w:eastAsia="ja-JP"/>
        </w:rPr>
        <w:t>27.8%</w:t>
      </w:r>
      <w:r w:rsidRPr="00BB57FB">
        <w:rPr>
          <w:rFonts w:ascii="Verdana" w:eastAsia="Arial" w:hAnsi="Verdana"/>
          <w:sz w:val="24"/>
          <w:szCs w:val="24"/>
          <w:lang w:eastAsia="ja-JP"/>
        </w:rPr>
        <w:t xml:space="preserve">) said that they had none at all. </w:t>
      </w:r>
    </w:p>
    <w:p w:rsidR="000A605E" w:rsidRPr="00BB57FB" w:rsidP="00A07520">
      <w:pPr>
        <w:numPr>
          <w:ilvl w:val="0"/>
          <w:numId w:val="5"/>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Over a third (</w:t>
      </w:r>
      <w:r w:rsidRPr="00BB57FB">
        <w:rPr>
          <w:rFonts w:ascii="Verdana" w:eastAsia="Arial" w:hAnsi="Verdana"/>
          <w:b/>
          <w:bCs/>
          <w:sz w:val="24"/>
          <w:szCs w:val="24"/>
          <w:lang w:eastAsia="ja-JP"/>
        </w:rPr>
        <w:t>39%</w:t>
      </w:r>
      <w:r w:rsidRPr="00BB57FB">
        <w:rPr>
          <w:rFonts w:ascii="Verdana" w:eastAsia="Arial" w:hAnsi="Verdana"/>
          <w:sz w:val="24"/>
          <w:szCs w:val="24"/>
          <w:lang w:eastAsia="ja-JP"/>
        </w:rPr>
        <w:t>) of respondents had had to turn down work since 1 January 2021. The amount of lost income ranged between £500 to £450,000. A similar number (</w:t>
      </w:r>
      <w:r w:rsidRPr="00BB57FB">
        <w:rPr>
          <w:rFonts w:ascii="Verdana" w:eastAsia="Arial" w:hAnsi="Verdana"/>
          <w:b/>
          <w:bCs/>
          <w:sz w:val="24"/>
          <w:szCs w:val="24"/>
          <w:lang w:eastAsia="ja-JP"/>
        </w:rPr>
        <w:t>40%</w:t>
      </w:r>
      <w:r w:rsidRPr="00BB57FB">
        <w:rPr>
          <w:rFonts w:ascii="Verdana" w:eastAsia="Arial" w:hAnsi="Verdana"/>
          <w:sz w:val="24"/>
          <w:szCs w:val="24"/>
          <w:lang w:eastAsia="ja-JP"/>
        </w:rPr>
        <w:t xml:space="preserve">) had had work cancelled in the same period. This represented lost income ranging from £800 to £100,000.  </w:t>
      </w:r>
    </w:p>
    <w:p w:rsidR="000A605E" w:rsidRPr="00BB57FB" w:rsidP="00A07520">
      <w:pPr>
        <w:numPr>
          <w:ilvl w:val="0"/>
          <w:numId w:val="6"/>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Increased costs are not just limited to visas and work permits which not only include the application fee but also duplicate or notarised documents, police checks and travel to and from embassies and consulates. Moving instruments and equipment across borders, travel costs including the price of fuel, hire of rental vehicles, travelling back to the UK to ‘save’ days, the price of flights, additional travel to embassies to secure visas and transporting merchandise all incur additional costs.</w:t>
      </w:r>
    </w:p>
    <w:p w:rsidR="000A605E" w:rsidRPr="00BB57FB" w:rsidP="00D9276A">
      <w:pPr>
        <w:spacing w:line="276" w:lineRule="auto"/>
        <w:jc w:val="both"/>
        <w:rPr>
          <w:rFonts w:ascii="Verdana" w:eastAsia="Arial" w:hAnsi="Verdana"/>
          <w:sz w:val="24"/>
          <w:szCs w:val="24"/>
          <w:lang w:eastAsia="ja-JP"/>
        </w:rPr>
      </w:pPr>
    </w:p>
    <w:p w:rsidR="000A605E" w:rsidRPr="00BB57FB" w:rsidP="00D9276A">
      <w:pPr>
        <w:spacing w:line="276" w:lineRule="auto"/>
        <w:jc w:val="both"/>
        <w:rPr>
          <w:rFonts w:ascii="Verdana" w:eastAsia="Arial" w:hAnsi="Verdana"/>
          <w:b/>
          <w:bCs/>
          <w:sz w:val="24"/>
          <w:szCs w:val="24"/>
          <w:lang w:eastAsia="ja-JP"/>
        </w:rPr>
      </w:pPr>
      <w:r w:rsidRPr="00BB57FB">
        <w:rPr>
          <w:rFonts w:ascii="Verdana" w:eastAsia="Arial" w:hAnsi="Verdana"/>
          <w:b/>
          <w:bCs/>
          <w:sz w:val="24"/>
          <w:szCs w:val="24"/>
          <w:lang w:eastAsia="ja-JP"/>
        </w:rPr>
        <w:t>Additional issues</w:t>
      </w:r>
    </w:p>
    <w:p w:rsidR="000A605E" w:rsidRPr="00BB57FB" w:rsidP="00D9276A">
      <w:pPr>
        <w:spacing w:line="276" w:lineRule="auto"/>
        <w:jc w:val="both"/>
        <w:rPr>
          <w:rFonts w:ascii="Verdana" w:eastAsia="MS Mincho" w:hAnsi="Verdana"/>
          <w:sz w:val="24"/>
          <w:szCs w:val="24"/>
          <w:lang w:eastAsia="ja-JP"/>
        </w:rPr>
      </w:pPr>
      <w:r w:rsidRPr="00BB57FB">
        <w:rPr>
          <w:rFonts w:ascii="Verdana" w:eastAsia="Arial" w:hAnsi="Verdana"/>
          <w:sz w:val="24"/>
          <w:szCs w:val="24"/>
          <w:lang w:eastAsia="ja-JP"/>
        </w:rPr>
        <w:t xml:space="preserve"> </w:t>
      </w:r>
    </w:p>
    <w:p w:rsidR="000A605E" w:rsidRPr="00BB57FB" w:rsidP="00D9276A">
      <w:pPr>
        <w:spacing w:after="160" w:line="276" w:lineRule="auto"/>
        <w:jc w:val="both"/>
        <w:rPr>
          <w:rFonts w:ascii="Verdana" w:eastAsia="MS Mincho" w:hAnsi="Verdana"/>
          <w:sz w:val="24"/>
          <w:szCs w:val="24"/>
          <w:lang w:eastAsia="ja-JP"/>
        </w:rPr>
      </w:pPr>
      <w:r w:rsidRPr="00BB57FB">
        <w:rPr>
          <w:rFonts w:ascii="Verdana" w:eastAsia="Arial" w:hAnsi="Verdana"/>
          <w:sz w:val="24"/>
          <w:szCs w:val="24"/>
          <w:lang w:eastAsia="ja-JP"/>
        </w:rPr>
        <w:t>ATA Carnets</w:t>
      </w:r>
    </w:p>
    <w:p w:rsidR="000A605E" w:rsidRPr="00BB57FB" w:rsidP="00A07520">
      <w:pPr>
        <w:numPr>
          <w:ilvl w:val="0"/>
          <w:numId w:val="17"/>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Required for moving non-portable instruments and/or equipment.</w:t>
      </w:r>
    </w:p>
    <w:p w:rsidR="000A605E" w:rsidRPr="00BB57FB" w:rsidP="00A07520">
      <w:pPr>
        <w:numPr>
          <w:ilvl w:val="0"/>
          <w:numId w:val="17"/>
        </w:numPr>
        <w:spacing w:after="160" w:line="276" w:lineRule="auto"/>
        <w:contextualSpacing/>
        <w:jc w:val="both"/>
        <w:rPr>
          <w:rFonts w:ascii="Verdana" w:eastAsia="MS Mincho" w:hAnsi="Verdana"/>
          <w:sz w:val="24"/>
          <w:szCs w:val="24"/>
          <w:lang w:eastAsia="ja-JP"/>
        </w:rPr>
      </w:pPr>
      <w:r w:rsidRPr="00BB57FB">
        <w:rPr>
          <w:rFonts w:ascii="Verdana" w:eastAsia="Arial" w:hAnsi="Verdana"/>
          <w:sz w:val="24"/>
          <w:szCs w:val="24"/>
          <w:lang w:eastAsia="ja-JP"/>
        </w:rPr>
        <w:t>There is no uniformity across European Chambers of Commerce in terms of the issuing cost or the amount of the guarantee, even within countries.</w:t>
      </w:r>
    </w:p>
    <w:p w:rsidR="000A605E" w:rsidRPr="00BB57FB" w:rsidP="00A07520">
      <w:pPr>
        <w:numPr>
          <w:ilvl w:val="0"/>
          <w:numId w:val="17"/>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For example, in Berlin, the issuing cost for members of the Chamber of Commerce is €90 plus €12.00 International Chamber of Commerce (ICC) fee plus VAT. For non-members, resident in Berlin the issuing cost is €110 and for those outside of Berlin is €120. No information regarding the guarantee cost is listed.</w:t>
      </w:r>
      <w:r>
        <w:rPr>
          <w:rFonts w:ascii="Verdana" w:eastAsia="Arial" w:hAnsi="Verdana"/>
          <w:sz w:val="24"/>
          <w:szCs w:val="24"/>
          <w:vertAlign w:val="superscript"/>
          <w:lang w:eastAsia="ja-JP"/>
        </w:rPr>
        <w:endnoteReference w:id="15"/>
      </w:r>
    </w:p>
    <w:p w:rsidR="000A605E" w:rsidRPr="00BB57FB" w:rsidP="00A07520">
      <w:pPr>
        <w:numPr>
          <w:ilvl w:val="0"/>
          <w:numId w:val="17"/>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In Frankfurt, the processing fee for members is €80 and €96 for non-members. Both are subject to the €12 plus VAT ICC fee. The guarantee is a sliding scale, based on the value of the goods with the price ranging from €46 to €750.</w:t>
      </w:r>
      <w:r>
        <w:rPr>
          <w:rFonts w:ascii="Verdana" w:eastAsia="Arial" w:hAnsi="Verdana"/>
          <w:sz w:val="24"/>
          <w:szCs w:val="24"/>
          <w:vertAlign w:val="superscript"/>
          <w:lang w:eastAsia="ja-JP"/>
        </w:rPr>
        <w:endnoteReference w:id="16"/>
      </w:r>
    </w:p>
    <w:p w:rsidR="000A605E" w:rsidRPr="00BB57FB" w:rsidP="00A07520">
      <w:pPr>
        <w:numPr>
          <w:ilvl w:val="0"/>
          <w:numId w:val="17"/>
        </w:numPr>
        <w:spacing w:after="160" w:line="276" w:lineRule="auto"/>
        <w:contextualSpacing/>
        <w:jc w:val="both"/>
        <w:rPr>
          <w:rFonts w:ascii="Verdana" w:eastAsia="MS Mincho" w:hAnsi="Verdana"/>
          <w:sz w:val="24"/>
          <w:szCs w:val="24"/>
          <w:lang w:eastAsia="ja-JP"/>
        </w:rPr>
      </w:pPr>
      <w:r w:rsidRPr="00BB57FB">
        <w:rPr>
          <w:rFonts w:ascii="Verdana" w:eastAsia="Arial" w:hAnsi="Verdana"/>
          <w:sz w:val="24"/>
          <w:szCs w:val="24"/>
          <w:lang w:eastAsia="ja-JP"/>
        </w:rPr>
        <w:t>Current issuing costs for an ATA carnet from the London Chamber of Commerce and Industry (LCCI) is £258 for members and £426 for non-members. The UK National ATA Carnet Association’s security rate for ‘concert and musical equipment – electric' for the EU is set at 40%.</w:t>
      </w:r>
      <w:r>
        <w:rPr>
          <w:rFonts w:ascii="Verdana" w:eastAsia="Arial" w:hAnsi="Verdana"/>
          <w:sz w:val="24"/>
          <w:szCs w:val="24"/>
          <w:vertAlign w:val="superscript"/>
          <w:lang w:eastAsia="ja-JP"/>
        </w:rPr>
        <w:endnoteReference w:id="17"/>
      </w:r>
    </w:p>
    <w:p w:rsidR="000A605E" w:rsidRPr="00BB57FB" w:rsidP="00A07520">
      <w:pPr>
        <w:numPr>
          <w:ilvl w:val="0"/>
          <w:numId w:val="17"/>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The LCCI has previously told us that, ‘... the Governments in some countries do subsidise the cost of the guarantee for their ATA Carnets to support financially as well to encourage more international trade.’</w:t>
      </w:r>
    </w:p>
    <w:p w:rsidR="000A605E" w:rsidRPr="00BB57FB" w:rsidP="00A07520">
      <w:pPr>
        <w:numPr>
          <w:ilvl w:val="0"/>
          <w:numId w:val="17"/>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One</w:t>
      </w:r>
      <w:r w:rsidRPr="00BB57FB" w:rsidR="006D2694">
        <w:rPr>
          <w:rFonts w:ascii="Verdana" w:eastAsia="Arial" w:hAnsi="Verdana"/>
          <w:sz w:val="24"/>
          <w:szCs w:val="24"/>
          <w:lang w:eastAsia="ja-JP"/>
        </w:rPr>
        <w:t xml:space="preserve"> survey</w:t>
      </w:r>
      <w:r w:rsidRPr="00BB57FB">
        <w:rPr>
          <w:rFonts w:ascii="Verdana" w:eastAsia="Arial" w:hAnsi="Verdana"/>
          <w:sz w:val="24"/>
          <w:szCs w:val="24"/>
          <w:lang w:eastAsia="ja-JP"/>
        </w:rPr>
        <w:t xml:space="preserve"> respondent </w:t>
      </w:r>
      <w:r w:rsidRPr="00BB57FB" w:rsidR="28663074">
        <w:rPr>
          <w:rFonts w:ascii="Verdana" w:eastAsia="Arial" w:hAnsi="Verdana"/>
          <w:sz w:val="24"/>
          <w:szCs w:val="24"/>
          <w:lang w:eastAsia="ja-JP"/>
        </w:rPr>
        <w:t>in 2023</w:t>
      </w:r>
      <w:r w:rsidRPr="00BB57FB">
        <w:rPr>
          <w:rFonts w:ascii="Verdana" w:eastAsia="Arial" w:hAnsi="Verdana"/>
          <w:sz w:val="24"/>
          <w:szCs w:val="24"/>
          <w:lang w:eastAsia="ja-JP"/>
        </w:rPr>
        <w:t xml:space="preserve"> told the ISM that ‘</w:t>
      </w:r>
      <w:r w:rsidRPr="00BB57FB">
        <w:rPr>
          <w:rFonts w:ascii="Verdana" w:eastAsia="MS Mincho" w:hAnsi="Verdana"/>
          <w:sz w:val="24"/>
          <w:szCs w:val="24"/>
          <w:lang w:eastAsia="ja-JP"/>
        </w:rPr>
        <w:t>…The whole process feels like a giant waste of time compared to before. Getting everyone in the band to itemise every last cable and dig around for serial numbers and country of manufacture is excessive. Furthermore, fees are hard to negotiate as it is without having to add on an extra £350 for a carnet.’</w:t>
      </w:r>
    </w:p>
    <w:p w:rsidR="000A605E" w:rsidRPr="00BB57FB" w:rsidP="00A07520">
      <w:pPr>
        <w:numPr>
          <w:ilvl w:val="0"/>
          <w:numId w:val="17"/>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Another told us, ‘</w:t>
      </w:r>
      <w:r w:rsidRPr="00BB57FB">
        <w:rPr>
          <w:rFonts w:ascii="Verdana" w:eastAsia="MS Mincho" w:hAnsi="Verdana"/>
          <w:sz w:val="24"/>
          <w:szCs w:val="24"/>
          <w:lang w:eastAsia="ja-JP"/>
        </w:rPr>
        <w:t>…We can never book a gig on a carnet day, we have to keep it purely a travel day just in case we encounter any problems at any of the customs (Douane) offices. Because of this we have to pay extra wages to crew and extra nights in hotel rooms that we never had to do before.’</w:t>
      </w:r>
    </w:p>
    <w:p w:rsidR="000A605E" w:rsidRPr="00BB57FB" w:rsidP="00D9276A">
      <w:pPr>
        <w:spacing w:line="276" w:lineRule="auto"/>
        <w:ind w:left="720"/>
        <w:contextualSpacing/>
        <w:jc w:val="both"/>
        <w:rPr>
          <w:rFonts w:ascii="Verdana" w:eastAsia="Arial" w:hAnsi="Verdana"/>
          <w:sz w:val="24"/>
          <w:szCs w:val="24"/>
          <w:lang w:eastAsia="ja-JP"/>
        </w:rPr>
      </w:pPr>
    </w:p>
    <w:p w:rsidR="000A605E" w:rsidRPr="00BB57FB" w:rsidP="00D9276A">
      <w:pPr>
        <w:spacing w:after="160" w:line="276" w:lineRule="auto"/>
        <w:jc w:val="both"/>
        <w:rPr>
          <w:rFonts w:ascii="Verdana" w:eastAsia="MS Mincho" w:hAnsi="Verdana"/>
          <w:sz w:val="24"/>
          <w:szCs w:val="24"/>
          <w:lang w:eastAsia="ja-JP"/>
        </w:rPr>
      </w:pPr>
      <w:r w:rsidRPr="00BB57FB">
        <w:rPr>
          <w:rFonts w:ascii="Verdana" w:eastAsia="Arial" w:hAnsi="Verdana"/>
          <w:sz w:val="24"/>
          <w:szCs w:val="24"/>
          <w:lang w:eastAsia="ja-JP"/>
        </w:rPr>
        <w:t>CITES</w:t>
      </w:r>
    </w:p>
    <w:p w:rsidR="000A605E" w:rsidRPr="00BB57FB" w:rsidP="00A07520">
      <w:pPr>
        <w:numPr>
          <w:ilvl w:val="0"/>
          <w:numId w:val="4"/>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 xml:space="preserve">The Convention on International Trade in Endangered Species (CITES) regulations mean that a Musical Instrument Certificate (MIC) is required when travelling with instruments that contain protected materials such as ivory, tortoiseshell or rosewood. </w:t>
      </w:r>
    </w:p>
    <w:p w:rsidR="000A605E" w:rsidRPr="00BB57FB" w:rsidP="00A07520">
      <w:pPr>
        <w:numPr>
          <w:ilvl w:val="0"/>
          <w:numId w:val="4"/>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 xml:space="preserve">The holder of a MIC must travel through a CITES-designated Point of Entry and Exit (PoE) to allow a CITES official to endorse the certificate both when leaving the UK and when arriving in the EU. Currently, the UK’s designated </w:t>
      </w:r>
      <w:r w:rsidRPr="00BB57FB">
        <w:rPr>
          <w:rFonts w:ascii="Verdana" w:eastAsia="Arial" w:hAnsi="Verdana"/>
          <w:sz w:val="24"/>
          <w:szCs w:val="24"/>
          <w:lang w:eastAsia="ja-JP"/>
        </w:rPr>
        <w:t>PoEs</w:t>
      </w:r>
      <w:r w:rsidRPr="00BB57FB">
        <w:rPr>
          <w:rFonts w:ascii="Verdana" w:eastAsia="Arial" w:hAnsi="Verdana"/>
          <w:sz w:val="24"/>
          <w:szCs w:val="24"/>
          <w:lang w:eastAsia="ja-JP"/>
        </w:rPr>
        <w:t xml:space="preserve"> are only airports and ports, excluding Eurostar. </w:t>
      </w:r>
    </w:p>
    <w:p w:rsidR="000A605E" w:rsidRPr="00BB57FB" w:rsidP="00A07520">
      <w:pPr>
        <w:numPr>
          <w:ilvl w:val="0"/>
          <w:numId w:val="4"/>
        </w:numPr>
        <w:spacing w:after="160" w:line="279"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Musicians travelling with a MIC have reported problems in finding a CITES official to endorse their paperwork, causing delays that can be highly detrimental to tour schedules.</w:t>
      </w:r>
    </w:p>
    <w:p w:rsidR="000A605E" w:rsidRPr="00BB57FB" w:rsidP="00A07520">
      <w:pPr>
        <w:numPr>
          <w:ilvl w:val="0"/>
          <w:numId w:val="4"/>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 xml:space="preserve">The ISM last wrote to Eurostar (Gareth Williams, General Secretary and Chief Strategic Partnerships Officer) in autumn 2024, when they declined to meet to discuss becoming a PoE. We have raised the issue with our DEFRA contacts multiple times, most recently in January 2025. The response was this: </w:t>
      </w:r>
      <w:r w:rsidRPr="00BB57FB">
        <w:rPr>
          <w:rFonts w:ascii="Verdana" w:eastAsia="Arial" w:hAnsi="Verdana"/>
          <w:i/>
          <w:sz w:val="24"/>
          <w:szCs w:val="24"/>
          <w:lang w:eastAsia="ja-JP"/>
        </w:rPr>
        <w:t>‘</w:t>
      </w:r>
      <w:r w:rsidRPr="00BB57FB">
        <w:rPr>
          <w:rFonts w:ascii="Verdana" w:eastAsia="Arial" w:hAnsi="Verdana"/>
          <w:iCs/>
          <w:sz w:val="24"/>
          <w:szCs w:val="24"/>
          <w:lang w:eastAsia="ja-JP"/>
        </w:rPr>
        <w:t>Eurostar and UK BF seem to continue to be unwilling to support a designation due to capacity and customer flow concerns. We’ll keep pushing them on this and now have our yearly review process for CITES PoE which will give us a regular structure to revisit this.’</w:t>
      </w:r>
    </w:p>
    <w:p w:rsidR="000A605E" w:rsidRPr="00BB57FB" w:rsidP="00D9276A">
      <w:pPr>
        <w:spacing w:line="276" w:lineRule="auto"/>
        <w:jc w:val="both"/>
        <w:rPr>
          <w:rFonts w:ascii="Verdana" w:eastAsia="MS Mincho" w:hAnsi="Verdana"/>
          <w:sz w:val="24"/>
          <w:szCs w:val="24"/>
          <w:lang w:eastAsia="ja-JP"/>
        </w:rPr>
      </w:pPr>
      <w:r w:rsidRPr="00BB57FB">
        <w:rPr>
          <w:rFonts w:ascii="Verdana" w:eastAsia="Arial" w:hAnsi="Verdana"/>
          <w:sz w:val="24"/>
          <w:szCs w:val="24"/>
          <w:lang w:eastAsia="ja-JP"/>
        </w:rPr>
        <w:t xml:space="preserve"> </w:t>
      </w:r>
    </w:p>
    <w:p w:rsidR="000A605E" w:rsidRPr="00BB57FB" w:rsidP="00D9276A">
      <w:pPr>
        <w:spacing w:after="160" w:line="276" w:lineRule="auto"/>
        <w:jc w:val="both"/>
        <w:rPr>
          <w:rFonts w:ascii="Verdana" w:eastAsia="Arial" w:hAnsi="Verdana"/>
          <w:sz w:val="24"/>
          <w:szCs w:val="24"/>
          <w:lang w:eastAsia="ja-JP"/>
        </w:rPr>
      </w:pPr>
      <w:r w:rsidRPr="00BB57FB">
        <w:rPr>
          <w:rFonts w:ascii="Verdana" w:eastAsia="Arial" w:hAnsi="Verdana"/>
          <w:sz w:val="24"/>
          <w:szCs w:val="24"/>
          <w:lang w:eastAsia="ja-JP"/>
        </w:rPr>
        <w:t>A1 Forms (NB</w:t>
      </w:r>
      <w:r w:rsidRPr="00BB57FB" w:rsidR="008179E1">
        <w:rPr>
          <w:rFonts w:ascii="Verdana" w:eastAsia="Arial" w:hAnsi="Verdana"/>
          <w:sz w:val="24"/>
          <w:szCs w:val="24"/>
          <w:lang w:eastAsia="ja-JP"/>
        </w:rPr>
        <w:t>:</w:t>
      </w:r>
      <w:r w:rsidRPr="00BB57FB">
        <w:rPr>
          <w:rFonts w:ascii="Verdana" w:eastAsia="Arial" w:hAnsi="Verdana"/>
          <w:sz w:val="24"/>
          <w:szCs w:val="24"/>
          <w:lang w:eastAsia="ja-JP"/>
        </w:rPr>
        <w:t xml:space="preserve"> </w:t>
      </w:r>
      <w:r w:rsidRPr="00BB57FB" w:rsidR="008179E1">
        <w:rPr>
          <w:rFonts w:ascii="Verdana" w:eastAsia="Arial" w:hAnsi="Verdana"/>
          <w:sz w:val="24"/>
          <w:szCs w:val="24"/>
          <w:lang w:eastAsia="ja-JP"/>
        </w:rPr>
        <w:t>t</w:t>
      </w:r>
      <w:r w:rsidRPr="00BB57FB">
        <w:rPr>
          <w:rFonts w:ascii="Verdana" w:eastAsia="Arial" w:hAnsi="Verdana"/>
          <w:sz w:val="24"/>
          <w:szCs w:val="24"/>
          <w:lang w:eastAsia="ja-JP"/>
        </w:rPr>
        <w:t>his is a UK administrative issue rather than an EU-UK issue.)</w:t>
      </w:r>
    </w:p>
    <w:p w:rsidR="000A605E" w:rsidRPr="00BB57FB" w:rsidP="00A07520">
      <w:pPr>
        <w:numPr>
          <w:ilvl w:val="0"/>
          <w:numId w:val="4"/>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 xml:space="preserve">A1 forms, issued by HMRC, establish that an individual remains subject to UK National Insurance contributions rather than those of the host country. Essentially, the A1 form ensures there is no double payment of social security contributions. </w:t>
      </w:r>
    </w:p>
    <w:p w:rsidR="000A605E" w:rsidRPr="00BB57FB" w:rsidP="00A07520">
      <w:pPr>
        <w:numPr>
          <w:ilvl w:val="0"/>
          <w:numId w:val="4"/>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Backlogs in the processing of the forms are a regular occurrence and result in a negative impact on the livelihoods of musicians working in the EU</w:t>
      </w:r>
      <w:r w:rsidRPr="00BB57FB" w:rsidR="009629E6">
        <w:rPr>
          <w:rFonts w:ascii="Verdana" w:eastAsia="Arial" w:hAnsi="Verdana"/>
          <w:sz w:val="24"/>
          <w:szCs w:val="24"/>
          <w:lang w:eastAsia="ja-JP"/>
        </w:rPr>
        <w:t>,</w:t>
      </w:r>
      <w:r w:rsidRPr="00BB57FB">
        <w:rPr>
          <w:rFonts w:ascii="Verdana" w:eastAsia="Arial" w:hAnsi="Verdana"/>
          <w:sz w:val="24"/>
          <w:szCs w:val="24"/>
          <w:lang w:eastAsia="ja-JP"/>
        </w:rPr>
        <w:t xml:space="preserve"> as the forms are not being issued in time to take up contracts. </w:t>
      </w:r>
    </w:p>
    <w:p w:rsidR="000A605E" w:rsidRPr="00BB57FB" w:rsidP="00A07520">
      <w:pPr>
        <w:numPr>
          <w:ilvl w:val="0"/>
          <w:numId w:val="4"/>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In answer to a letter from the ISM in January 2024, then-Treasury Minister Nigel Huddleston said HMRC had allocated extra staff to reduce the backlog.</w:t>
      </w:r>
    </w:p>
    <w:p w:rsidR="000A605E" w:rsidRPr="00BB57FB" w:rsidP="00A07520">
      <w:pPr>
        <w:numPr>
          <w:ilvl w:val="0"/>
          <w:numId w:val="4"/>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In answer to a PQ in May 2024, HMRC was said to be meeting its own ‘service levels’ of 15 days for digital applications and 40 days for postal ones.</w:t>
      </w:r>
      <w:r>
        <w:rPr>
          <w:rFonts w:ascii="Verdana" w:eastAsia="Arial" w:hAnsi="Verdana"/>
          <w:sz w:val="24"/>
          <w:szCs w:val="24"/>
          <w:vertAlign w:val="superscript"/>
          <w:lang w:eastAsia="ja-JP"/>
        </w:rPr>
        <w:endnoteReference w:id="18"/>
      </w:r>
      <w:r w:rsidRPr="00BB57FB">
        <w:rPr>
          <w:rFonts w:ascii="Verdana" w:eastAsia="Arial" w:hAnsi="Verdana"/>
          <w:sz w:val="24"/>
          <w:szCs w:val="24"/>
          <w:lang w:eastAsia="ja-JP"/>
        </w:rPr>
        <w:t xml:space="preserve"> On 10 April 2025, HMRC’s website stated that it was currently processing online applications from 6 January 2025 with an estimated expected reply by 17 June 2025 and postal applications from 28 October 2024 with an estimated expected reply by 26 August 2025.</w:t>
      </w:r>
      <w:r>
        <w:rPr>
          <w:rFonts w:ascii="Verdana" w:eastAsia="Arial" w:hAnsi="Verdana"/>
          <w:sz w:val="24"/>
          <w:szCs w:val="24"/>
          <w:vertAlign w:val="superscript"/>
          <w:lang w:eastAsia="ja-JP"/>
        </w:rPr>
        <w:endnoteReference w:id="19"/>
      </w:r>
    </w:p>
    <w:p w:rsidR="000A605E" w:rsidRPr="00BB57FB" w:rsidP="00D9276A">
      <w:pPr>
        <w:spacing w:line="276" w:lineRule="auto"/>
        <w:ind w:left="720"/>
        <w:contextualSpacing/>
        <w:jc w:val="both"/>
        <w:rPr>
          <w:rFonts w:ascii="Verdana" w:eastAsia="Arial" w:hAnsi="Verdana"/>
          <w:sz w:val="24"/>
          <w:szCs w:val="24"/>
          <w:highlight w:val="yellow"/>
          <w:lang w:eastAsia="ja-JP"/>
        </w:rPr>
      </w:pPr>
    </w:p>
    <w:p w:rsidR="000A605E" w:rsidRPr="00BB57FB" w:rsidP="00D9276A">
      <w:pPr>
        <w:spacing w:after="160" w:line="276" w:lineRule="auto"/>
        <w:jc w:val="both"/>
        <w:rPr>
          <w:rFonts w:ascii="Verdana" w:eastAsia="Arial" w:hAnsi="Verdana"/>
          <w:sz w:val="24"/>
          <w:szCs w:val="24"/>
          <w:u w:val="single"/>
          <w:lang w:eastAsia="ja-JP"/>
        </w:rPr>
      </w:pPr>
      <w:r w:rsidRPr="00BB57FB">
        <w:rPr>
          <w:rFonts w:ascii="Verdana" w:eastAsia="Arial" w:hAnsi="Verdana"/>
          <w:sz w:val="24"/>
          <w:szCs w:val="24"/>
          <w:lang w:eastAsia="ja-JP"/>
        </w:rPr>
        <w:t xml:space="preserve"> Cabotage</w:t>
      </w:r>
    </w:p>
    <w:p w:rsidR="000A605E" w:rsidRPr="00BB57FB" w:rsidP="00A07520">
      <w:pPr>
        <w:numPr>
          <w:ilvl w:val="0"/>
          <w:numId w:val="9"/>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 xml:space="preserve">Under the TCA rules, hauliers over 3.5 tonnes operating in the EU from the UK are now permitted a maximum of 3 internal movements. This is extremely difficult for UK tour operators running tours in the EU. For example, an orchestra tour typically lasts several weeks and covers half a dozen countries.  </w:t>
      </w:r>
    </w:p>
    <w:p w:rsidR="000A605E" w:rsidRPr="00BB57FB" w:rsidP="00A07520">
      <w:pPr>
        <w:numPr>
          <w:ilvl w:val="0"/>
          <w:numId w:val="9"/>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The DfT introduced dual registration for hauliers, which enables them to switch vehicles between GB and EU O-licences, as a temporary solution for cabotage. However, while dual registration may assist larger hauliers, it does not provide a solution for orchestras and other ensembles. Many of these use their own purpose-built vehicles and drivers for tours (operating on ‘own account’). Under the European Commission’s Regulation 1072/2009xiii, operating on ‘own account’ is exempt from cabotage restrictions, but this exemption was not included in the TCA.</w:t>
      </w:r>
      <w:r>
        <w:rPr>
          <w:rFonts w:ascii="Verdana" w:eastAsia="Arial" w:hAnsi="Verdana"/>
          <w:sz w:val="24"/>
          <w:szCs w:val="24"/>
          <w:vertAlign w:val="superscript"/>
          <w:lang w:eastAsia="ja-JP"/>
        </w:rPr>
        <w:endnoteReference w:id="20"/>
      </w:r>
      <w:r w:rsidRPr="00BB57FB">
        <w:rPr>
          <w:rFonts w:ascii="Verdana" w:eastAsia="Arial" w:hAnsi="Verdana"/>
          <w:sz w:val="24"/>
          <w:szCs w:val="24"/>
          <w:lang w:eastAsia="ja-JP"/>
        </w:rPr>
        <w:t xml:space="preserve">  </w:t>
      </w:r>
    </w:p>
    <w:p w:rsidR="000A605E" w:rsidRPr="00BB57FB" w:rsidP="00A07520">
      <w:pPr>
        <w:numPr>
          <w:ilvl w:val="0"/>
          <w:numId w:val="9"/>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Dual registration does not enable orchestras to operate on ‘own account’. Instead, it requires the operator to open premises in the EU and ‘have at its disposal on an ongoing basis, a number of vehicles and drivers’ – not a realistic option for a UK orchestra or group with a single touring vehicle.</w:t>
      </w:r>
    </w:p>
    <w:p w:rsidR="000A605E" w:rsidRPr="00BB57FB" w:rsidP="00A07520">
      <w:pPr>
        <w:numPr>
          <w:ilvl w:val="0"/>
          <w:numId w:val="9"/>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This results in wasted public investment (for example, the lorry owned by the City of Birmingham Symphony Orchestra cost £215,000 and was purchased thanks to investment from the Arts Council). It also prevents ensembles from employing their own drivers to act as stage managers for tours, increasing their costs.</w:t>
      </w:r>
    </w:p>
    <w:p w:rsidR="000A605E" w:rsidRPr="00BB57FB" w:rsidP="00A07520">
      <w:pPr>
        <w:numPr>
          <w:ilvl w:val="0"/>
          <w:numId w:val="9"/>
        </w:numPr>
        <w:spacing w:after="160" w:line="276" w:lineRule="auto"/>
        <w:contextualSpacing/>
        <w:jc w:val="both"/>
        <w:rPr>
          <w:rFonts w:ascii="Verdana" w:eastAsia="MS Mincho" w:hAnsi="Verdana"/>
          <w:sz w:val="24"/>
          <w:szCs w:val="24"/>
          <w:lang w:eastAsia="ja-JP"/>
        </w:rPr>
      </w:pPr>
      <w:r w:rsidRPr="00BB57FB">
        <w:rPr>
          <w:rFonts w:ascii="Verdana" w:eastAsia="MS Mincho" w:hAnsi="Verdana"/>
          <w:sz w:val="24"/>
          <w:szCs w:val="24"/>
          <w:lang w:eastAsia="ja-JP"/>
        </w:rPr>
        <w:t>The solution to these issues is through renegotiation of the TCA.. The narrow definition of non-commercial road exportation in Article 460 of the TCA could be changed to match the Liberalised Transport section of the European Conference of Ministers of Transport (ECMT). This text states that the following are exempt from multilateral and bilateral transport permit requirements:</w:t>
      </w:r>
    </w:p>
    <w:p w:rsidR="000A605E" w:rsidRPr="00BB57FB" w:rsidP="00D9276A">
      <w:pPr>
        <w:spacing w:after="160" w:line="276" w:lineRule="auto"/>
        <w:ind w:left="1440"/>
        <w:contextualSpacing/>
        <w:jc w:val="both"/>
        <w:rPr>
          <w:rFonts w:ascii="Verdana" w:eastAsia="MS Mincho" w:hAnsi="Verdana"/>
          <w:sz w:val="24"/>
          <w:szCs w:val="24"/>
          <w:lang w:eastAsia="ja-JP"/>
        </w:rPr>
      </w:pPr>
      <w:r w:rsidRPr="00BB57FB">
        <w:rPr>
          <w:rFonts w:ascii="Verdana" w:eastAsia="MS Mincho" w:hAnsi="Verdana"/>
          <w:sz w:val="24"/>
          <w:szCs w:val="24"/>
          <w:lang w:eastAsia="ja-JP"/>
        </w:rPr>
        <w:t>‘Transport for non-commercial purposes of properties, accessories and animals to or from theatrical, musical, film, sports or circus performances, fairs or fetes, and those intended for radio recordings, or for film or television production and the transport of goods on own account…’</w:t>
      </w:r>
      <w:r>
        <w:rPr>
          <w:rFonts w:ascii="Verdana" w:eastAsia="MS Mincho" w:hAnsi="Verdana"/>
          <w:sz w:val="24"/>
          <w:szCs w:val="24"/>
          <w:vertAlign w:val="superscript"/>
          <w:lang w:eastAsia="ja-JP"/>
        </w:rPr>
        <w:endnoteReference w:id="21"/>
      </w:r>
    </w:p>
    <w:p w:rsidR="000A605E" w:rsidRPr="00BB57FB" w:rsidP="00A07520">
      <w:pPr>
        <w:numPr>
          <w:ilvl w:val="0"/>
          <w:numId w:val="9"/>
        </w:numPr>
        <w:spacing w:after="160" w:line="276" w:lineRule="auto"/>
        <w:contextualSpacing/>
        <w:jc w:val="both"/>
        <w:rPr>
          <w:rFonts w:ascii="Verdana" w:eastAsia="MS Mincho" w:hAnsi="Verdana"/>
          <w:sz w:val="24"/>
          <w:szCs w:val="24"/>
          <w:lang w:eastAsia="ja-JP"/>
        </w:rPr>
      </w:pPr>
      <w:r w:rsidRPr="00BB57FB">
        <w:rPr>
          <w:rFonts w:ascii="Verdana" w:eastAsia="MS Mincho" w:hAnsi="Verdana"/>
          <w:sz w:val="24"/>
          <w:szCs w:val="24"/>
          <w:lang w:eastAsia="ja-JP"/>
        </w:rPr>
        <w:t>If possible, the EU could implement this exception sooner through a temporary agreement – with it formally recognised in the renegotiated TCA in 2026.</w:t>
      </w:r>
    </w:p>
    <w:p w:rsidR="001D2758" w:rsidRPr="00BB57FB" w:rsidP="001D2758">
      <w:pPr>
        <w:spacing w:line="259" w:lineRule="auto"/>
        <w:jc w:val="both"/>
        <w:rPr>
          <w:rFonts w:ascii="Verdana" w:eastAsia="MS Mincho" w:hAnsi="Verdana"/>
          <w:sz w:val="24"/>
          <w:szCs w:val="24"/>
          <w:lang w:eastAsia="ja-JP"/>
        </w:rPr>
      </w:pPr>
    </w:p>
    <w:p w:rsidR="000A605E" w:rsidRPr="00BB57FB" w:rsidP="00D9276A">
      <w:pPr>
        <w:spacing w:after="160" w:line="259" w:lineRule="auto"/>
        <w:jc w:val="both"/>
        <w:rPr>
          <w:rFonts w:ascii="Verdana" w:eastAsia="MS Mincho" w:hAnsi="Verdana"/>
          <w:sz w:val="24"/>
          <w:szCs w:val="24"/>
          <w:lang w:eastAsia="ja-JP"/>
        </w:rPr>
      </w:pPr>
      <w:r w:rsidRPr="00BB57FB">
        <w:rPr>
          <w:rFonts w:ascii="Verdana" w:eastAsia="MS Mincho" w:hAnsi="Verdana"/>
          <w:sz w:val="24"/>
          <w:szCs w:val="24"/>
          <w:lang w:eastAsia="ja-JP"/>
        </w:rPr>
        <w:t>Creative Europe</w:t>
      </w:r>
    </w:p>
    <w:p w:rsidR="000A605E" w:rsidRPr="00BB57FB" w:rsidP="00A07520">
      <w:pPr>
        <w:numPr>
          <w:ilvl w:val="0"/>
          <w:numId w:val="9"/>
        </w:numPr>
        <w:spacing w:after="160" w:line="276" w:lineRule="auto"/>
        <w:contextualSpacing/>
        <w:jc w:val="both"/>
        <w:rPr>
          <w:rFonts w:ascii="Verdana" w:eastAsia="MS Mincho" w:hAnsi="Verdana"/>
          <w:sz w:val="24"/>
          <w:szCs w:val="24"/>
          <w:lang w:eastAsia="ja-JP"/>
        </w:rPr>
      </w:pPr>
      <w:r w:rsidRPr="00BB57FB">
        <w:rPr>
          <w:rFonts w:ascii="Verdana" w:eastAsia="MS Mincho" w:hAnsi="Verdana"/>
          <w:sz w:val="24"/>
          <w:szCs w:val="24"/>
          <w:lang w:eastAsia="ja-JP"/>
        </w:rPr>
        <w:t>Creative Europe is an EU initiative designed to support the cultural and creative sectors across Europe. Between 2021 and 2027, the programme will distribute €2.44 billion to boost the growth and reach of creative businesses across Europe.</w:t>
      </w:r>
    </w:p>
    <w:p w:rsidR="000A605E" w:rsidRPr="00BB57FB" w:rsidP="00A07520">
      <w:pPr>
        <w:numPr>
          <w:ilvl w:val="0"/>
          <w:numId w:val="9"/>
        </w:numPr>
        <w:spacing w:after="160" w:line="276" w:lineRule="auto"/>
        <w:contextualSpacing/>
        <w:jc w:val="both"/>
        <w:rPr>
          <w:rFonts w:ascii="Verdana" w:eastAsia="MS Mincho" w:hAnsi="Verdana"/>
          <w:sz w:val="24"/>
          <w:szCs w:val="24"/>
          <w:lang w:eastAsia="ja-JP"/>
        </w:rPr>
      </w:pPr>
      <w:r w:rsidRPr="00BB57FB">
        <w:rPr>
          <w:rFonts w:ascii="Verdana" w:eastAsia="MS Mincho" w:hAnsi="Verdana"/>
          <w:sz w:val="24"/>
          <w:szCs w:val="24"/>
          <w:lang w:eastAsia="ja-JP"/>
        </w:rPr>
        <w:t>Prior to the UK's withdrawal from the programme on 1 January 2021, UK-based creative and cultural organisations were eligible for non-repayable grants, training opportunities, and access to market opportunities.</w:t>
      </w:r>
    </w:p>
    <w:p w:rsidR="000A605E" w:rsidRPr="00BB57FB" w:rsidP="00A07520">
      <w:pPr>
        <w:numPr>
          <w:ilvl w:val="0"/>
          <w:numId w:val="9"/>
        </w:numPr>
        <w:spacing w:after="160" w:line="276" w:lineRule="auto"/>
        <w:contextualSpacing/>
        <w:jc w:val="both"/>
        <w:rPr>
          <w:rFonts w:ascii="Verdana" w:eastAsia="MS Mincho" w:hAnsi="Verdana"/>
          <w:sz w:val="24"/>
          <w:szCs w:val="24"/>
          <w:lang w:eastAsia="ja-JP"/>
        </w:rPr>
      </w:pPr>
      <w:r w:rsidRPr="00BB57FB">
        <w:rPr>
          <w:rFonts w:ascii="Verdana" w:eastAsia="MS Mincho" w:hAnsi="Verdana"/>
          <w:sz w:val="24"/>
          <w:szCs w:val="24"/>
          <w:lang w:eastAsia="ja-JP"/>
        </w:rPr>
        <w:t>According to a 2021 report by Creative Europe Desk UK, from 2014 to 2019, the programme supported 609 UK-involved projects with €203 million in funding. UK organisations directly received €68 million, which in turn helped generate an additional €140 million in match funding.</w:t>
      </w:r>
      <w:r>
        <w:rPr>
          <w:rFonts w:ascii="Verdana" w:eastAsia="MS Mincho" w:hAnsi="Verdana"/>
          <w:sz w:val="24"/>
          <w:szCs w:val="24"/>
          <w:vertAlign w:val="superscript"/>
          <w:lang w:eastAsia="ja-JP"/>
        </w:rPr>
        <w:endnoteReference w:id="22"/>
      </w:r>
    </w:p>
    <w:p w:rsidR="000A605E" w:rsidRPr="00BB57FB" w:rsidP="00A07520">
      <w:pPr>
        <w:numPr>
          <w:ilvl w:val="0"/>
          <w:numId w:val="9"/>
        </w:numPr>
        <w:spacing w:after="160" w:line="276" w:lineRule="auto"/>
        <w:contextualSpacing/>
        <w:jc w:val="both"/>
        <w:rPr>
          <w:rFonts w:ascii="Verdana" w:eastAsia="MS Mincho" w:hAnsi="Verdana"/>
          <w:sz w:val="24"/>
          <w:szCs w:val="24"/>
          <w:lang w:eastAsia="ja-JP"/>
        </w:rPr>
      </w:pPr>
      <w:r w:rsidRPr="00BB57FB">
        <w:rPr>
          <w:rFonts w:ascii="Verdana" w:eastAsia="MS Mincho" w:hAnsi="Verdana"/>
          <w:sz w:val="24"/>
          <w:szCs w:val="24"/>
          <w:lang w:eastAsia="ja-JP"/>
        </w:rPr>
        <w:t>Beyond financial support, Creative Europe also fostered international collaboration, helped build audiences, created jobs, developed skills and enhanced the UK’s soft power.</w:t>
      </w:r>
    </w:p>
    <w:p w:rsidR="000A605E" w:rsidRPr="00BB57FB" w:rsidP="00A07520">
      <w:pPr>
        <w:numPr>
          <w:ilvl w:val="0"/>
          <w:numId w:val="9"/>
        </w:numPr>
        <w:spacing w:after="160" w:line="276" w:lineRule="auto"/>
        <w:contextualSpacing/>
        <w:jc w:val="both"/>
        <w:rPr>
          <w:rFonts w:ascii="Verdana" w:eastAsia="MS Mincho" w:hAnsi="Verdana"/>
          <w:sz w:val="24"/>
          <w:szCs w:val="24"/>
          <w:lang w:eastAsia="ja-JP"/>
        </w:rPr>
      </w:pPr>
      <w:r w:rsidRPr="00BB57FB">
        <w:rPr>
          <w:rFonts w:ascii="Verdana" w:eastAsia="MS Mincho" w:hAnsi="Verdana"/>
          <w:sz w:val="24"/>
          <w:szCs w:val="24"/>
          <w:lang w:eastAsia="ja-JP"/>
        </w:rPr>
        <w:t>The EU has confirmed that the programme is open to ‘other third countries’, suggesting the UK would be welcome to return</w:t>
      </w:r>
      <w:r w:rsidRPr="00BB57FB" w:rsidR="000B1EB9">
        <w:rPr>
          <w:rFonts w:ascii="Verdana" w:eastAsia="MS Mincho" w:hAnsi="Verdana"/>
          <w:sz w:val="24"/>
          <w:szCs w:val="24"/>
          <w:lang w:eastAsia="ja-JP"/>
        </w:rPr>
        <w:t xml:space="preserve"> – </w:t>
      </w:r>
      <w:r w:rsidRPr="00BB57FB">
        <w:rPr>
          <w:rFonts w:ascii="Verdana" w:eastAsia="MS Mincho" w:hAnsi="Verdana"/>
          <w:sz w:val="24"/>
          <w:szCs w:val="24"/>
          <w:lang w:eastAsia="ja-JP"/>
        </w:rPr>
        <w:t>similar to its recent rejoining of the Horizon Europe and Copernicus programmes.</w:t>
      </w:r>
    </w:p>
    <w:p w:rsidR="000A605E" w:rsidRPr="00BB57FB" w:rsidP="00A07520">
      <w:pPr>
        <w:numPr>
          <w:ilvl w:val="0"/>
          <w:numId w:val="9"/>
        </w:numPr>
        <w:spacing w:after="160" w:line="276" w:lineRule="auto"/>
        <w:contextualSpacing/>
        <w:jc w:val="both"/>
        <w:rPr>
          <w:rFonts w:ascii="Verdana" w:eastAsia="MS Mincho" w:hAnsi="Verdana"/>
          <w:sz w:val="24"/>
          <w:szCs w:val="24"/>
          <w:lang w:eastAsia="ja-JP"/>
        </w:rPr>
      </w:pPr>
      <w:r w:rsidRPr="00BB57FB">
        <w:rPr>
          <w:rFonts w:ascii="Verdana" w:eastAsia="MS Mincho" w:hAnsi="Verdana"/>
          <w:sz w:val="24"/>
          <w:szCs w:val="24"/>
          <w:lang w:eastAsia="ja-JP"/>
        </w:rPr>
        <w:t>Rejoining Creative Europe could also potentially help alleviate the financial pressures faced by UK music professionals touring in the EU. The programme’s funding could support both artists and European venues and festivals booking UK acts, making cross-border cultural exchange more viable once again.</w:t>
      </w:r>
    </w:p>
    <w:p w:rsidR="001D2758" w:rsidRPr="00BB57FB" w:rsidP="001D2758">
      <w:pPr>
        <w:spacing w:line="276" w:lineRule="auto"/>
        <w:jc w:val="both"/>
        <w:rPr>
          <w:rFonts w:ascii="Verdana" w:eastAsia="Arial" w:hAnsi="Verdana"/>
          <w:b/>
          <w:bCs/>
          <w:sz w:val="24"/>
          <w:szCs w:val="24"/>
          <w:lang w:eastAsia="ja-JP"/>
        </w:rPr>
      </w:pPr>
    </w:p>
    <w:p w:rsidR="000A605E" w:rsidRPr="00BB57FB" w:rsidP="00D9276A">
      <w:pPr>
        <w:spacing w:after="160" w:line="276" w:lineRule="auto"/>
        <w:jc w:val="both"/>
        <w:rPr>
          <w:rFonts w:ascii="Verdana" w:eastAsia="Arial" w:hAnsi="Verdana"/>
          <w:sz w:val="24"/>
          <w:szCs w:val="24"/>
          <w:lang w:eastAsia="ja-JP"/>
        </w:rPr>
      </w:pPr>
      <w:r w:rsidRPr="00BB57FB">
        <w:rPr>
          <w:rFonts w:ascii="Verdana" w:eastAsia="Arial" w:hAnsi="Verdana"/>
          <w:b/>
          <w:bCs/>
          <w:sz w:val="24"/>
          <w:szCs w:val="24"/>
          <w:lang w:eastAsia="ja-JP"/>
        </w:rPr>
        <w:t>ISM asks (excluding mobility)</w:t>
      </w:r>
    </w:p>
    <w:p w:rsidR="000A605E" w:rsidRPr="00BB57FB" w:rsidP="00A07520">
      <w:pPr>
        <w:numPr>
          <w:ilvl w:val="0"/>
          <w:numId w:val="3"/>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Explore if a cultural exemption for carnets with the EU is possible. Unilaterally reduce the cost of the ATA Carnet and associated deposits for cultural goods.</w:t>
      </w:r>
    </w:p>
    <w:p w:rsidR="000A605E" w:rsidRPr="00BB57FB" w:rsidP="00A07520">
      <w:pPr>
        <w:numPr>
          <w:ilvl w:val="0"/>
          <w:numId w:val="3"/>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Negotiate a cabotage exemption for the creative industries with the EU.</w:t>
      </w:r>
    </w:p>
    <w:p w:rsidR="000A605E" w:rsidRPr="00BB57FB" w:rsidP="00A07520">
      <w:pPr>
        <w:numPr>
          <w:ilvl w:val="0"/>
          <w:numId w:val="3"/>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Make Eurostar St Pancras a CITES designated Point of Entry or Exit, digitise Musical Instrument Certificate applications and keep them free.</w:t>
      </w:r>
    </w:p>
    <w:p w:rsidR="000A605E" w:rsidRPr="00BB57FB" w:rsidP="00A07520">
      <w:pPr>
        <w:numPr>
          <w:ilvl w:val="0"/>
          <w:numId w:val="3"/>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Streamline merchandise paperwork applications and provide clear guidance for musicians.</w:t>
      </w:r>
    </w:p>
    <w:p w:rsidR="000A605E" w:rsidRPr="00BB57FB" w:rsidP="00A07520">
      <w:pPr>
        <w:numPr>
          <w:ilvl w:val="0"/>
          <w:numId w:val="3"/>
        </w:numPr>
        <w:spacing w:after="160" w:line="276" w:lineRule="auto"/>
        <w:contextualSpacing/>
        <w:jc w:val="both"/>
        <w:rPr>
          <w:rFonts w:ascii="Verdana" w:eastAsia="Arial" w:hAnsi="Verdana"/>
          <w:sz w:val="24"/>
          <w:szCs w:val="24"/>
          <w:lang w:eastAsia="ja-JP"/>
        </w:rPr>
      </w:pPr>
      <w:r w:rsidRPr="00BB57FB">
        <w:rPr>
          <w:rFonts w:ascii="Verdana" w:eastAsia="Arial" w:hAnsi="Verdana"/>
          <w:sz w:val="24"/>
          <w:szCs w:val="24"/>
          <w:lang w:eastAsia="ja-JP"/>
        </w:rPr>
        <w:t>Address the unacceptably slow turnaround time for processing A1 forms.</w:t>
      </w:r>
    </w:p>
    <w:p w:rsidR="000A605E" w:rsidRPr="00BB57FB" w:rsidP="001D2758">
      <w:pPr>
        <w:spacing w:line="279" w:lineRule="auto"/>
        <w:jc w:val="both"/>
        <w:rPr>
          <w:rFonts w:ascii="Verdana" w:eastAsia="Arial" w:hAnsi="Verdana"/>
          <w:b/>
          <w:bCs/>
          <w:sz w:val="24"/>
          <w:szCs w:val="24"/>
          <w:lang w:eastAsia="ja-JP"/>
        </w:rPr>
      </w:pPr>
    </w:p>
    <w:p w:rsidR="000A605E" w:rsidRPr="00BB57FB" w:rsidP="00D9276A">
      <w:pPr>
        <w:spacing w:after="160" w:line="279" w:lineRule="auto"/>
        <w:jc w:val="both"/>
        <w:rPr>
          <w:rFonts w:ascii="Verdana" w:eastAsia="Arial" w:hAnsi="Verdana"/>
          <w:sz w:val="24"/>
          <w:szCs w:val="24"/>
          <w:lang w:eastAsia="ja-JP"/>
        </w:rPr>
      </w:pPr>
      <w:r w:rsidRPr="00BB57FB">
        <w:rPr>
          <w:rFonts w:ascii="Verdana" w:eastAsia="Arial" w:hAnsi="Verdana"/>
          <w:b/>
          <w:bCs/>
          <w:sz w:val="24"/>
          <w:szCs w:val="24"/>
          <w:lang w:eastAsia="ja-JP"/>
        </w:rPr>
        <w:t>Conclusion</w:t>
      </w:r>
    </w:p>
    <w:p w:rsidR="000A605E" w:rsidRPr="00BB57FB" w:rsidP="00D9276A">
      <w:pPr>
        <w:spacing w:line="278" w:lineRule="auto"/>
        <w:jc w:val="both"/>
        <w:rPr>
          <w:rFonts w:ascii="Verdana" w:eastAsia="Arial" w:hAnsi="Verdana"/>
          <w:sz w:val="24"/>
          <w:szCs w:val="24"/>
          <w:lang w:eastAsia="ja-JP"/>
        </w:rPr>
      </w:pPr>
      <w:r w:rsidRPr="00BB57FB">
        <w:rPr>
          <w:rFonts w:ascii="Verdana" w:eastAsia="Arial" w:hAnsi="Verdana"/>
          <w:sz w:val="24"/>
          <w:szCs w:val="24"/>
          <w:lang w:eastAsia="ja-JP"/>
        </w:rPr>
        <w:t xml:space="preserve">The Labour party made promises in its election manifesto to help touring artists and the new government has continued with this messaging. The creative industries are one of the eight key growth-driving sectors which form the government’s industrial strategy. Addressing the financial and bureaucratic burdens on musicians and support staff are not only vital to the UK economy but also our soft power. </w:t>
      </w:r>
    </w:p>
    <w:p w:rsidR="000A605E" w:rsidRPr="00BB57FB" w:rsidP="00D9276A">
      <w:pPr>
        <w:spacing w:line="278" w:lineRule="auto"/>
        <w:jc w:val="both"/>
        <w:rPr>
          <w:rFonts w:ascii="Verdana" w:eastAsia="Arial" w:hAnsi="Verdana"/>
          <w:sz w:val="24"/>
          <w:szCs w:val="24"/>
          <w:lang w:eastAsia="ja-JP"/>
        </w:rPr>
      </w:pPr>
    </w:p>
    <w:p w:rsidR="000A605E" w:rsidRPr="00BB57FB" w:rsidP="00D9276A">
      <w:pPr>
        <w:spacing w:line="278" w:lineRule="auto"/>
        <w:jc w:val="both"/>
        <w:rPr>
          <w:rFonts w:ascii="Verdana" w:eastAsia="MS Mincho" w:hAnsi="Verdana"/>
          <w:sz w:val="24"/>
          <w:szCs w:val="24"/>
          <w:lang w:eastAsia="ja-JP"/>
        </w:rPr>
      </w:pPr>
      <w:r w:rsidRPr="00BB57FB">
        <w:rPr>
          <w:rFonts w:ascii="Verdana" w:eastAsia="Arial" w:hAnsi="Verdana"/>
          <w:sz w:val="24"/>
          <w:szCs w:val="24"/>
          <w:lang w:eastAsia="ja-JP"/>
        </w:rPr>
        <w:t xml:space="preserve">In February 2025, as part of a debate on UK-EU relations, Baroness Twycross (Parliamentary Under-Secretary of State at the Department for Culture, Media and Sport) responded to the Earl of </w:t>
      </w:r>
      <w:r w:rsidRPr="00BB57FB">
        <w:rPr>
          <w:rFonts w:ascii="Verdana" w:eastAsia="Arial" w:hAnsi="Verdana"/>
          <w:sz w:val="24"/>
          <w:szCs w:val="24"/>
          <w:lang w:eastAsia="ja-JP"/>
        </w:rPr>
        <w:t>Clancarty</w:t>
      </w:r>
      <w:r w:rsidRPr="00BB57FB">
        <w:rPr>
          <w:rFonts w:ascii="Verdana" w:eastAsia="Arial" w:hAnsi="Verdana"/>
          <w:sz w:val="24"/>
          <w:szCs w:val="24"/>
          <w:lang w:eastAsia="ja-JP"/>
        </w:rPr>
        <w:t xml:space="preserve"> by saying, ‘The Government are committed, as set out in our manifesto, to supporting our creative industries and our creative artists in touring and performing around Europe. I am happy to meet the noble Earl, and I will ensure that my DCMS office gets in touch with him. I am not going to give a description of where we are regarding ongoing discussions or a commentary on negotiations. We are clear, as I know the noble Earl is, that this could help deliver real benefits not just to artists in this country but to artists and venues from across the EU.’</w:t>
      </w:r>
      <w:r>
        <w:rPr>
          <w:rFonts w:ascii="Verdana" w:eastAsia="Arial" w:hAnsi="Verdana"/>
          <w:sz w:val="24"/>
          <w:szCs w:val="24"/>
          <w:vertAlign w:val="superscript"/>
          <w:lang w:eastAsia="ja-JP"/>
        </w:rPr>
        <w:endnoteReference w:id="23"/>
      </w:r>
    </w:p>
    <w:p w:rsidR="000A605E" w:rsidRPr="00BB57FB" w:rsidP="00D9276A">
      <w:pPr>
        <w:spacing w:line="278" w:lineRule="auto"/>
        <w:jc w:val="both"/>
        <w:rPr>
          <w:rFonts w:ascii="Verdana" w:eastAsia="Arial" w:hAnsi="Verdana"/>
          <w:sz w:val="24"/>
          <w:szCs w:val="24"/>
          <w:lang w:eastAsia="ja-JP"/>
        </w:rPr>
      </w:pPr>
    </w:p>
    <w:p w:rsidR="000A605E" w:rsidRPr="00BB57FB" w:rsidP="00D9276A">
      <w:pPr>
        <w:spacing w:line="278" w:lineRule="auto"/>
        <w:jc w:val="both"/>
        <w:rPr>
          <w:rFonts w:ascii="Verdana" w:eastAsia="Arial" w:hAnsi="Verdana"/>
          <w:sz w:val="24"/>
          <w:szCs w:val="24"/>
          <w:lang w:eastAsia="ja-JP"/>
        </w:rPr>
      </w:pPr>
      <w:r w:rsidRPr="00BB57FB">
        <w:rPr>
          <w:rFonts w:ascii="Verdana" w:eastAsia="Arial" w:hAnsi="Verdana"/>
          <w:sz w:val="24"/>
          <w:szCs w:val="24"/>
          <w:lang w:eastAsia="ja-JP"/>
        </w:rPr>
        <w:t xml:space="preserve">The ISM believes that the music sector and government should work together on solutions that will break down the barriers to working in Europe and stands ready to support and advise on these. </w:t>
      </w:r>
    </w:p>
    <w:p w:rsidR="000A605E" w:rsidRPr="00BB57FB" w:rsidP="00D9276A">
      <w:pPr>
        <w:spacing w:line="278" w:lineRule="auto"/>
        <w:jc w:val="both"/>
        <w:rPr>
          <w:rFonts w:ascii="Verdana" w:eastAsia="Arial" w:hAnsi="Verdana"/>
          <w:sz w:val="24"/>
          <w:szCs w:val="24"/>
          <w:lang w:eastAsia="ja-JP"/>
        </w:rPr>
      </w:pPr>
    </w:p>
    <w:p w:rsidR="000A605E" w:rsidRPr="00BB57FB" w:rsidP="00D9276A">
      <w:pPr>
        <w:spacing w:after="160" w:line="279" w:lineRule="auto"/>
        <w:jc w:val="both"/>
        <w:rPr>
          <w:rFonts w:ascii="Verdana" w:eastAsia="Arial" w:hAnsi="Verdana"/>
          <w:b/>
          <w:bCs/>
          <w:sz w:val="24"/>
          <w:szCs w:val="24"/>
          <w:lang w:eastAsia="ja-JP"/>
        </w:rPr>
      </w:pPr>
      <w:r w:rsidRPr="00BB57FB">
        <w:rPr>
          <w:rFonts w:ascii="Verdana" w:eastAsia="Arial" w:hAnsi="Verdana"/>
          <w:b/>
          <w:bCs/>
          <w:sz w:val="24"/>
          <w:szCs w:val="24"/>
          <w:lang w:eastAsia="ja-JP"/>
        </w:rPr>
        <w:t>Independent Society of Musicians</w:t>
      </w:r>
    </w:p>
    <w:p w:rsidR="000A605E" w:rsidRPr="00BB57FB" w:rsidP="00D9276A">
      <w:pPr>
        <w:spacing w:after="160" w:line="279" w:lineRule="auto"/>
        <w:jc w:val="both"/>
        <w:rPr>
          <w:rFonts w:ascii="Verdana" w:eastAsia="Arial" w:hAnsi="Verdana"/>
          <w:b/>
          <w:bCs/>
          <w:sz w:val="24"/>
          <w:szCs w:val="24"/>
          <w:lang w:eastAsia="ja-JP"/>
        </w:rPr>
      </w:pPr>
      <w:r w:rsidRPr="00BB57FB">
        <w:rPr>
          <w:rFonts w:ascii="Verdana" w:eastAsia="Arial" w:hAnsi="Verdana"/>
          <w:b/>
          <w:bCs/>
          <w:sz w:val="24"/>
          <w:szCs w:val="24"/>
          <w:lang w:eastAsia="ja-JP"/>
        </w:rPr>
        <w:t>10 April 2025</w:t>
      </w:r>
    </w:p>
    <w:p w:rsidR="000A605E" w:rsidRPr="00BB57FB" w:rsidP="00D9276A">
      <w:pPr>
        <w:spacing w:after="160" w:line="279" w:lineRule="auto"/>
        <w:jc w:val="both"/>
        <w:rPr>
          <w:rFonts w:ascii="Verdana" w:eastAsia="Arial" w:hAnsi="Verdana"/>
          <w:sz w:val="24"/>
          <w:szCs w:val="24"/>
          <w:lang w:eastAsia="ja-JP"/>
        </w:rPr>
      </w:pPr>
      <w:r w:rsidRPr="00BB57FB">
        <w:rPr>
          <w:rFonts w:ascii="Verdana" w:eastAsia="Arial" w:hAnsi="Verdana"/>
          <w:b/>
          <w:bCs/>
          <w:sz w:val="24"/>
          <w:szCs w:val="24"/>
          <w:lang w:eastAsia="ja-JP"/>
        </w:rPr>
        <w:t xml:space="preserve">For further information please contact Deborah Annetts on </w:t>
      </w:r>
      <w:r>
        <w:fldChar w:fldCharType="begin"/>
      </w:r>
      <w:r>
        <w:instrText xml:space="preserve"> HYPERLINK "mailto:deborah@ism.org" </w:instrText>
      </w:r>
      <w:r>
        <w:fldChar w:fldCharType="separate"/>
      </w:r>
      <w:r w:rsidRPr="00BB57FB">
        <w:rPr>
          <w:rFonts w:ascii="Verdana" w:eastAsia="Arial" w:hAnsi="Verdana"/>
          <w:b/>
          <w:bCs/>
          <w:sz w:val="24"/>
          <w:szCs w:val="24"/>
          <w:u w:val="single"/>
          <w:lang w:eastAsia="ja-JP"/>
        </w:rPr>
        <w:t>deborah@ism.org</w:t>
      </w:r>
      <w:r>
        <w:fldChar w:fldCharType="end"/>
      </w:r>
    </w:p>
    <w:p w:rsidR="000A605E" w:rsidRPr="00BB57FB" w:rsidP="00D9276A">
      <w:pPr>
        <w:spacing w:after="160" w:line="279" w:lineRule="auto"/>
        <w:jc w:val="both"/>
        <w:rPr>
          <w:rFonts w:ascii="Verdana" w:eastAsia="Arial" w:hAnsi="Verdana"/>
          <w:sz w:val="24"/>
          <w:szCs w:val="24"/>
          <w:lang w:eastAsia="ja-JP"/>
        </w:rPr>
      </w:pPr>
    </w:p>
    <w:p w:rsidR="000A605E" w:rsidRPr="00BB57FB" w:rsidP="00D9276A">
      <w:pPr>
        <w:spacing w:after="160" w:line="279" w:lineRule="auto"/>
        <w:jc w:val="both"/>
        <w:rPr>
          <w:rFonts w:ascii="Verdana" w:eastAsia="Arial" w:hAnsi="Verdana"/>
          <w:sz w:val="24"/>
          <w:szCs w:val="24"/>
          <w:lang w:eastAsia="ja-JP"/>
        </w:rPr>
      </w:pPr>
    </w:p>
    <w:p w:rsidR="000A605E" w:rsidRPr="00BB57FB" w:rsidP="00D9276A">
      <w:pPr>
        <w:spacing w:after="160" w:line="279" w:lineRule="auto"/>
        <w:jc w:val="both"/>
        <w:rPr>
          <w:rFonts w:ascii="Verdana" w:eastAsia="Arial" w:hAnsi="Verdana"/>
          <w:sz w:val="24"/>
          <w:szCs w:val="24"/>
          <w:lang w:eastAsia="ja-JP"/>
        </w:rPr>
      </w:pPr>
    </w:p>
    <w:p w:rsidR="000A605E" w:rsidRPr="00BB57FB" w:rsidP="00D9276A">
      <w:pPr>
        <w:spacing w:after="160" w:line="279" w:lineRule="auto"/>
        <w:jc w:val="both"/>
        <w:rPr>
          <w:rFonts w:ascii="Verdana" w:eastAsia="Arial" w:hAnsi="Verdana"/>
          <w:sz w:val="24"/>
          <w:szCs w:val="24"/>
          <w:lang w:eastAsia="ja-JP"/>
        </w:rPr>
      </w:pPr>
    </w:p>
    <w:p w:rsidR="000A605E" w:rsidRPr="00BB57FB" w:rsidP="00D9276A">
      <w:pPr>
        <w:spacing w:after="160" w:line="279" w:lineRule="auto"/>
        <w:jc w:val="both"/>
        <w:rPr>
          <w:rFonts w:ascii="Verdana" w:eastAsia="Arial" w:hAnsi="Verdana"/>
          <w:sz w:val="24"/>
          <w:szCs w:val="24"/>
          <w:lang w:eastAsia="ja-JP"/>
        </w:rPr>
      </w:pPr>
    </w:p>
    <w:p w:rsidR="000A605E" w:rsidRPr="00BB57FB" w:rsidP="00D9276A">
      <w:pPr>
        <w:spacing w:after="160" w:line="279" w:lineRule="auto"/>
        <w:jc w:val="both"/>
        <w:rPr>
          <w:rFonts w:ascii="Verdana" w:eastAsia="Arial" w:hAnsi="Verdana"/>
          <w:sz w:val="24"/>
          <w:szCs w:val="24"/>
          <w:lang w:eastAsia="ja-JP"/>
        </w:rPr>
      </w:pPr>
    </w:p>
    <w:p w:rsidR="000A605E" w:rsidRPr="00BB57FB" w:rsidP="00D9276A">
      <w:pPr>
        <w:spacing w:after="160" w:line="279" w:lineRule="auto"/>
        <w:jc w:val="both"/>
        <w:rPr>
          <w:rFonts w:ascii="Verdana" w:eastAsia="Arial" w:hAnsi="Verdana"/>
          <w:sz w:val="24"/>
          <w:szCs w:val="24"/>
          <w:lang w:eastAsia="ja-JP"/>
        </w:rPr>
      </w:pPr>
    </w:p>
    <w:p w:rsidR="000A605E" w:rsidRPr="00BB57FB" w:rsidP="00D9276A">
      <w:pPr>
        <w:spacing w:after="160" w:line="279" w:lineRule="auto"/>
        <w:jc w:val="both"/>
        <w:rPr>
          <w:rFonts w:ascii="Verdana" w:eastAsia="Arial" w:hAnsi="Verdana"/>
          <w:sz w:val="24"/>
          <w:szCs w:val="24"/>
          <w:lang w:eastAsia="ja-JP"/>
        </w:rPr>
      </w:pPr>
    </w:p>
    <w:p w:rsidR="00C120A9" w:rsidRPr="00BB57FB" w:rsidP="00D9276A">
      <w:pPr>
        <w:spacing w:after="160" w:line="279" w:lineRule="auto"/>
        <w:jc w:val="both"/>
        <w:rPr>
          <w:rFonts w:ascii="Verdana" w:eastAsia="Arial" w:hAnsi="Verdana"/>
          <w:sz w:val="24"/>
          <w:szCs w:val="24"/>
          <w:lang w:eastAsia="ja-JP"/>
        </w:rPr>
      </w:pPr>
    </w:p>
    <w:p w:rsidR="00C120A9" w:rsidRPr="00BB57FB" w:rsidP="00D9276A">
      <w:pPr>
        <w:spacing w:after="160" w:line="279" w:lineRule="auto"/>
        <w:jc w:val="both"/>
        <w:rPr>
          <w:rFonts w:ascii="Verdana" w:eastAsia="Arial" w:hAnsi="Verdana"/>
          <w:sz w:val="24"/>
          <w:szCs w:val="24"/>
          <w:lang w:eastAsia="ja-JP"/>
        </w:rPr>
      </w:pPr>
    </w:p>
    <w:p w:rsidR="00C120A9" w:rsidRPr="00BB57FB" w:rsidP="00D9276A">
      <w:pPr>
        <w:spacing w:after="160" w:line="279" w:lineRule="auto"/>
        <w:jc w:val="both"/>
        <w:rPr>
          <w:rFonts w:ascii="Verdana" w:eastAsia="Arial" w:hAnsi="Verdana"/>
          <w:sz w:val="24"/>
          <w:szCs w:val="24"/>
          <w:lang w:eastAsia="ja-JP"/>
        </w:rPr>
      </w:pPr>
    </w:p>
    <w:p w:rsidR="00C120A9" w:rsidRPr="00BB57FB" w:rsidP="00D9276A">
      <w:pPr>
        <w:spacing w:after="160" w:line="279" w:lineRule="auto"/>
        <w:jc w:val="both"/>
        <w:rPr>
          <w:rFonts w:ascii="Verdana" w:eastAsia="Arial" w:hAnsi="Verdana"/>
          <w:sz w:val="24"/>
          <w:szCs w:val="24"/>
          <w:lang w:eastAsia="ja-JP"/>
        </w:rPr>
      </w:pPr>
    </w:p>
    <w:p w:rsidR="00C120A9" w:rsidRPr="00BB57FB" w:rsidP="00D9276A">
      <w:pPr>
        <w:spacing w:after="160" w:line="279" w:lineRule="auto"/>
        <w:jc w:val="both"/>
        <w:rPr>
          <w:rFonts w:ascii="Verdana" w:eastAsia="Arial" w:hAnsi="Verdana"/>
          <w:sz w:val="24"/>
          <w:szCs w:val="24"/>
          <w:lang w:eastAsia="ja-JP"/>
        </w:rPr>
      </w:pPr>
    </w:p>
    <w:p w:rsidR="00C120A9" w:rsidRPr="00BB57FB" w:rsidP="00D9276A">
      <w:pPr>
        <w:spacing w:after="160" w:line="279" w:lineRule="auto"/>
        <w:jc w:val="both"/>
        <w:rPr>
          <w:rFonts w:ascii="Verdana" w:eastAsia="Arial" w:hAnsi="Verdana"/>
          <w:sz w:val="24"/>
          <w:szCs w:val="24"/>
          <w:lang w:eastAsia="ja-JP"/>
        </w:rPr>
      </w:pPr>
    </w:p>
    <w:p w:rsidR="000A605E" w:rsidRPr="00BB57FB" w:rsidP="00DC2C92">
      <w:pPr>
        <w:jc w:val="both"/>
        <w:rPr>
          <w:rFonts w:ascii="Verdana" w:eastAsia="Arial" w:hAnsi="Verdana"/>
          <w:b/>
          <w:bCs/>
          <w:sz w:val="24"/>
          <w:szCs w:val="24"/>
          <w:lang w:eastAsia="ja-JP"/>
        </w:rPr>
      </w:pPr>
      <w:r w:rsidRPr="00BB57FB">
        <w:rPr>
          <w:rFonts w:ascii="Verdana" w:eastAsia="Arial" w:hAnsi="Verdana"/>
          <w:b/>
          <w:bCs/>
          <w:sz w:val="24"/>
          <w:szCs w:val="24"/>
          <w:lang w:eastAsia="ja-JP"/>
        </w:rPr>
        <w:t>APPENDIX I</w:t>
      </w:r>
      <w:r w:rsidRPr="00BB57FB">
        <w:rPr>
          <w:rFonts w:ascii="Verdana" w:eastAsia="Arial" w:hAnsi="Verdana"/>
          <w:sz w:val="24"/>
          <w:szCs w:val="24"/>
          <w:lang w:eastAsia="ja-JP"/>
        </w:rPr>
        <w:t xml:space="preserve"> </w:t>
      </w:r>
      <w:r w:rsidRPr="00BB57FB" w:rsidR="004E673F">
        <w:rPr>
          <w:rFonts w:ascii="Verdana" w:eastAsia="Arial" w:hAnsi="Verdana"/>
          <w:b/>
          <w:bCs/>
          <w:sz w:val="24"/>
          <w:szCs w:val="24"/>
          <w:lang w:eastAsia="ja-JP"/>
        </w:rPr>
        <w:t>–</w:t>
      </w:r>
      <w:r w:rsidRPr="00BB57FB">
        <w:rPr>
          <w:rFonts w:ascii="Verdana" w:eastAsia="Arial" w:hAnsi="Verdana"/>
          <w:sz w:val="24"/>
          <w:szCs w:val="24"/>
          <w:lang w:eastAsia="ja-JP"/>
        </w:rPr>
        <w:t xml:space="preserve"> </w:t>
      </w:r>
      <w:r w:rsidRPr="00BB57FB">
        <w:rPr>
          <w:rFonts w:ascii="Verdana" w:eastAsia="Arial" w:hAnsi="Verdana"/>
          <w:b/>
          <w:bCs/>
          <w:sz w:val="24"/>
          <w:szCs w:val="24"/>
          <w:lang w:eastAsia="ja-JP"/>
        </w:rPr>
        <w:t>Visa and work permits by EU/EEA countries (March 31, 2025)</w:t>
      </w:r>
    </w:p>
    <w:tbl>
      <w:tblPr>
        <w:tblStyle w:val="TableGrid1"/>
        <w:tblW w:w="9771" w:type="dxa"/>
        <w:tblLayout w:type="fixed"/>
        <w:tblLook w:val="04A0"/>
      </w:tblPr>
      <w:tblGrid>
        <w:gridCol w:w="2967"/>
        <w:gridCol w:w="3544"/>
        <w:gridCol w:w="3260"/>
      </w:tblGrid>
      <w:tr w:rsidTr="008E38B7">
        <w:tblPrEx>
          <w:tblW w:w="9771" w:type="dxa"/>
          <w:tblLayout w:type="fixed"/>
          <w:tblLook w:val="04A0"/>
        </w:tblPrEx>
        <w:trPr>
          <w:trHeight w:val="243"/>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3E5A1"/>
            <w:tcMar>
              <w:left w:w="108" w:type="dxa"/>
              <w:right w:w="108" w:type="dxa"/>
            </w:tcMar>
            <w:vAlign w:val="center"/>
          </w:tcPr>
          <w:p w:rsidR="000A605E" w:rsidRPr="00BB57FB" w:rsidP="00D9276A">
            <w:pPr>
              <w:spacing w:after="160"/>
              <w:jc w:val="both"/>
              <w:rPr>
                <w:rFonts w:ascii="Verdana" w:hAnsi="Verdana"/>
              </w:rPr>
            </w:pPr>
            <w:r w:rsidRPr="00BB57FB">
              <w:rPr>
                <w:rFonts w:ascii="Verdana" w:eastAsia="Arial" w:hAnsi="Verdana"/>
              </w:rPr>
              <w:t xml:space="preserve">Countries </w:t>
            </w:r>
            <w:r w:rsidRPr="00BB57FB" w:rsidR="00F6127F">
              <w:rPr>
                <w:rFonts w:ascii="Verdana" w:eastAsia="Arial" w:hAnsi="Verdana"/>
              </w:rPr>
              <w:t>that</w:t>
            </w:r>
            <w:r w:rsidRPr="00BB57FB">
              <w:rPr>
                <w:rFonts w:ascii="Verdana" w:eastAsia="Arial" w:hAnsi="Verdana"/>
              </w:rPr>
              <w:t xml:space="preserve"> offer touring </w:t>
            </w:r>
            <w:r w:rsidRPr="00BB57FB" w:rsidR="0026248D">
              <w:rPr>
                <w:rFonts w:ascii="Verdana" w:eastAsia="Arial" w:hAnsi="Verdana"/>
              </w:rPr>
              <w:t>of</w:t>
            </w:r>
            <w:r w:rsidRPr="00BB57FB">
              <w:rPr>
                <w:rFonts w:ascii="Verdana" w:eastAsia="Arial" w:hAnsi="Verdana"/>
              </w:rPr>
              <w:t xml:space="preserve"> up to 90 days in 180-day period</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Mar>
              <w:left w:w="108" w:type="dxa"/>
              <w:right w:w="108" w:type="dxa"/>
            </w:tcMar>
            <w:vAlign w:val="center"/>
          </w:tcPr>
          <w:p w:rsidR="000A605E" w:rsidRPr="00BB57FB" w:rsidP="00D9276A">
            <w:pPr>
              <w:spacing w:after="160"/>
              <w:jc w:val="both"/>
              <w:rPr>
                <w:rFonts w:ascii="Verdana" w:hAnsi="Verdana"/>
              </w:rPr>
            </w:pPr>
            <w:r w:rsidRPr="00BB57FB">
              <w:rPr>
                <w:rFonts w:ascii="Verdana" w:eastAsia="Arial" w:hAnsi="Verdana"/>
              </w:rPr>
              <w:t xml:space="preserve">Countries </w:t>
            </w:r>
            <w:r w:rsidRPr="00BB57FB" w:rsidR="00F6127F">
              <w:rPr>
                <w:rFonts w:ascii="Verdana" w:eastAsia="Arial" w:hAnsi="Verdana"/>
              </w:rPr>
              <w:t>that</w:t>
            </w:r>
            <w:r w:rsidRPr="00BB57FB">
              <w:rPr>
                <w:rFonts w:ascii="Verdana" w:eastAsia="Arial" w:hAnsi="Verdana"/>
              </w:rPr>
              <w:t xml:space="preserve"> allow some touring but much less than 90 days in a 180-day period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978F"/>
            <w:tcMar>
              <w:left w:w="108" w:type="dxa"/>
              <w:right w:w="108" w:type="dxa"/>
            </w:tcMar>
            <w:vAlign w:val="center"/>
          </w:tcPr>
          <w:p w:rsidR="000A605E" w:rsidRPr="00BB57FB" w:rsidP="00D9276A">
            <w:pPr>
              <w:spacing w:after="160"/>
              <w:jc w:val="both"/>
              <w:rPr>
                <w:rFonts w:ascii="Verdana" w:hAnsi="Verdana"/>
              </w:rPr>
            </w:pPr>
            <w:r w:rsidRPr="00BB57FB">
              <w:rPr>
                <w:rFonts w:ascii="Verdana" w:eastAsia="Arial" w:hAnsi="Verdana"/>
              </w:rPr>
              <w:t>Countries where touring is neither visa free nor work permit free</w:t>
            </w:r>
          </w:p>
        </w:tc>
      </w:tr>
      <w:tr w:rsidTr="008E38B7">
        <w:tblPrEx>
          <w:tblW w:w="9771" w:type="dxa"/>
          <w:tblLayout w:type="fixed"/>
          <w:tblLook w:val="04A0"/>
        </w:tblPrEx>
        <w:trPr>
          <w:trHeight w:val="243"/>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Belgium (Brussels and Wallonia)</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Austria – visa exemption for up to 4 weeks. Work permit exempt for 1 day or 4 weeks within overall performance</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Cyprus</w:t>
            </w:r>
          </w:p>
        </w:tc>
      </w:tr>
      <w:tr w:rsidTr="008E38B7">
        <w:tblPrEx>
          <w:tblW w:w="9771" w:type="dxa"/>
          <w:tblLayout w:type="fixed"/>
          <w:tblLook w:val="04A0"/>
        </w:tblPrEx>
        <w:trPr>
          <w:trHeight w:val="243"/>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Bulgaria</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Belgium (Flanders) - work permit exemption for up to 21 days per quarter for ‘artists of international renown’ and accompanying persons</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Denmark - if an artist is not a substantial or essential part of a noteworthy artistic event and more than 14 days</w:t>
            </w:r>
          </w:p>
        </w:tc>
      </w:tr>
      <w:tr w:rsidTr="008E38B7">
        <w:tblPrEx>
          <w:tblW w:w="9771" w:type="dxa"/>
          <w:tblLayout w:type="fixed"/>
          <w:tblLook w:val="04A0"/>
        </w:tblPrEx>
        <w:trPr>
          <w:trHeight w:val="243"/>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Croatia</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Czechia – visa/work permit exemption for 7 consecutive days or total of 30 days in a calendar year</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 xml:space="preserve">Greece </w:t>
            </w:r>
            <w:r w:rsidRPr="00BB57FB" w:rsidR="009C60C8">
              <w:rPr>
                <w:rFonts w:ascii="Verdana" w:eastAsia="Arial" w:hAnsi="Verdana"/>
              </w:rPr>
              <w:t>-</w:t>
            </w:r>
            <w:r w:rsidRPr="00BB57FB">
              <w:rPr>
                <w:rFonts w:ascii="Verdana" w:eastAsia="Arial" w:hAnsi="Verdana"/>
              </w:rPr>
              <w:t xml:space="preserve"> more than 1 performance requires Schengen visa.</w:t>
            </w:r>
          </w:p>
        </w:tc>
      </w:tr>
      <w:tr w:rsidTr="008E38B7">
        <w:tblPrEx>
          <w:tblW w:w="9771" w:type="dxa"/>
          <w:tblLayout w:type="fixed"/>
          <w:tblLook w:val="04A0"/>
        </w:tblPrEx>
        <w:trPr>
          <w:trHeight w:val="243"/>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eastAsia="Arial" w:hAnsi="Verdana"/>
              </w:rPr>
            </w:pPr>
            <w:r w:rsidRPr="00BB57FB">
              <w:rPr>
                <w:rFonts w:ascii="Verdana" w:eastAsia="Arial" w:hAnsi="Verdana"/>
              </w:rPr>
              <w:t>Estonia - must be</w:t>
            </w:r>
            <w:r w:rsidRPr="00BB57FB" w:rsidR="006A00D0">
              <w:rPr>
                <w:rFonts w:ascii="Verdana" w:eastAsia="Arial" w:hAnsi="Verdana"/>
              </w:rPr>
              <w:t xml:space="preserve"> employed by</w:t>
            </w:r>
            <w:r w:rsidRPr="00BB57FB">
              <w:rPr>
                <w:rFonts w:ascii="Verdana" w:eastAsia="Arial" w:hAnsi="Verdana"/>
              </w:rPr>
              <w:t xml:space="preserve"> a performing arts institution for </w:t>
            </w:r>
            <w:r w:rsidRPr="00BB57FB" w:rsidR="00D830B0">
              <w:rPr>
                <w:rFonts w:ascii="Verdana" w:eastAsia="Arial" w:hAnsi="Verdana"/>
              </w:rPr>
              <w:t xml:space="preserve">the </w:t>
            </w:r>
            <w:r w:rsidRPr="00BB57FB">
              <w:rPr>
                <w:rFonts w:ascii="Verdana" w:eastAsia="Arial" w:hAnsi="Verdana"/>
              </w:rPr>
              <w:t xml:space="preserve">purposes of </w:t>
            </w:r>
            <w:r w:rsidRPr="00BB57FB" w:rsidR="00D830B0">
              <w:rPr>
                <w:rFonts w:ascii="Verdana" w:eastAsia="Arial" w:hAnsi="Verdana"/>
              </w:rPr>
              <w:t xml:space="preserve">the </w:t>
            </w:r>
            <w:r w:rsidRPr="00BB57FB">
              <w:rPr>
                <w:rFonts w:ascii="Verdana" w:eastAsia="Arial" w:hAnsi="Verdana"/>
              </w:rPr>
              <w:t>Performing Arts Institutions Act</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Denmark –</w:t>
            </w:r>
            <w:r w:rsidRPr="00BB57FB" w:rsidR="001D4123">
              <w:rPr>
                <w:rFonts w:ascii="Verdana" w:eastAsia="Arial" w:hAnsi="Verdana"/>
              </w:rPr>
              <w:t xml:space="preserve"> </w:t>
            </w:r>
            <w:r w:rsidRPr="00BB57FB">
              <w:rPr>
                <w:rFonts w:ascii="Verdana" w:eastAsia="Arial" w:hAnsi="Verdana"/>
              </w:rPr>
              <w:t>if they are of greater importance for a significant artistic event…normally with a duration of less than 14 days</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 xml:space="preserve">Netherlands </w:t>
            </w:r>
            <w:r w:rsidRPr="00BB57FB" w:rsidR="009C60C8">
              <w:rPr>
                <w:rFonts w:ascii="Verdana" w:eastAsia="Arial" w:hAnsi="Verdana"/>
              </w:rPr>
              <w:t>-</w:t>
            </w:r>
            <w:r w:rsidRPr="00BB57FB">
              <w:rPr>
                <w:rFonts w:ascii="Verdana" w:eastAsia="Arial" w:hAnsi="Verdana"/>
              </w:rPr>
              <w:t xml:space="preserve"> work permit required for stays of up to 3 months where other exemptions don’t apply</w:t>
            </w:r>
          </w:p>
        </w:tc>
      </w:tr>
      <w:tr w:rsidTr="278FC7B1">
        <w:tblPrEx>
          <w:tblW w:w="9771" w:type="dxa"/>
          <w:tblLayout w:type="fixed"/>
          <w:tblLook w:val="04A0"/>
        </w:tblPrEx>
        <w:trPr>
          <w:trHeight w:val="300"/>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Finland</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Greece – one performance only</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eastAsia="Arial" w:hAnsi="Verdana"/>
                <w:highlight w:val="yellow"/>
              </w:rPr>
            </w:pPr>
            <w:r w:rsidRPr="00BB57FB">
              <w:rPr>
                <w:rFonts w:ascii="Verdana" w:eastAsia="Arial" w:hAnsi="Verdana"/>
              </w:rPr>
              <w:t xml:space="preserve"> </w:t>
            </w:r>
          </w:p>
        </w:tc>
      </w:tr>
      <w:tr w:rsidTr="008E38B7">
        <w:tblPrEx>
          <w:tblW w:w="9771" w:type="dxa"/>
          <w:tblLayout w:type="fixed"/>
          <w:tblLook w:val="04A0"/>
        </w:tblPrEx>
        <w:trPr>
          <w:trHeight w:val="243"/>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France</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Hungary – no more than 10 days per calendar year</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 xml:space="preserve"> </w:t>
            </w:r>
          </w:p>
        </w:tc>
      </w:tr>
      <w:tr w:rsidTr="008E38B7">
        <w:tblPrEx>
          <w:tblW w:w="9771" w:type="dxa"/>
          <w:tblLayout w:type="fixed"/>
          <w:tblLook w:val="04A0"/>
        </w:tblPrEx>
        <w:trPr>
          <w:trHeight w:val="243"/>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Germany</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Latvia – no more than 14 days</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 xml:space="preserve"> </w:t>
            </w:r>
          </w:p>
        </w:tc>
      </w:tr>
      <w:tr w:rsidTr="008E38B7">
        <w:tblPrEx>
          <w:tblW w:w="9771" w:type="dxa"/>
          <w:tblLayout w:type="fixed"/>
          <w:tblLook w:val="04A0"/>
        </w:tblPrEx>
        <w:trPr>
          <w:trHeight w:val="243"/>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Iceland</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 xml:space="preserve">Netherlands – occasional work or 6 continuous weeks within </w:t>
            </w:r>
            <w:r w:rsidRPr="00BB57FB" w:rsidR="00674220">
              <w:rPr>
                <w:rFonts w:ascii="Verdana" w:eastAsia="Arial" w:hAnsi="Verdana"/>
              </w:rPr>
              <w:t xml:space="preserve">a </w:t>
            </w:r>
            <w:r w:rsidRPr="00BB57FB">
              <w:rPr>
                <w:rFonts w:ascii="Verdana" w:eastAsia="Arial" w:hAnsi="Verdana"/>
              </w:rPr>
              <w:t>13</w:t>
            </w:r>
            <w:r w:rsidRPr="00BB57FB" w:rsidR="00D7109A">
              <w:rPr>
                <w:rFonts w:ascii="Verdana" w:eastAsia="Arial" w:hAnsi="Verdana"/>
              </w:rPr>
              <w:t>-</w:t>
            </w:r>
            <w:r w:rsidRPr="00BB57FB">
              <w:rPr>
                <w:rFonts w:ascii="Verdana" w:eastAsia="Arial" w:hAnsi="Verdana"/>
              </w:rPr>
              <w:t>week period</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 xml:space="preserve"> </w:t>
            </w:r>
          </w:p>
        </w:tc>
      </w:tr>
      <w:tr w:rsidTr="008E38B7">
        <w:tblPrEx>
          <w:tblW w:w="9771" w:type="dxa"/>
          <w:tblLayout w:type="fixed"/>
          <w:tblLook w:val="04A0"/>
        </w:tblPrEx>
        <w:trPr>
          <w:trHeight w:val="243"/>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Ireland</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Poland – up to 30 days per calendar year</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0A605E" w:rsidRPr="00BB57FB" w:rsidP="00D9276A">
            <w:pPr>
              <w:spacing w:after="160"/>
              <w:jc w:val="both"/>
              <w:rPr>
                <w:rFonts w:ascii="Verdana" w:hAnsi="Verdana"/>
              </w:rPr>
            </w:pPr>
            <w:r w:rsidRPr="00BB57FB">
              <w:rPr>
                <w:rFonts w:ascii="Verdana" w:eastAsia="Arial" w:hAnsi="Verdana"/>
              </w:rPr>
              <w:t xml:space="preserve"> </w:t>
            </w:r>
          </w:p>
        </w:tc>
      </w:tr>
      <w:tr w:rsidTr="008E38B7">
        <w:tblPrEx>
          <w:tblW w:w="9771" w:type="dxa"/>
          <w:tblLayout w:type="fixed"/>
          <w:tblLook w:val="04A0"/>
        </w:tblPrEx>
        <w:trPr>
          <w:trHeight w:val="243"/>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Italy</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Slovakia – no more than 30 days per calendar year</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 xml:space="preserve"> </w:t>
            </w:r>
          </w:p>
        </w:tc>
      </w:tr>
      <w:tr w:rsidTr="008E38B7">
        <w:tblPrEx>
          <w:tblW w:w="9771" w:type="dxa"/>
          <w:tblLayout w:type="fixed"/>
          <w:tblLook w:val="04A0"/>
        </w:tblPrEx>
        <w:trPr>
          <w:trHeight w:val="243"/>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Liechtenstein</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Sweden – max 14 days per 12 months</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 xml:space="preserve"> </w:t>
            </w:r>
          </w:p>
        </w:tc>
      </w:tr>
      <w:tr w:rsidTr="008E38B7">
        <w:tblPrEx>
          <w:tblW w:w="9771" w:type="dxa"/>
          <w:tblLayout w:type="fixed"/>
          <w:tblLook w:val="04A0"/>
        </w:tblPrEx>
        <w:trPr>
          <w:trHeight w:val="243"/>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Lithuania</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Switzerland – up to 8 days per calendar year</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 xml:space="preserve"> </w:t>
            </w:r>
          </w:p>
        </w:tc>
      </w:tr>
      <w:tr w:rsidTr="008E38B7">
        <w:tblPrEx>
          <w:tblW w:w="9771" w:type="dxa"/>
          <w:tblLayout w:type="fixed"/>
          <w:tblLook w:val="04A0"/>
        </w:tblPrEx>
        <w:trPr>
          <w:trHeight w:val="243"/>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Luxembourg</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 xml:space="preserve"> </w:t>
            </w:r>
          </w:p>
        </w:tc>
      </w:tr>
      <w:tr w:rsidTr="008E38B7">
        <w:tblPrEx>
          <w:tblW w:w="9771" w:type="dxa"/>
          <w:tblLayout w:type="fixed"/>
          <w:tblLook w:val="04A0"/>
        </w:tblPrEx>
        <w:trPr>
          <w:trHeight w:val="243"/>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Norway</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 xml:space="preserve">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 xml:space="preserve"> </w:t>
            </w:r>
          </w:p>
        </w:tc>
      </w:tr>
      <w:tr w:rsidTr="008E38B7">
        <w:tblPrEx>
          <w:tblW w:w="9771" w:type="dxa"/>
          <w:tblLayout w:type="fixed"/>
          <w:tblLook w:val="04A0"/>
        </w:tblPrEx>
        <w:trPr>
          <w:trHeight w:val="243"/>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Portugal – ‘except where the applicant is directly employed by a company based in Portugal, with payments being made into a Portuguese bank account.</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 xml:space="preserve">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 xml:space="preserve"> </w:t>
            </w:r>
          </w:p>
        </w:tc>
      </w:tr>
      <w:tr w:rsidTr="278FC7B1">
        <w:tblPrEx>
          <w:tblW w:w="9771" w:type="dxa"/>
          <w:tblLayout w:type="fixed"/>
          <w:tblLook w:val="04A0"/>
        </w:tblPrEx>
        <w:trPr>
          <w:trHeight w:val="300"/>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Romania</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 xml:space="preserve">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 xml:space="preserve"> </w:t>
            </w:r>
          </w:p>
        </w:tc>
      </w:tr>
      <w:tr w:rsidTr="008E38B7">
        <w:tblPrEx>
          <w:tblW w:w="9771" w:type="dxa"/>
          <w:tblLayout w:type="fixed"/>
          <w:tblLook w:val="04A0"/>
        </w:tblPrEx>
        <w:trPr>
          <w:trHeight w:val="243"/>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Slovenia</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 xml:space="preserve">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 xml:space="preserve"> </w:t>
            </w:r>
          </w:p>
        </w:tc>
      </w:tr>
      <w:tr w:rsidTr="008E38B7">
        <w:tblPrEx>
          <w:tblW w:w="9771" w:type="dxa"/>
          <w:tblLayout w:type="fixed"/>
          <w:tblLook w:val="04A0"/>
        </w:tblPrEx>
        <w:trPr>
          <w:trHeight w:val="243"/>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Spain</w:t>
            </w:r>
          </w:p>
        </w:tc>
        <w:tc>
          <w:tcPr>
            <w:tcW w:w="3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hAnsi="Verdana"/>
              </w:rPr>
            </w:pPr>
            <w:r w:rsidRPr="00BB57FB">
              <w:rPr>
                <w:rFonts w:ascii="Verdana" w:eastAsia="Arial" w:hAnsi="Verdana"/>
              </w:rPr>
              <w:t xml:space="preserve"> </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rsidR="00BB2E63" w:rsidRPr="00BB57FB" w:rsidP="00D9276A">
            <w:pPr>
              <w:spacing w:after="160"/>
              <w:jc w:val="both"/>
              <w:rPr>
                <w:rFonts w:ascii="Verdana" w:eastAsia="Arial" w:hAnsi="Verdana"/>
              </w:rPr>
            </w:pPr>
          </w:p>
        </w:tc>
      </w:tr>
    </w:tbl>
    <w:p w:rsidR="00A54C26" w:rsidRPr="00BB57FB" w:rsidP="03DFF1C0">
      <w:pPr>
        <w:spacing w:after="160" w:line="276" w:lineRule="auto"/>
        <w:jc w:val="both"/>
        <w:rPr>
          <w:rFonts w:ascii="Verdana" w:eastAsia="Arial" w:hAnsi="Verdana"/>
          <w:b/>
          <w:bCs/>
          <w:sz w:val="24"/>
          <w:szCs w:val="24"/>
          <w:lang w:eastAsia="ja-JP"/>
        </w:rPr>
      </w:pPr>
      <w:r w:rsidRPr="00BB57FB">
        <w:rPr>
          <w:rFonts w:ascii="Verdana" w:eastAsia="Arial" w:hAnsi="Verdana"/>
          <w:b/>
          <w:bCs/>
          <w:sz w:val="24"/>
          <w:szCs w:val="24"/>
          <w:lang w:eastAsia="ja-JP"/>
        </w:rPr>
        <w:t xml:space="preserve">  </w:t>
      </w:r>
      <w:r w:rsidRPr="00BB57FB" w:rsidR="3A130182">
        <w:rPr>
          <w:rFonts w:ascii="Verdana" w:eastAsia="Arial" w:hAnsi="Verdana"/>
          <w:sz w:val="24"/>
          <w:szCs w:val="24"/>
        </w:rPr>
        <w:t>Malta – requirements still unclear</w:t>
      </w:r>
    </w:p>
    <w:p w:rsidR="00A54C26" w:rsidRPr="00BB57FB" w:rsidP="00D9276A">
      <w:pPr>
        <w:spacing w:after="160" w:line="279" w:lineRule="auto"/>
        <w:jc w:val="both"/>
        <w:rPr>
          <w:rFonts w:ascii="Verdana" w:eastAsia="Arial" w:hAnsi="Verdana"/>
          <w:b/>
          <w:bCs/>
          <w:sz w:val="24"/>
          <w:szCs w:val="24"/>
          <w:lang w:eastAsia="ja-JP"/>
        </w:rPr>
      </w:pPr>
    </w:p>
    <w:p w:rsidR="000A605E" w:rsidRPr="00BB57FB" w:rsidP="00D9276A">
      <w:pPr>
        <w:spacing w:after="160" w:line="279" w:lineRule="auto"/>
        <w:jc w:val="both"/>
        <w:rPr>
          <w:rFonts w:ascii="Verdana" w:eastAsia="Arial" w:hAnsi="Verdana"/>
          <w:b/>
          <w:bCs/>
          <w:sz w:val="24"/>
          <w:szCs w:val="24"/>
          <w:lang w:eastAsia="ja-JP"/>
        </w:rPr>
      </w:pPr>
      <w:r w:rsidRPr="00BB57FB">
        <w:rPr>
          <w:rFonts w:ascii="Verdana" w:eastAsia="Arial" w:hAnsi="Verdana"/>
          <w:b/>
          <w:bCs/>
          <w:sz w:val="24"/>
          <w:szCs w:val="24"/>
          <w:lang w:eastAsia="ja-JP"/>
        </w:rPr>
        <w:t>Appendix II – Draft Visa Waiver Agreement, prepared by Sarah Lee, KC</w:t>
      </w:r>
    </w:p>
    <w:p w:rsidR="000A605E" w:rsidRPr="00BB57FB" w:rsidP="00D9276A">
      <w:pPr>
        <w:spacing w:after="120" w:line="276" w:lineRule="auto"/>
        <w:jc w:val="both"/>
        <w:rPr>
          <w:rFonts w:ascii="Verdana" w:eastAsia="STZhongsong" w:hAnsi="Verdana"/>
          <w:b/>
          <w:bCs/>
          <w:sz w:val="24"/>
          <w:szCs w:val="24"/>
          <w:lang w:eastAsia="zh-CN"/>
        </w:rPr>
      </w:pPr>
      <w:r w:rsidRPr="00BB57FB">
        <w:rPr>
          <w:rFonts w:ascii="Verdana" w:eastAsia="STZhongsong" w:hAnsi="Verdana"/>
          <w:b/>
          <w:bCs/>
          <w:sz w:val="24"/>
          <w:szCs w:val="24"/>
          <w:lang w:eastAsia="zh-CN"/>
        </w:rPr>
        <w:t>AGREEMENT</w:t>
      </w:r>
    </w:p>
    <w:p w:rsidR="000A605E" w:rsidRPr="00BB57FB" w:rsidP="00D9276A">
      <w:pPr>
        <w:spacing w:after="120" w:line="276" w:lineRule="auto"/>
        <w:jc w:val="both"/>
        <w:rPr>
          <w:rFonts w:ascii="Verdana" w:eastAsia="STZhongsong" w:hAnsi="Verdana"/>
          <w:b/>
          <w:bCs/>
          <w:sz w:val="24"/>
          <w:szCs w:val="24"/>
          <w:lang w:eastAsia="zh-CN"/>
        </w:rPr>
      </w:pPr>
      <w:r w:rsidRPr="00BB57FB">
        <w:rPr>
          <w:rFonts w:ascii="Verdana" w:eastAsia="STZhongsong" w:hAnsi="Verdana"/>
          <w:b/>
          <w:bCs/>
          <w:sz w:val="24"/>
          <w:szCs w:val="24"/>
          <w:lang w:eastAsia="zh-CN"/>
        </w:rPr>
        <w:t>between the European Union and the United Kingdom on the application of their short-stay visa waivers to activities in the cultural sector</w:t>
      </w:r>
    </w:p>
    <w:p w:rsidR="000A605E" w:rsidRPr="00BB57FB" w:rsidP="00D9276A">
      <w:pPr>
        <w:spacing w:after="120" w:line="276" w:lineRule="auto"/>
        <w:jc w:val="both"/>
        <w:rPr>
          <w:rFonts w:ascii="Verdana" w:eastAsia="STZhongsong" w:hAnsi="Verdana"/>
          <w:sz w:val="24"/>
          <w:szCs w:val="24"/>
          <w:lang w:eastAsia="zh-CN"/>
        </w:rPr>
      </w:pPr>
      <w:r w:rsidRPr="00BB57FB">
        <w:rPr>
          <w:rFonts w:ascii="Verdana" w:eastAsia="STZhongsong" w:hAnsi="Verdana"/>
          <w:sz w:val="24"/>
          <w:szCs w:val="24"/>
          <w:lang w:eastAsia="zh-CN"/>
        </w:rPr>
        <w:t>THE EUROPEAN UNION, hereinafter referred to as ‘the Union’ or ‘the EU’, and</w:t>
      </w:r>
    </w:p>
    <w:p w:rsidR="000A605E" w:rsidRPr="00BB57FB" w:rsidP="00D9276A">
      <w:pPr>
        <w:spacing w:after="120" w:line="276" w:lineRule="auto"/>
        <w:jc w:val="both"/>
        <w:rPr>
          <w:rFonts w:ascii="Verdana" w:eastAsia="STZhongsong" w:hAnsi="Verdana"/>
          <w:sz w:val="24"/>
          <w:szCs w:val="24"/>
          <w:lang w:eastAsia="zh-CN"/>
        </w:rPr>
      </w:pPr>
      <w:r w:rsidRPr="00BB57FB">
        <w:rPr>
          <w:rFonts w:ascii="Verdana" w:eastAsia="STZhongsong" w:hAnsi="Verdana"/>
          <w:sz w:val="24"/>
          <w:szCs w:val="24"/>
          <w:lang w:eastAsia="zh-CN"/>
        </w:rPr>
        <w:t>THE UNITED KINGDOM OF GREAT BRITAIN AND NORTHERN IRELAND, hereinafter referred to as ‘the UK’,</w:t>
      </w:r>
    </w:p>
    <w:p w:rsidR="000A605E" w:rsidRPr="00BB57FB" w:rsidP="00D9276A">
      <w:pPr>
        <w:spacing w:after="120" w:line="276" w:lineRule="auto"/>
        <w:jc w:val="both"/>
        <w:rPr>
          <w:rFonts w:ascii="Verdana" w:eastAsia="STZhongsong" w:hAnsi="Verdana"/>
          <w:sz w:val="24"/>
          <w:szCs w:val="24"/>
          <w:lang w:eastAsia="zh-CN"/>
        </w:rPr>
      </w:pPr>
      <w:r w:rsidRPr="00BB57FB">
        <w:rPr>
          <w:rFonts w:ascii="Verdana" w:eastAsia="STZhongsong" w:hAnsi="Verdana"/>
          <w:sz w:val="24"/>
          <w:szCs w:val="24"/>
          <w:lang w:eastAsia="zh-CN"/>
        </w:rPr>
        <w:t>hereinafter referred to jointly as the ‘Contracting Parties’,</w:t>
      </w:r>
    </w:p>
    <w:p w:rsidR="000A605E" w:rsidRPr="00BB57FB" w:rsidP="00D9276A">
      <w:pPr>
        <w:spacing w:after="120" w:line="276" w:lineRule="auto"/>
        <w:jc w:val="both"/>
        <w:rPr>
          <w:rFonts w:ascii="Verdana" w:eastAsia="STZhongsong" w:hAnsi="Verdana"/>
          <w:sz w:val="24"/>
          <w:szCs w:val="24"/>
          <w:lang w:eastAsia="zh-CN"/>
        </w:rPr>
      </w:pPr>
      <w:r w:rsidRPr="00BB57FB">
        <w:rPr>
          <w:rFonts w:ascii="Verdana" w:eastAsia="STZhongsong" w:hAnsi="Verdana"/>
          <w:sz w:val="24"/>
          <w:szCs w:val="24"/>
          <w:lang w:eastAsia="zh-CN"/>
        </w:rPr>
        <w:t>…</w:t>
      </w:r>
    </w:p>
    <w:p w:rsidR="000A605E" w:rsidRPr="00BB57FB" w:rsidP="00D9276A">
      <w:pPr>
        <w:spacing w:after="120" w:line="276" w:lineRule="auto"/>
        <w:jc w:val="both"/>
        <w:rPr>
          <w:rFonts w:ascii="Verdana" w:eastAsia="STZhongsong" w:hAnsi="Verdana"/>
          <w:sz w:val="24"/>
          <w:szCs w:val="24"/>
          <w:lang w:eastAsia="zh-CN"/>
        </w:rPr>
      </w:pPr>
      <w:r w:rsidRPr="00BB57FB">
        <w:rPr>
          <w:rFonts w:ascii="Verdana" w:eastAsia="STZhongsong" w:hAnsi="Verdana"/>
          <w:sz w:val="24"/>
          <w:szCs w:val="24"/>
          <w:lang w:eastAsia="zh-CN"/>
        </w:rPr>
        <w:t>HAVE AGREED AS FOLLOWS:</w:t>
      </w:r>
    </w:p>
    <w:p w:rsidR="000A605E" w:rsidRPr="00BB57FB" w:rsidP="00D9276A">
      <w:pPr>
        <w:spacing w:after="120" w:line="276" w:lineRule="auto"/>
        <w:jc w:val="both"/>
        <w:rPr>
          <w:rFonts w:ascii="Verdana" w:eastAsia="STZhongsong" w:hAnsi="Verdana"/>
          <w:i/>
          <w:iCs/>
          <w:sz w:val="24"/>
          <w:szCs w:val="24"/>
          <w:lang w:eastAsia="zh-CN"/>
        </w:rPr>
      </w:pPr>
      <w:r w:rsidRPr="00BB57FB">
        <w:rPr>
          <w:rFonts w:ascii="Verdana" w:eastAsia="STZhongsong" w:hAnsi="Verdana"/>
          <w:i/>
          <w:iCs/>
          <w:sz w:val="24"/>
          <w:szCs w:val="24"/>
          <w:lang w:eastAsia="zh-CN"/>
        </w:rPr>
        <w:t>Article 1</w:t>
      </w:r>
    </w:p>
    <w:p w:rsidR="000A605E" w:rsidRPr="00BB57FB" w:rsidP="00D9276A">
      <w:pPr>
        <w:spacing w:after="120" w:line="276" w:lineRule="auto"/>
        <w:jc w:val="both"/>
        <w:rPr>
          <w:rFonts w:ascii="Verdana" w:eastAsia="STZhongsong" w:hAnsi="Verdana"/>
          <w:b/>
          <w:bCs/>
          <w:sz w:val="24"/>
          <w:szCs w:val="24"/>
          <w:lang w:eastAsia="zh-CN"/>
        </w:rPr>
      </w:pPr>
      <w:r w:rsidRPr="00BB57FB">
        <w:rPr>
          <w:rFonts w:ascii="Verdana" w:eastAsia="STZhongsong" w:hAnsi="Verdana"/>
          <w:b/>
          <w:bCs/>
          <w:sz w:val="24"/>
          <w:szCs w:val="24"/>
          <w:lang w:eastAsia="zh-CN"/>
        </w:rPr>
        <w:t>Objective</w:t>
      </w:r>
    </w:p>
    <w:p w:rsidR="000A605E" w:rsidRPr="00BB57FB" w:rsidP="00D9276A">
      <w:pPr>
        <w:spacing w:after="120" w:line="276" w:lineRule="auto"/>
        <w:jc w:val="both"/>
        <w:rPr>
          <w:rFonts w:ascii="Verdana" w:eastAsia="STZhongsong" w:hAnsi="Verdana"/>
          <w:sz w:val="24"/>
          <w:szCs w:val="24"/>
          <w:lang w:eastAsia="zh-CN"/>
        </w:rPr>
      </w:pPr>
      <w:r w:rsidRPr="00BB57FB">
        <w:rPr>
          <w:rFonts w:ascii="Verdana" w:eastAsia="STZhongsong" w:hAnsi="Verdana"/>
          <w:sz w:val="24"/>
          <w:szCs w:val="24"/>
          <w:lang w:eastAsia="zh-CN"/>
        </w:rPr>
        <w:t xml:space="preserve">The purpose of this Agreement is to promote cultural exchange between the Parties and the development of their cultural sectors. </w:t>
      </w:r>
    </w:p>
    <w:p w:rsidR="000A605E" w:rsidRPr="00BB57FB" w:rsidP="00D9276A">
      <w:pPr>
        <w:spacing w:after="120" w:line="276" w:lineRule="auto"/>
        <w:ind w:left="360"/>
        <w:contextualSpacing/>
        <w:jc w:val="both"/>
        <w:rPr>
          <w:rFonts w:ascii="Verdana" w:eastAsia="STZhongsong" w:hAnsi="Verdana"/>
          <w:sz w:val="24"/>
          <w:szCs w:val="24"/>
          <w:lang w:eastAsia="zh-CN"/>
        </w:rPr>
      </w:pPr>
    </w:p>
    <w:p w:rsidR="000A605E" w:rsidRPr="00BB57FB" w:rsidP="00D9276A">
      <w:pPr>
        <w:spacing w:after="120" w:line="276" w:lineRule="auto"/>
        <w:jc w:val="both"/>
        <w:rPr>
          <w:rFonts w:ascii="Verdana" w:eastAsia="STZhongsong" w:hAnsi="Verdana"/>
          <w:i/>
          <w:iCs/>
          <w:sz w:val="24"/>
          <w:szCs w:val="24"/>
          <w:lang w:eastAsia="zh-CN"/>
        </w:rPr>
      </w:pPr>
      <w:r w:rsidRPr="00BB57FB">
        <w:rPr>
          <w:rFonts w:ascii="Verdana" w:eastAsia="STZhongsong" w:hAnsi="Verdana"/>
          <w:i/>
          <w:iCs/>
          <w:sz w:val="24"/>
          <w:szCs w:val="24"/>
          <w:lang w:eastAsia="zh-CN"/>
        </w:rPr>
        <w:t>Article 2</w:t>
      </w:r>
    </w:p>
    <w:p w:rsidR="000A605E" w:rsidRPr="00BB57FB" w:rsidP="00D9276A">
      <w:pPr>
        <w:spacing w:after="120" w:line="276" w:lineRule="auto"/>
        <w:jc w:val="both"/>
        <w:rPr>
          <w:rFonts w:ascii="Verdana" w:eastAsia="STZhongsong" w:hAnsi="Verdana"/>
          <w:b/>
          <w:bCs/>
          <w:sz w:val="24"/>
          <w:szCs w:val="24"/>
          <w:lang w:eastAsia="zh-CN"/>
        </w:rPr>
      </w:pPr>
      <w:r w:rsidRPr="00BB57FB">
        <w:rPr>
          <w:rFonts w:ascii="Verdana" w:eastAsia="STZhongsong" w:hAnsi="Verdana"/>
          <w:b/>
          <w:bCs/>
          <w:sz w:val="24"/>
          <w:szCs w:val="24"/>
          <w:lang w:eastAsia="zh-CN"/>
        </w:rPr>
        <w:t>Scope</w:t>
      </w:r>
    </w:p>
    <w:p w:rsidR="000A605E" w:rsidRPr="00BB57FB" w:rsidP="00D9276A">
      <w:pPr>
        <w:spacing w:after="120" w:line="276" w:lineRule="auto"/>
        <w:ind w:left="360"/>
        <w:contextualSpacing/>
        <w:jc w:val="both"/>
        <w:rPr>
          <w:rFonts w:ascii="Verdana" w:eastAsia="STZhongsong" w:hAnsi="Verdana"/>
          <w:sz w:val="24"/>
          <w:szCs w:val="24"/>
          <w:lang w:eastAsia="zh-CN"/>
        </w:rPr>
      </w:pPr>
    </w:p>
    <w:p w:rsidR="000A605E" w:rsidRPr="00BB57FB" w:rsidP="00A07520">
      <w:pPr>
        <w:numPr>
          <w:ilvl w:val="0"/>
          <w:numId w:val="10"/>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 xml:space="preserve">The Contracting Parties recall Article VSTV.1.1 of the Trade and Cooperation Agreement and note that on the date of entry into force of this Agreement both Parties provide for visa-free travel for short-term visits in respect of their nationals in accordance with their domestic law. </w:t>
      </w:r>
    </w:p>
    <w:p w:rsidR="000A605E" w:rsidRPr="00BB57FB" w:rsidP="00D9276A">
      <w:pPr>
        <w:spacing w:after="120" w:line="276" w:lineRule="auto"/>
        <w:ind w:left="360"/>
        <w:contextualSpacing/>
        <w:jc w:val="both"/>
        <w:rPr>
          <w:rFonts w:ascii="Verdana" w:eastAsia="STZhongsong" w:hAnsi="Verdana"/>
          <w:sz w:val="24"/>
          <w:szCs w:val="24"/>
          <w:lang w:eastAsia="zh-CN"/>
        </w:rPr>
      </w:pPr>
    </w:p>
    <w:p w:rsidR="000A605E" w:rsidRPr="00BB57FB" w:rsidP="00A07520">
      <w:pPr>
        <w:numPr>
          <w:ilvl w:val="0"/>
          <w:numId w:val="10"/>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 xml:space="preserve">The Contracting Parties further note that, subject to Article VSTV.1.1, each of the Contracting Parties are free to impose a visa requirement for short-term visits by nationals of the other Party.  The present Agreement is without prejudice to that position.  </w:t>
      </w:r>
    </w:p>
    <w:p w:rsidR="000A605E" w:rsidRPr="00BB57FB" w:rsidP="00D9276A">
      <w:pPr>
        <w:spacing w:after="120" w:line="276" w:lineRule="auto"/>
        <w:ind w:left="360"/>
        <w:contextualSpacing/>
        <w:jc w:val="both"/>
        <w:rPr>
          <w:rFonts w:ascii="Verdana" w:eastAsia="STZhongsong" w:hAnsi="Verdana"/>
          <w:sz w:val="24"/>
          <w:szCs w:val="24"/>
          <w:lang w:eastAsia="zh-CN"/>
        </w:rPr>
      </w:pPr>
    </w:p>
    <w:p w:rsidR="000A605E" w:rsidRPr="00BB57FB" w:rsidP="00A07520">
      <w:pPr>
        <w:numPr>
          <w:ilvl w:val="0"/>
          <w:numId w:val="10"/>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This Agreement is without prejudice to any arrangements made between the United Kingdom and Ireland concerning the Common Travel Area.</w:t>
      </w:r>
    </w:p>
    <w:p w:rsidR="000A605E" w:rsidRPr="00BB57FB" w:rsidP="00D9276A">
      <w:pPr>
        <w:spacing w:after="180" w:line="276" w:lineRule="auto"/>
        <w:ind w:left="720"/>
        <w:contextualSpacing/>
        <w:jc w:val="both"/>
        <w:rPr>
          <w:rFonts w:ascii="Verdana" w:eastAsia="STZhongsong" w:hAnsi="Verdana"/>
          <w:sz w:val="24"/>
          <w:szCs w:val="24"/>
          <w:lang w:eastAsia="zh-CN"/>
        </w:rPr>
      </w:pPr>
    </w:p>
    <w:p w:rsidR="000A605E" w:rsidRPr="00BB57FB" w:rsidP="00D9276A">
      <w:pPr>
        <w:spacing w:after="120" w:line="276" w:lineRule="auto"/>
        <w:jc w:val="both"/>
        <w:rPr>
          <w:rFonts w:ascii="Verdana" w:eastAsia="STZhongsong" w:hAnsi="Verdana"/>
          <w:i/>
          <w:iCs/>
          <w:sz w:val="24"/>
          <w:szCs w:val="24"/>
          <w:lang w:eastAsia="zh-CN"/>
        </w:rPr>
      </w:pPr>
      <w:r w:rsidRPr="00BB57FB">
        <w:rPr>
          <w:rFonts w:ascii="Verdana" w:eastAsia="STZhongsong" w:hAnsi="Verdana"/>
          <w:i/>
          <w:iCs/>
          <w:sz w:val="24"/>
          <w:szCs w:val="24"/>
          <w:lang w:eastAsia="zh-CN"/>
        </w:rPr>
        <w:t>Article 3</w:t>
      </w:r>
    </w:p>
    <w:p w:rsidR="000A605E" w:rsidRPr="00BB57FB" w:rsidP="00D9276A">
      <w:pPr>
        <w:spacing w:after="120" w:line="276" w:lineRule="auto"/>
        <w:jc w:val="both"/>
        <w:rPr>
          <w:rFonts w:ascii="Verdana" w:eastAsia="STZhongsong" w:hAnsi="Verdana"/>
          <w:b/>
          <w:bCs/>
          <w:sz w:val="24"/>
          <w:szCs w:val="24"/>
          <w:lang w:eastAsia="zh-CN"/>
        </w:rPr>
      </w:pPr>
      <w:r w:rsidRPr="00BB57FB">
        <w:rPr>
          <w:rFonts w:ascii="Verdana" w:eastAsia="STZhongsong" w:hAnsi="Verdana"/>
          <w:b/>
          <w:bCs/>
          <w:sz w:val="24"/>
          <w:szCs w:val="24"/>
          <w:lang w:eastAsia="zh-CN"/>
        </w:rPr>
        <w:t>Definitions</w:t>
      </w:r>
    </w:p>
    <w:p w:rsidR="000A605E" w:rsidRPr="00BB57FB" w:rsidP="00D9276A">
      <w:pPr>
        <w:spacing w:after="120" w:line="276" w:lineRule="auto"/>
        <w:jc w:val="both"/>
        <w:rPr>
          <w:rFonts w:ascii="Verdana" w:eastAsia="STZhongsong" w:hAnsi="Verdana"/>
          <w:sz w:val="24"/>
          <w:szCs w:val="24"/>
          <w:lang w:eastAsia="zh-CN"/>
        </w:rPr>
      </w:pPr>
      <w:r w:rsidRPr="00BB57FB">
        <w:rPr>
          <w:rFonts w:ascii="Verdana" w:eastAsia="STZhongsong" w:hAnsi="Verdana"/>
          <w:sz w:val="24"/>
          <w:szCs w:val="24"/>
          <w:lang w:eastAsia="zh-CN"/>
        </w:rPr>
        <w:t>For the purpose of this Agreement:</w:t>
      </w:r>
    </w:p>
    <w:p w:rsidR="000A605E" w:rsidRPr="00BB57FB" w:rsidP="00A07520">
      <w:pPr>
        <w:numPr>
          <w:ilvl w:val="0"/>
          <w:numId w:val="11"/>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‘Member State’ means any Member State of the Union, with the exception of Ireland;</w:t>
      </w:r>
    </w:p>
    <w:p w:rsidR="000A605E" w:rsidRPr="00BB57FB" w:rsidP="00A07520">
      <w:pPr>
        <w:numPr>
          <w:ilvl w:val="0"/>
          <w:numId w:val="11"/>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‘citizen of the Union’ means a national of a Member State as defined in point (a);</w:t>
      </w:r>
    </w:p>
    <w:p w:rsidR="000A605E" w:rsidRPr="00BB57FB" w:rsidP="00A07520">
      <w:pPr>
        <w:numPr>
          <w:ilvl w:val="0"/>
          <w:numId w:val="11"/>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‘British citizen’ means a British citizen as defined by the national law of the UK;</w:t>
      </w:r>
    </w:p>
    <w:p w:rsidR="000A605E" w:rsidRPr="00BB57FB" w:rsidP="00A07520">
      <w:pPr>
        <w:numPr>
          <w:ilvl w:val="0"/>
          <w:numId w:val="11"/>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‘Schengen area’ shall mean the area without internal borders comprising the territories of the Member States as defined in point (a) applying the Schengen </w:t>
      </w:r>
      <w:r w:rsidRPr="00BB57FB">
        <w:rPr>
          <w:rFonts w:ascii="Verdana" w:eastAsia="STZhongsong" w:hAnsi="Verdana"/>
          <w:i/>
          <w:iCs/>
          <w:sz w:val="24"/>
          <w:szCs w:val="24"/>
          <w:lang w:eastAsia="zh-CN"/>
        </w:rPr>
        <w:t>acquis</w:t>
      </w:r>
      <w:r w:rsidRPr="00BB57FB">
        <w:rPr>
          <w:rFonts w:ascii="Verdana" w:eastAsia="STZhongsong" w:hAnsi="Verdana"/>
          <w:sz w:val="24"/>
          <w:szCs w:val="24"/>
          <w:lang w:eastAsia="zh-CN"/>
        </w:rPr>
        <w:t> in full</w:t>
      </w:r>
    </w:p>
    <w:p w:rsidR="000A605E" w:rsidRPr="00BB57FB" w:rsidP="00A07520">
      <w:pPr>
        <w:numPr>
          <w:ilvl w:val="0"/>
          <w:numId w:val="11"/>
        </w:numPr>
        <w:spacing w:after="18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‘cultural activity’ means the activity of artists (including actors and musicians and technical crew) [performing an activity on an ad-hoc basis], and includes paid activity.</w:t>
      </w:r>
    </w:p>
    <w:p w:rsidR="000A605E" w:rsidRPr="00BB57FB" w:rsidP="00D9276A">
      <w:pPr>
        <w:spacing w:after="180" w:line="276" w:lineRule="auto"/>
        <w:ind w:left="720"/>
        <w:contextualSpacing/>
        <w:jc w:val="both"/>
        <w:rPr>
          <w:rFonts w:ascii="Verdana" w:eastAsia="STZhongsong" w:hAnsi="Verdana"/>
          <w:sz w:val="24"/>
          <w:szCs w:val="24"/>
          <w:lang w:eastAsia="zh-CN"/>
        </w:rPr>
      </w:pPr>
    </w:p>
    <w:p w:rsidR="000A605E" w:rsidRPr="00BB57FB" w:rsidP="00A07520">
      <w:pPr>
        <w:numPr>
          <w:ilvl w:val="0"/>
          <w:numId w:val="11"/>
        </w:numPr>
        <w:spacing w:after="18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 xml:space="preserve">[‘ad-hoc </w:t>
      </w:r>
      <w:r w:rsidRPr="00BB57FB">
        <w:rPr>
          <w:rFonts w:ascii="Verdana" w:eastAsia="STZhongsong" w:hAnsi="Verdana"/>
          <w:sz w:val="24"/>
          <w:szCs w:val="24"/>
          <w:lang w:eastAsia="zh-CN"/>
        </w:rPr>
        <w:t>basis’</w:t>
      </w:r>
      <w:r w:rsidRPr="00BB57FB">
        <w:rPr>
          <w:rFonts w:ascii="Verdana" w:eastAsia="STZhongsong" w:hAnsi="Verdana"/>
          <w:sz w:val="24"/>
          <w:szCs w:val="24"/>
          <w:lang w:eastAsia="zh-CN"/>
        </w:rPr>
        <w:t xml:space="preserve"> means … ]</w:t>
      </w:r>
    </w:p>
    <w:p w:rsidR="000A605E" w:rsidRPr="00BB57FB" w:rsidP="00D9276A">
      <w:pPr>
        <w:spacing w:after="120" w:line="276" w:lineRule="auto"/>
        <w:ind w:left="720"/>
        <w:contextualSpacing/>
        <w:jc w:val="both"/>
        <w:rPr>
          <w:rFonts w:ascii="Verdana" w:eastAsia="STZhongsong" w:hAnsi="Verdana"/>
          <w:sz w:val="24"/>
          <w:szCs w:val="24"/>
          <w:lang w:eastAsia="zh-CN"/>
        </w:rPr>
      </w:pPr>
    </w:p>
    <w:p w:rsidR="000A605E" w:rsidRPr="00BB57FB" w:rsidP="00D9276A">
      <w:pPr>
        <w:spacing w:after="120" w:line="276" w:lineRule="auto"/>
        <w:jc w:val="both"/>
        <w:rPr>
          <w:rFonts w:ascii="Verdana" w:eastAsia="STZhongsong" w:hAnsi="Verdana"/>
          <w:i/>
          <w:iCs/>
          <w:sz w:val="24"/>
          <w:szCs w:val="24"/>
          <w:lang w:eastAsia="zh-CN"/>
        </w:rPr>
      </w:pPr>
      <w:r w:rsidRPr="00BB57FB">
        <w:rPr>
          <w:rFonts w:ascii="Verdana" w:eastAsia="STZhongsong" w:hAnsi="Verdana"/>
          <w:i/>
          <w:iCs/>
          <w:sz w:val="24"/>
          <w:szCs w:val="24"/>
          <w:lang w:eastAsia="zh-CN"/>
        </w:rPr>
        <w:t>Article 4</w:t>
      </w:r>
    </w:p>
    <w:p w:rsidR="000A605E" w:rsidRPr="00BB57FB" w:rsidP="00D9276A">
      <w:pPr>
        <w:spacing w:after="120" w:line="276" w:lineRule="auto"/>
        <w:jc w:val="both"/>
        <w:rPr>
          <w:rFonts w:ascii="Verdana" w:eastAsia="STZhongsong" w:hAnsi="Verdana"/>
          <w:b/>
          <w:bCs/>
          <w:sz w:val="24"/>
          <w:szCs w:val="24"/>
          <w:lang w:eastAsia="zh-CN"/>
        </w:rPr>
      </w:pPr>
      <w:r w:rsidRPr="00BB57FB">
        <w:rPr>
          <w:rFonts w:ascii="Verdana" w:eastAsia="STZhongsong" w:hAnsi="Verdana"/>
          <w:b/>
          <w:bCs/>
          <w:sz w:val="24"/>
          <w:szCs w:val="24"/>
          <w:lang w:eastAsia="zh-CN"/>
        </w:rPr>
        <w:t xml:space="preserve">Visa requirements for persons travelling for the purpose of carrying out cultural activities </w:t>
      </w:r>
    </w:p>
    <w:p w:rsidR="000A605E" w:rsidRPr="00BB57FB" w:rsidP="00A07520">
      <w:pPr>
        <w:numPr>
          <w:ilvl w:val="0"/>
          <w:numId w:val="12"/>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Where a Party permits visa-free travel for short-term visits in respect of nationals of the other Party, that Party shall permit visa-free travel, for such nationals carrying out a cultural activity, for at least the duration specified in Article 5.</w:t>
      </w:r>
    </w:p>
    <w:p w:rsidR="000A605E" w:rsidRPr="00BB57FB" w:rsidP="00A07520">
      <w:pPr>
        <w:numPr>
          <w:ilvl w:val="0"/>
          <w:numId w:val="12"/>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Paragraph 1 shall apply without prejudice to the laws of the Contracting Parties relating to the conditions of entry and short stay. The Member States and the UK reserve the right to refuse entry into and short stay in their territories if one or more of these conditions is not met.</w:t>
      </w:r>
    </w:p>
    <w:p w:rsidR="000A605E" w:rsidRPr="00BB57FB" w:rsidP="00D9276A">
      <w:pPr>
        <w:spacing w:after="120" w:line="276" w:lineRule="auto"/>
        <w:ind w:left="720"/>
        <w:contextualSpacing/>
        <w:jc w:val="both"/>
        <w:rPr>
          <w:rFonts w:ascii="Verdana" w:eastAsia="STZhongsong" w:hAnsi="Verdana"/>
          <w:sz w:val="24"/>
          <w:szCs w:val="24"/>
          <w:lang w:eastAsia="zh-CN"/>
        </w:rPr>
      </w:pPr>
    </w:p>
    <w:p w:rsidR="000A605E" w:rsidRPr="00BB57FB" w:rsidP="00D9276A">
      <w:pPr>
        <w:spacing w:after="120" w:line="276" w:lineRule="auto"/>
        <w:jc w:val="both"/>
        <w:rPr>
          <w:rFonts w:ascii="Verdana" w:eastAsia="STZhongsong" w:hAnsi="Verdana"/>
          <w:i/>
          <w:iCs/>
          <w:sz w:val="24"/>
          <w:szCs w:val="24"/>
          <w:lang w:eastAsia="zh-CN"/>
        </w:rPr>
      </w:pPr>
      <w:r w:rsidRPr="00BB57FB">
        <w:rPr>
          <w:rFonts w:ascii="Verdana" w:eastAsia="STZhongsong" w:hAnsi="Verdana"/>
          <w:i/>
          <w:iCs/>
          <w:sz w:val="24"/>
          <w:szCs w:val="24"/>
          <w:lang w:eastAsia="zh-CN"/>
        </w:rPr>
        <w:t>Article 5</w:t>
      </w:r>
    </w:p>
    <w:p w:rsidR="000A605E" w:rsidRPr="00BB57FB" w:rsidP="00D9276A">
      <w:pPr>
        <w:spacing w:after="120" w:line="276" w:lineRule="auto"/>
        <w:jc w:val="both"/>
        <w:rPr>
          <w:rFonts w:ascii="Verdana" w:eastAsia="STZhongsong" w:hAnsi="Verdana"/>
          <w:b/>
          <w:bCs/>
          <w:sz w:val="24"/>
          <w:szCs w:val="24"/>
          <w:lang w:eastAsia="zh-CN"/>
        </w:rPr>
      </w:pPr>
      <w:r w:rsidRPr="00BB57FB">
        <w:rPr>
          <w:rFonts w:ascii="Verdana" w:eastAsia="STZhongsong" w:hAnsi="Verdana"/>
          <w:b/>
          <w:bCs/>
          <w:sz w:val="24"/>
          <w:szCs w:val="24"/>
          <w:lang w:eastAsia="zh-CN"/>
        </w:rPr>
        <w:t>Duration of stay for the purpose of cultural activity</w:t>
      </w:r>
    </w:p>
    <w:p w:rsidR="000A605E" w:rsidRPr="00BB57FB" w:rsidP="00A07520">
      <w:pPr>
        <w:numPr>
          <w:ilvl w:val="0"/>
          <w:numId w:val="13"/>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As regards citizens of the Union travelling to the territory of the UK for the purpose of carrying on a cultural activity, the specified duration is 90 days in any 180-day period.</w:t>
      </w:r>
    </w:p>
    <w:p w:rsidR="000A605E" w:rsidRPr="00BB57FB" w:rsidP="00A07520">
      <w:pPr>
        <w:numPr>
          <w:ilvl w:val="0"/>
          <w:numId w:val="13"/>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As regards British citizens travelling to the territory of the Member States fully applying the Schengen </w:t>
      </w:r>
      <w:r w:rsidRPr="00BB57FB">
        <w:rPr>
          <w:rFonts w:ascii="Verdana" w:eastAsia="STZhongsong" w:hAnsi="Verdana"/>
          <w:i/>
          <w:iCs/>
          <w:sz w:val="24"/>
          <w:szCs w:val="24"/>
          <w:lang w:eastAsia="zh-CN"/>
        </w:rPr>
        <w:t>acquis</w:t>
      </w:r>
      <w:r w:rsidRPr="00BB57FB">
        <w:rPr>
          <w:rFonts w:ascii="Verdana" w:eastAsia="STZhongsong" w:hAnsi="Verdana"/>
          <w:sz w:val="24"/>
          <w:szCs w:val="24"/>
          <w:lang w:eastAsia="zh-CN"/>
        </w:rPr>
        <w:t> for the purpose of carrying on a cultural activity the specified duration is 90 days in any 180-day period. That period shall be calculated independently of any stay in a Member State which does not yet apply the Schengen </w:t>
      </w:r>
      <w:r w:rsidRPr="00BB57FB">
        <w:rPr>
          <w:rFonts w:ascii="Verdana" w:eastAsia="STZhongsong" w:hAnsi="Verdana"/>
          <w:i/>
          <w:iCs/>
          <w:sz w:val="24"/>
          <w:szCs w:val="24"/>
          <w:lang w:eastAsia="zh-CN"/>
        </w:rPr>
        <w:t>acquis</w:t>
      </w:r>
      <w:r w:rsidRPr="00BB57FB">
        <w:rPr>
          <w:rFonts w:ascii="Verdana" w:eastAsia="STZhongsong" w:hAnsi="Verdana"/>
          <w:sz w:val="24"/>
          <w:szCs w:val="24"/>
          <w:lang w:eastAsia="zh-CN"/>
        </w:rPr>
        <w:t> in full.</w:t>
      </w:r>
    </w:p>
    <w:p w:rsidR="000A605E" w:rsidRPr="00BB57FB" w:rsidP="00D9276A">
      <w:pPr>
        <w:spacing w:after="120" w:line="276" w:lineRule="auto"/>
        <w:ind w:left="720"/>
        <w:contextualSpacing/>
        <w:jc w:val="both"/>
        <w:rPr>
          <w:rFonts w:ascii="Verdana" w:eastAsia="STZhongsong" w:hAnsi="Verdana"/>
          <w:sz w:val="24"/>
          <w:szCs w:val="24"/>
          <w:lang w:eastAsia="zh-CN"/>
        </w:rPr>
      </w:pPr>
    </w:p>
    <w:p w:rsidR="000A605E" w:rsidRPr="00BB57FB" w:rsidP="00D9276A">
      <w:pPr>
        <w:spacing w:after="120" w:line="276" w:lineRule="auto"/>
        <w:ind w:left="720"/>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As regards British citizens travelling to the territory of each of the Member States that does not yet apply the Schengen </w:t>
      </w:r>
      <w:r w:rsidRPr="00BB57FB">
        <w:rPr>
          <w:rFonts w:ascii="Verdana" w:eastAsia="STZhongsong" w:hAnsi="Verdana"/>
          <w:i/>
          <w:iCs/>
          <w:sz w:val="24"/>
          <w:szCs w:val="24"/>
          <w:lang w:eastAsia="zh-CN"/>
        </w:rPr>
        <w:t>acquis</w:t>
      </w:r>
      <w:r w:rsidRPr="00BB57FB">
        <w:rPr>
          <w:rFonts w:ascii="Verdana" w:eastAsia="STZhongsong" w:hAnsi="Verdana"/>
          <w:sz w:val="24"/>
          <w:szCs w:val="24"/>
          <w:lang w:eastAsia="zh-CN"/>
        </w:rPr>
        <w:t> in full, the specified duration is 90 days in any 180-day period.  That period shall be calculated independently of the period of stay calculated for the territory of the Member States fully applying the Schengen </w:t>
      </w:r>
      <w:r w:rsidRPr="00BB57FB">
        <w:rPr>
          <w:rFonts w:ascii="Verdana" w:eastAsia="STZhongsong" w:hAnsi="Verdana"/>
          <w:i/>
          <w:iCs/>
          <w:sz w:val="24"/>
          <w:szCs w:val="24"/>
          <w:lang w:eastAsia="zh-CN"/>
        </w:rPr>
        <w:t>acquis</w:t>
      </w:r>
      <w:r w:rsidRPr="00BB57FB">
        <w:rPr>
          <w:rFonts w:ascii="Verdana" w:eastAsia="STZhongsong" w:hAnsi="Verdana"/>
          <w:sz w:val="24"/>
          <w:szCs w:val="24"/>
          <w:lang w:eastAsia="zh-CN"/>
        </w:rPr>
        <w:t>.</w:t>
      </w:r>
    </w:p>
    <w:p w:rsidR="000A605E" w:rsidRPr="00BB57FB" w:rsidP="00A07520">
      <w:pPr>
        <w:numPr>
          <w:ilvl w:val="0"/>
          <w:numId w:val="13"/>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Nothing in this Agreement prevents the UK or the Member States from extending the period of stay beyond 90 days in accordance with their respective national laws and Union law.</w:t>
      </w:r>
    </w:p>
    <w:p w:rsidR="000A605E" w:rsidRPr="00BB57FB" w:rsidP="00D9276A">
      <w:pPr>
        <w:spacing w:after="120" w:line="276" w:lineRule="auto"/>
        <w:jc w:val="both"/>
        <w:rPr>
          <w:rFonts w:ascii="Verdana" w:eastAsia="STZhongsong" w:hAnsi="Verdana"/>
          <w:i/>
          <w:iCs/>
          <w:sz w:val="24"/>
          <w:szCs w:val="24"/>
          <w:lang w:eastAsia="zh-CN"/>
        </w:rPr>
      </w:pPr>
    </w:p>
    <w:p w:rsidR="000A605E" w:rsidRPr="00BB57FB" w:rsidP="00D9276A">
      <w:pPr>
        <w:spacing w:after="120" w:line="276" w:lineRule="auto"/>
        <w:jc w:val="both"/>
        <w:rPr>
          <w:rFonts w:ascii="Verdana" w:eastAsia="STZhongsong" w:hAnsi="Verdana"/>
          <w:i/>
          <w:iCs/>
          <w:sz w:val="24"/>
          <w:szCs w:val="24"/>
          <w:lang w:eastAsia="zh-CN"/>
        </w:rPr>
      </w:pPr>
      <w:r w:rsidRPr="00BB57FB">
        <w:rPr>
          <w:rFonts w:ascii="Verdana" w:eastAsia="STZhongsong" w:hAnsi="Verdana"/>
          <w:i/>
          <w:iCs/>
          <w:sz w:val="24"/>
          <w:szCs w:val="24"/>
          <w:lang w:eastAsia="zh-CN"/>
        </w:rPr>
        <w:t>Article 6</w:t>
      </w:r>
    </w:p>
    <w:p w:rsidR="000A605E" w:rsidRPr="00BB57FB" w:rsidP="00D9276A">
      <w:pPr>
        <w:spacing w:after="120" w:line="276" w:lineRule="auto"/>
        <w:jc w:val="both"/>
        <w:rPr>
          <w:rFonts w:ascii="Verdana" w:eastAsia="STZhongsong" w:hAnsi="Verdana"/>
          <w:b/>
          <w:bCs/>
          <w:sz w:val="24"/>
          <w:szCs w:val="24"/>
          <w:lang w:eastAsia="zh-CN"/>
        </w:rPr>
      </w:pPr>
      <w:r w:rsidRPr="00BB57FB">
        <w:rPr>
          <w:rFonts w:ascii="Verdana" w:eastAsia="STZhongsong" w:hAnsi="Verdana"/>
          <w:b/>
          <w:bCs/>
          <w:sz w:val="24"/>
          <w:szCs w:val="24"/>
          <w:lang w:eastAsia="zh-CN"/>
        </w:rPr>
        <w:t>Territorial application</w:t>
      </w:r>
    </w:p>
    <w:p w:rsidR="000A605E" w:rsidRPr="00BB57FB" w:rsidP="00A07520">
      <w:pPr>
        <w:numPr>
          <w:ilvl w:val="0"/>
          <w:numId w:val="14"/>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As regards the French Republic, the provisions of this Agreement shall apply only to the European territory of the French Republic.</w:t>
      </w:r>
    </w:p>
    <w:p w:rsidR="000A605E" w:rsidRPr="00BB57FB" w:rsidP="00A07520">
      <w:pPr>
        <w:numPr>
          <w:ilvl w:val="0"/>
          <w:numId w:val="14"/>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As regards the Kingdom of the Netherlands, the provisions of this Agreement shall apply only to the European territory of the Kingdom of the Netherlands.</w:t>
      </w:r>
    </w:p>
    <w:p w:rsidR="000A605E" w:rsidRPr="00BB57FB" w:rsidP="00D9276A">
      <w:pPr>
        <w:spacing w:after="120" w:line="276" w:lineRule="auto"/>
        <w:jc w:val="both"/>
        <w:rPr>
          <w:rFonts w:ascii="Verdana" w:eastAsia="STZhongsong" w:hAnsi="Verdana"/>
          <w:i/>
          <w:iCs/>
          <w:sz w:val="24"/>
          <w:szCs w:val="24"/>
          <w:lang w:eastAsia="zh-CN"/>
        </w:rPr>
      </w:pPr>
    </w:p>
    <w:p w:rsidR="000A605E" w:rsidRPr="00BB57FB" w:rsidP="00D9276A">
      <w:pPr>
        <w:spacing w:after="120" w:line="276" w:lineRule="auto"/>
        <w:jc w:val="both"/>
        <w:rPr>
          <w:rFonts w:ascii="Verdana" w:eastAsia="STZhongsong" w:hAnsi="Verdana"/>
          <w:i/>
          <w:iCs/>
          <w:sz w:val="24"/>
          <w:szCs w:val="24"/>
          <w:lang w:eastAsia="zh-CN"/>
        </w:rPr>
      </w:pPr>
      <w:r w:rsidRPr="00BB57FB">
        <w:rPr>
          <w:rFonts w:ascii="Verdana" w:eastAsia="STZhongsong" w:hAnsi="Verdana"/>
          <w:i/>
          <w:iCs/>
          <w:sz w:val="24"/>
          <w:szCs w:val="24"/>
          <w:lang w:eastAsia="zh-CN"/>
        </w:rPr>
        <w:t>Article 7</w:t>
      </w:r>
    </w:p>
    <w:p w:rsidR="000A605E" w:rsidRPr="00BB57FB" w:rsidP="00D9276A">
      <w:pPr>
        <w:spacing w:after="120" w:line="276" w:lineRule="auto"/>
        <w:jc w:val="both"/>
        <w:rPr>
          <w:rFonts w:ascii="Verdana" w:eastAsia="STZhongsong" w:hAnsi="Verdana"/>
          <w:b/>
          <w:bCs/>
          <w:sz w:val="24"/>
          <w:szCs w:val="24"/>
          <w:lang w:eastAsia="zh-CN"/>
        </w:rPr>
      </w:pPr>
      <w:r w:rsidRPr="00BB57FB">
        <w:rPr>
          <w:rFonts w:ascii="Verdana" w:eastAsia="STZhongsong" w:hAnsi="Verdana"/>
          <w:b/>
          <w:bCs/>
          <w:sz w:val="24"/>
          <w:szCs w:val="24"/>
          <w:lang w:eastAsia="zh-CN"/>
        </w:rPr>
        <w:t>Management of the Agreement</w:t>
      </w:r>
    </w:p>
    <w:p w:rsidR="000A605E" w:rsidRPr="00BB57FB" w:rsidP="00A07520">
      <w:pPr>
        <w:numPr>
          <w:ilvl w:val="0"/>
          <w:numId w:val="15"/>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The Contracting Parties shall set up a Joint Committee of experts (hereinafter referred to as the ‘Committee’), composed of representatives of the Union and representatives of the UK. The Union shall be represented by the European Commission.</w:t>
      </w:r>
    </w:p>
    <w:p w:rsidR="000A605E" w:rsidRPr="00BB57FB" w:rsidP="00A07520">
      <w:pPr>
        <w:numPr>
          <w:ilvl w:val="0"/>
          <w:numId w:val="15"/>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The Committee shall have the following tasks:</w:t>
      </w:r>
    </w:p>
    <w:p w:rsidR="000A605E" w:rsidRPr="00BB57FB" w:rsidP="00A07520">
      <w:pPr>
        <w:numPr>
          <w:ilvl w:val="1"/>
          <w:numId w:val="15"/>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monitoring the implementation of this Agreement;</w:t>
      </w:r>
    </w:p>
    <w:p w:rsidR="000A605E" w:rsidRPr="00BB57FB" w:rsidP="00A07520">
      <w:pPr>
        <w:numPr>
          <w:ilvl w:val="1"/>
          <w:numId w:val="15"/>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suggesting amendments or additions to this Agreement;</w:t>
      </w:r>
    </w:p>
    <w:p w:rsidR="000A605E" w:rsidRPr="00BB57FB" w:rsidP="00A07520">
      <w:pPr>
        <w:numPr>
          <w:ilvl w:val="1"/>
          <w:numId w:val="15"/>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settling disputes arising from the interpretation or application of this Agreement;</w:t>
      </w:r>
    </w:p>
    <w:p w:rsidR="000A605E" w:rsidRPr="00BB57FB" w:rsidP="00A07520">
      <w:pPr>
        <w:numPr>
          <w:ilvl w:val="1"/>
          <w:numId w:val="15"/>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any other task agreed upon by the Contracting Parties.</w:t>
      </w:r>
    </w:p>
    <w:p w:rsidR="000A605E" w:rsidRPr="00BB57FB" w:rsidP="00A07520">
      <w:pPr>
        <w:numPr>
          <w:ilvl w:val="0"/>
          <w:numId w:val="15"/>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The Committee shall be convened whenever necessary at the request of one of the Contracting Parties.</w:t>
      </w:r>
    </w:p>
    <w:p w:rsidR="000A605E" w:rsidRPr="00BB57FB" w:rsidP="00A07520">
      <w:pPr>
        <w:numPr>
          <w:ilvl w:val="0"/>
          <w:numId w:val="15"/>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The Committee shall establish its rules of procedure.</w:t>
      </w:r>
    </w:p>
    <w:p w:rsidR="000A605E" w:rsidRPr="00BB57FB" w:rsidP="00D9276A">
      <w:pPr>
        <w:spacing w:after="120" w:line="276" w:lineRule="auto"/>
        <w:jc w:val="both"/>
        <w:rPr>
          <w:rFonts w:ascii="Verdana" w:eastAsia="STZhongsong" w:hAnsi="Verdana"/>
          <w:i/>
          <w:iCs/>
          <w:sz w:val="24"/>
          <w:szCs w:val="24"/>
          <w:lang w:eastAsia="zh-CN"/>
        </w:rPr>
      </w:pPr>
    </w:p>
    <w:p w:rsidR="000A605E" w:rsidRPr="00BB57FB" w:rsidP="00D9276A">
      <w:pPr>
        <w:spacing w:after="120" w:line="276" w:lineRule="auto"/>
        <w:jc w:val="both"/>
        <w:rPr>
          <w:rFonts w:ascii="Verdana" w:eastAsia="STZhongsong" w:hAnsi="Verdana"/>
          <w:i/>
          <w:iCs/>
          <w:sz w:val="24"/>
          <w:szCs w:val="24"/>
          <w:lang w:eastAsia="zh-CN"/>
        </w:rPr>
      </w:pPr>
      <w:r w:rsidRPr="00BB57FB">
        <w:rPr>
          <w:rFonts w:ascii="Verdana" w:eastAsia="STZhongsong" w:hAnsi="Verdana"/>
          <w:i/>
          <w:iCs/>
          <w:sz w:val="24"/>
          <w:szCs w:val="24"/>
          <w:lang w:eastAsia="zh-CN"/>
        </w:rPr>
        <w:t>Article 8</w:t>
      </w:r>
    </w:p>
    <w:p w:rsidR="000A605E" w:rsidRPr="00BB57FB" w:rsidP="00D9276A">
      <w:pPr>
        <w:spacing w:after="120" w:line="276" w:lineRule="auto"/>
        <w:jc w:val="both"/>
        <w:rPr>
          <w:rFonts w:ascii="Verdana" w:eastAsia="STZhongsong" w:hAnsi="Verdana"/>
          <w:b/>
          <w:bCs/>
          <w:sz w:val="24"/>
          <w:szCs w:val="24"/>
          <w:lang w:eastAsia="zh-CN"/>
        </w:rPr>
      </w:pPr>
      <w:r w:rsidRPr="00BB57FB">
        <w:rPr>
          <w:rFonts w:ascii="Verdana" w:eastAsia="STZhongsong" w:hAnsi="Verdana"/>
          <w:b/>
          <w:bCs/>
          <w:sz w:val="24"/>
          <w:szCs w:val="24"/>
          <w:lang w:eastAsia="zh-CN"/>
        </w:rPr>
        <w:t>Final provisions</w:t>
      </w:r>
    </w:p>
    <w:p w:rsidR="000A605E" w:rsidRPr="00BB57FB" w:rsidP="00A07520">
      <w:pPr>
        <w:numPr>
          <w:ilvl w:val="0"/>
          <w:numId w:val="16"/>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This Agreement shall be ratified or approved by the Contracting Parties in accordance with their respective internal procedures and shall enter into force on the first day of the second month following the date of the later of the two notifications by which the Contracting Parties notify each other that those procedures have been completed.</w:t>
      </w:r>
    </w:p>
    <w:p w:rsidR="000A605E" w:rsidRPr="00BB57FB" w:rsidP="00D9276A">
      <w:pPr>
        <w:spacing w:after="120" w:line="276" w:lineRule="auto"/>
        <w:ind w:left="720"/>
        <w:contextualSpacing/>
        <w:jc w:val="both"/>
        <w:rPr>
          <w:rFonts w:ascii="Verdana" w:eastAsia="STZhongsong" w:hAnsi="Verdana"/>
          <w:sz w:val="24"/>
          <w:szCs w:val="24"/>
          <w:lang w:eastAsia="zh-CN"/>
        </w:rPr>
      </w:pPr>
    </w:p>
    <w:p w:rsidR="000A605E" w:rsidRPr="00BB57FB" w:rsidP="00D9276A">
      <w:pPr>
        <w:spacing w:after="120" w:line="276" w:lineRule="auto"/>
        <w:ind w:left="720"/>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This Agreement shall be applied on a provisional basis as from the date of signature thereof</w:t>
      </w:r>
    </w:p>
    <w:p w:rsidR="000A605E" w:rsidRPr="00BB57FB" w:rsidP="00A07520">
      <w:pPr>
        <w:numPr>
          <w:ilvl w:val="0"/>
          <w:numId w:val="16"/>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This Agreement is concluded for an indefinite period, unless terminated in accordance with paragraph 5.</w:t>
      </w:r>
    </w:p>
    <w:p w:rsidR="000A605E" w:rsidRPr="00BB57FB" w:rsidP="00A07520">
      <w:pPr>
        <w:numPr>
          <w:ilvl w:val="0"/>
          <w:numId w:val="16"/>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This Agreement may be amended by written agreement of the Contracting Parties. Amendments shall enter into force after the Contracting Parties have notified each other of the completion of their internal procedures necessary for this purpose.</w:t>
      </w:r>
    </w:p>
    <w:p w:rsidR="000A605E" w:rsidRPr="00BB57FB" w:rsidP="00A07520">
      <w:pPr>
        <w:numPr>
          <w:ilvl w:val="0"/>
          <w:numId w:val="16"/>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Each Contracting Party may suspend in whole or in part this Agreement, in particular, for reasons of public policy, the protection of national security or the protection of public health, illegal immigration or upon the decision of either Contracting Party to require visas for short-term visits by nationals of the other Party. The decision on suspension shall be notified to the other Contracting Party not later than two months before its planned entry into force. A Contracting Party that has suspended the application of this Agreement shall immediately inform the other Contracting Party should the reasons for that suspension cease to exist and shall lift that suspension.</w:t>
      </w:r>
    </w:p>
    <w:p w:rsidR="000A605E" w:rsidRPr="00BB57FB" w:rsidP="00A07520">
      <w:pPr>
        <w:numPr>
          <w:ilvl w:val="0"/>
          <w:numId w:val="16"/>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Each Contracting Party may terminate this Agreement by giving written notice to the other Party. This Agreement shall cease to be in force 90 days thereafter.</w:t>
      </w:r>
    </w:p>
    <w:p w:rsidR="000A605E" w:rsidRPr="00BB57FB" w:rsidP="00A07520">
      <w:pPr>
        <w:numPr>
          <w:ilvl w:val="0"/>
          <w:numId w:val="16"/>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The UK may suspend or terminate this Agreement only in respect of all the Member States.</w:t>
      </w:r>
    </w:p>
    <w:p w:rsidR="000A605E" w:rsidRPr="00BB57FB" w:rsidP="00A07520">
      <w:pPr>
        <w:numPr>
          <w:ilvl w:val="0"/>
          <w:numId w:val="16"/>
        </w:numPr>
        <w:spacing w:after="120" w:line="276" w:lineRule="auto"/>
        <w:contextualSpacing/>
        <w:jc w:val="both"/>
        <w:rPr>
          <w:rFonts w:ascii="Verdana" w:eastAsia="STZhongsong" w:hAnsi="Verdana"/>
          <w:sz w:val="24"/>
          <w:szCs w:val="24"/>
          <w:lang w:eastAsia="zh-CN"/>
        </w:rPr>
      </w:pPr>
      <w:r w:rsidRPr="00BB57FB">
        <w:rPr>
          <w:rFonts w:ascii="Verdana" w:eastAsia="STZhongsong" w:hAnsi="Verdana"/>
          <w:sz w:val="24"/>
          <w:szCs w:val="24"/>
          <w:lang w:eastAsia="zh-CN"/>
        </w:rPr>
        <w:t>The Union may suspend or terminate this Agreement only in respect of all of its Member States.</w:t>
      </w:r>
    </w:p>
    <w:p w:rsidR="00C63FE1" w:rsidRPr="00BB57FB" w:rsidP="00D9276A">
      <w:pPr>
        <w:spacing w:after="160" w:line="279" w:lineRule="auto"/>
        <w:jc w:val="both"/>
        <w:rPr>
          <w:rFonts w:ascii="Verdana" w:eastAsia="Arial" w:hAnsi="Verdana"/>
          <w:b/>
          <w:bCs/>
          <w:sz w:val="24"/>
          <w:szCs w:val="24"/>
          <w:lang w:eastAsia="ja-JP"/>
        </w:rPr>
      </w:pPr>
    </w:p>
    <w:p w:rsidR="00C63FE1" w:rsidRPr="00BB57FB" w:rsidP="00D9276A">
      <w:pPr>
        <w:spacing w:after="160" w:line="279" w:lineRule="auto"/>
        <w:jc w:val="both"/>
        <w:rPr>
          <w:rFonts w:ascii="Verdana" w:eastAsia="Arial" w:hAnsi="Verdana"/>
          <w:b/>
          <w:bCs/>
          <w:sz w:val="24"/>
          <w:szCs w:val="24"/>
          <w:lang w:eastAsia="ja-JP"/>
        </w:rPr>
      </w:pPr>
    </w:p>
    <w:p w:rsidR="000A605E" w:rsidRPr="00BB57FB" w:rsidP="00D9276A">
      <w:pPr>
        <w:spacing w:after="160" w:line="279" w:lineRule="auto"/>
        <w:jc w:val="both"/>
        <w:rPr>
          <w:rFonts w:ascii="Verdana" w:eastAsia="Arial" w:hAnsi="Verdana"/>
          <w:b/>
          <w:bCs/>
          <w:sz w:val="24"/>
          <w:szCs w:val="24"/>
          <w:lang w:eastAsia="ja-JP"/>
        </w:rPr>
      </w:pPr>
      <w:r w:rsidRPr="00BB57FB">
        <w:rPr>
          <w:rFonts w:ascii="Verdana" w:eastAsia="Arial" w:hAnsi="Verdana"/>
          <w:b/>
          <w:bCs/>
          <w:sz w:val="24"/>
          <w:szCs w:val="24"/>
          <w:lang w:eastAsia="ja-JP"/>
        </w:rPr>
        <w:t>APPENDIX III – Brexit Solutions</w:t>
      </w:r>
    </w:p>
    <w:p w:rsidR="000A605E" w:rsidRPr="00BB57FB" w:rsidP="00D9276A">
      <w:pPr>
        <w:spacing w:after="160" w:line="279" w:lineRule="auto"/>
        <w:jc w:val="both"/>
        <w:rPr>
          <w:rFonts w:ascii="Verdana" w:eastAsia="Arial" w:hAnsi="Verdana"/>
          <w:b/>
          <w:bCs/>
          <w:sz w:val="24"/>
          <w:szCs w:val="24"/>
          <w:lang w:eastAsia="ja-JP"/>
        </w:rPr>
      </w:pPr>
      <w:r w:rsidRPr="00BB57FB">
        <w:rPr>
          <w:rFonts w:ascii="Verdana" w:eastAsia="Arial" w:hAnsi="Verdana"/>
          <w:noProof/>
          <w:sz w:val="24"/>
          <w:szCs w:val="24"/>
          <w:lang w:eastAsia="ja-JP"/>
        </w:rPr>
        <w:drawing>
          <wp:inline distT="0" distB="0" distL="0" distR="0">
            <wp:extent cx="8095766" cy="5723251"/>
            <wp:effectExtent l="5398" t="0" r="6032" b="6033"/>
            <wp:docPr id="496213369" name="Picture 3" descr="A diagram of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213369" name="Picture 3" descr="A diagram of a group of people&#10;&#10;AI-generated content may be incorrect."/>
                    <pic:cNvPicPr/>
                  </pic:nvPicPr>
                  <pic:blipFill>
                    <a:blip xmlns:r="http://schemas.openxmlformats.org/officeDocument/2006/relationships" r:embed="rId6" cstate="print">
                      <a:extLst>
                        <a:ext uri="{28A0092B-C50C-407E-A947-70E740481C1C}">
                          <a14:useLocalDpi xmlns:a14="http://schemas.microsoft.com/office/drawing/2010/main" val="0"/>
                        </a:ext>
                      </a:extLst>
                    </a:blip>
                    <a:stretch>
                      <a:fillRect/>
                    </a:stretch>
                  </pic:blipFill>
                  <pic:spPr>
                    <a:xfrm rot="16200000">
                      <a:off x="0" y="0"/>
                      <a:ext cx="8104612" cy="5729505"/>
                    </a:xfrm>
                    <a:prstGeom prst="rect">
                      <a:avLst/>
                    </a:prstGeom>
                  </pic:spPr>
                </pic:pic>
              </a:graphicData>
            </a:graphic>
          </wp:inline>
        </w:drawing>
      </w:r>
    </w:p>
    <w:p w:rsidR="00990299" w:rsidRPr="00BB57FB" w:rsidP="00D9276A">
      <w:pPr>
        <w:spacing w:line="276" w:lineRule="auto"/>
        <w:jc w:val="both"/>
        <w:rPr>
          <w:rFonts w:ascii="Verdana" w:hAnsi="Verdana"/>
          <w:sz w:val="24"/>
          <w:szCs w:val="24"/>
          <w:u w:val="single"/>
        </w:rPr>
      </w:pPr>
    </w:p>
    <w:sectPr w:rsidSect="006D2694">
      <w:footerReference w:type="even" r:id="rId7"/>
      <w:footerReference w:type="default" r:id="rId8"/>
      <w:pgSz w:w="11900" w:h="16840"/>
      <w:pgMar w:top="1440" w:right="1440" w:bottom="1440" w:left="1440" w:header="51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B04FC7" w:rsidP="007B3C4E">
      <w:r>
        <w:separator/>
      </w:r>
    </w:p>
  </w:endnote>
  <w:endnote w:type="continuationSeparator" w:id="1">
    <w:p w:rsidR="00B04FC7" w:rsidP="007B3C4E">
      <w:r>
        <w:continuationSeparator/>
      </w:r>
    </w:p>
  </w:endnote>
  <w:endnote w:id="2">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"https://www.ism.org/wp-content/uploads/2023/08/01-Paying-The-Price-The-Sixth-ISM-Brexit-Report-WEB.pdf" </w:instrText>
      </w:r>
      <w:r>
        <w:fldChar w:fldCharType="separate"/>
      </w:r>
      <w:r w:rsidRPr="007F6121">
        <w:rPr>
          <w:rStyle w:val="Hyperlink"/>
          <w:rFonts w:ascii="Arial" w:hAnsi="Arial" w:cs="Arial"/>
        </w:rPr>
        <w:t>https://www.ism.org/wp-content/uploads/2023/08/01-Paying-The-Price-The-Sixth-ISM-Brexit-Report-WEB.pdf</w:t>
      </w:r>
      <w:r>
        <w:fldChar w:fldCharType="end"/>
      </w:r>
      <w:r w:rsidRPr="007F6121">
        <w:rPr>
          <w:rFonts w:ascii="Arial" w:hAnsi="Arial" w:cs="Arial"/>
          <w:sz w:val="18"/>
          <w:szCs w:val="18"/>
        </w:rPr>
        <w:t xml:space="preserve"> </w:t>
      </w:r>
    </w:p>
  </w:endnote>
  <w:endnote w:id="3">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"https://www.ism.org/visa-guide-europe/" </w:instrText>
      </w:r>
      <w:r>
        <w:fldChar w:fldCharType="separate"/>
      </w:r>
      <w:r w:rsidRPr="007F6121">
        <w:rPr>
          <w:rStyle w:val="Hyperlink"/>
          <w:rFonts w:ascii="Arial" w:hAnsi="Arial" w:cs="Arial"/>
        </w:rPr>
        <w:t>https://www.ism.org/visa-guide-europe/</w:t>
      </w:r>
      <w:r>
        <w:fldChar w:fldCharType="end"/>
      </w:r>
      <w:r w:rsidRPr="007F6121">
        <w:rPr>
          <w:rFonts w:ascii="Arial" w:hAnsi="Arial" w:cs="Arial"/>
          <w:sz w:val="18"/>
          <w:szCs w:val="18"/>
        </w:rPr>
        <w:t xml:space="preserve"> </w:t>
      </w:r>
    </w:p>
  </w:endnote>
  <w:endnote w:id="4">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"https://eur-lex.europa.eu/search.html?scope=EURLEX&amp;text=short+stay+visa+waiver&amp;lang=en&amp;type=quick&amp;qid=1744277034597" </w:instrText>
      </w:r>
      <w:r>
        <w:fldChar w:fldCharType="separate"/>
      </w:r>
      <w:r w:rsidRPr="007F6121">
        <w:rPr>
          <w:rStyle w:val="Hyperlink"/>
          <w:rFonts w:ascii="Arial" w:hAnsi="Arial" w:cs="Arial"/>
        </w:rPr>
        <w:t>https://eur-lex.europa.eu/search.html?scope=EURLEX&amp;text=short+stay+visa+waiver&amp;lang=en&amp;type=quick&amp;qid=1744277034597</w:t>
      </w:r>
      <w:r>
        <w:fldChar w:fldCharType="end"/>
      </w:r>
      <w:r w:rsidRPr="007F6121">
        <w:rPr>
          <w:rFonts w:ascii="Arial" w:hAnsi="Arial" w:cs="Arial"/>
          <w:sz w:val="18"/>
          <w:szCs w:val="18"/>
        </w:rPr>
        <w:t xml:space="preserve"> </w:t>
      </w:r>
    </w:p>
  </w:endnote>
  <w:endnote w:id="5">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"https://www.cityam.com/the-uks-services-sector-has-outperformed-since-brexit-and-the-city-is-leading-the-way/" </w:instrText>
      </w:r>
      <w:r>
        <w:fldChar w:fldCharType="separate"/>
      </w:r>
      <w:r w:rsidRPr="007F6121">
        <w:rPr>
          <w:rStyle w:val="Hyperlink"/>
          <w:rFonts w:ascii="Arial" w:hAnsi="Arial" w:cs="Arial"/>
        </w:rPr>
        <w:t>https://www.cityam.com/the-uks-services-sector-has-outperformed-since-brexit-and-the-city-is-leading-the-way/</w:t>
      </w:r>
      <w:r>
        <w:fldChar w:fldCharType="end"/>
      </w:r>
      <w:r w:rsidRPr="007F6121">
        <w:rPr>
          <w:rFonts w:ascii="Arial" w:hAnsi="Arial" w:cs="Arial"/>
          <w:sz w:val="18"/>
          <w:szCs w:val="18"/>
        </w:rPr>
        <w:t xml:space="preserve"> </w:t>
      </w:r>
    </w:p>
  </w:endnote>
  <w:endnote w:id="6">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"https://commonslibrary.parliament.uk/research-briefings/cdp-2025-0017/" \l ":~:text=Creative%20industries%20and%20the%20economy,40%25%20of%20creative%20industries%20output" </w:instrText>
      </w:r>
      <w:r>
        <w:fldChar w:fldCharType="separate"/>
      </w:r>
      <w:r w:rsidRPr="007F6121">
        <w:rPr>
          <w:rStyle w:val="Hyperlink"/>
          <w:rFonts w:ascii="Arial" w:hAnsi="Arial" w:cs="Arial"/>
        </w:rPr>
        <w:t>https://commonslibrary.parliament.uk/research-briefings/cdp-2025-0017/#:~:text=Creative%20industries%20and%20the%20economy,40%25%20of%20creative%20industries%20output</w:t>
      </w:r>
      <w:r>
        <w:fldChar w:fldCharType="end"/>
      </w:r>
      <w:r w:rsidRPr="007F6121">
        <w:rPr>
          <w:rFonts w:ascii="Arial" w:hAnsi="Arial" w:cs="Arial"/>
          <w:sz w:val="18"/>
          <w:szCs w:val="18"/>
        </w:rPr>
        <w:t xml:space="preserve">. </w:t>
      </w:r>
    </w:p>
  </w:endnote>
  <w:endnote w:id="7">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"https://publications.parliament.uk/pa/ld201719/ldselect/ldeucom/182/182.pdf" </w:instrText>
      </w:r>
      <w:r>
        <w:fldChar w:fldCharType="separate"/>
      </w:r>
      <w:r w:rsidRPr="007F6121">
        <w:rPr>
          <w:rStyle w:val="Hyperlink"/>
          <w:rFonts w:ascii="Arial" w:hAnsi="Arial" w:cs="Arial"/>
        </w:rPr>
        <w:t>https://publications.parliament.uk/pa/ld201719/ldselect/ldeucom/182/182.pdf</w:t>
      </w:r>
      <w:r>
        <w:fldChar w:fldCharType="end"/>
      </w:r>
      <w:r w:rsidRPr="007F6121">
        <w:rPr>
          <w:rFonts w:ascii="Arial" w:hAnsi="Arial" w:cs="Arial"/>
          <w:sz w:val="18"/>
          <w:szCs w:val="18"/>
        </w:rPr>
        <w:t xml:space="preserve"> </w:t>
      </w:r>
    </w:p>
  </w:endnote>
  <w:endnote w:id="8">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"https://eur-lex.europa.eu/legal-content/EN/TXT/?uri=celex:52014PC0163" </w:instrText>
      </w:r>
      <w:r>
        <w:fldChar w:fldCharType="separate"/>
      </w:r>
      <w:r w:rsidRPr="007F6121">
        <w:rPr>
          <w:rStyle w:val="Hyperlink"/>
          <w:rFonts w:ascii="Arial" w:hAnsi="Arial" w:cs="Arial"/>
        </w:rPr>
        <w:t>https://eur-lex.europa.eu/legal-content/EN/TXT/?uri=celex:52014PC0163</w:t>
      </w:r>
      <w:r>
        <w:fldChar w:fldCharType="end"/>
      </w:r>
      <w:r w:rsidRPr="007F6121">
        <w:rPr>
          <w:rFonts w:ascii="Arial" w:hAnsi="Arial" w:cs="Arial"/>
          <w:sz w:val="18"/>
          <w:szCs w:val="18"/>
        </w:rPr>
        <w:t xml:space="preserve"> </w:t>
      </w:r>
    </w:p>
  </w:endnote>
  <w:endnote w:id="9">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"https://www.eesc.europa.eu/sites/default/files/files/joint_uk-eu_dag_statement_-_final.pdf" </w:instrText>
      </w:r>
      <w:r>
        <w:fldChar w:fldCharType="separate"/>
      </w:r>
      <w:r w:rsidRPr="007F6121">
        <w:rPr>
          <w:rStyle w:val="Hyperlink"/>
          <w:rFonts w:ascii="Arial" w:hAnsi="Arial" w:cs="Arial"/>
        </w:rPr>
        <w:t>https://www.eesc.europa.eu/sites/default/files/files/joint_uk-eu_dag_statement_-_final.pdf</w:t>
      </w:r>
      <w:r>
        <w:fldChar w:fldCharType="end"/>
      </w:r>
      <w:r w:rsidRPr="007F6121">
        <w:rPr>
          <w:rFonts w:ascii="Arial" w:hAnsi="Arial" w:cs="Arial"/>
          <w:sz w:val="18"/>
          <w:szCs w:val="18"/>
        </w:rPr>
        <w:t xml:space="preserve"> </w:t>
      </w:r>
    </w:p>
  </w:endnote>
  <w:endnote w:id="10">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"https://www.gov.uk/guidance/visiting-the-uk-as-a-creative-professional-from-a-non-visa-national-country" </w:instrText>
      </w:r>
      <w:r>
        <w:fldChar w:fldCharType="separate"/>
      </w:r>
      <w:r w:rsidRPr="007F6121">
        <w:rPr>
          <w:rStyle w:val="Hyperlink"/>
          <w:rFonts w:ascii="Arial" w:hAnsi="Arial" w:cs="Arial"/>
        </w:rPr>
        <w:t>https://www.gov.uk/guidance/visiting-the-uk-as-a-creative-professional-from-a-non-visa-national-country</w:t>
      </w:r>
      <w:r>
        <w:fldChar w:fldCharType="end"/>
      </w:r>
      <w:r w:rsidRPr="007F6121">
        <w:rPr>
          <w:rFonts w:ascii="Arial" w:hAnsi="Arial" w:cs="Arial"/>
          <w:sz w:val="18"/>
          <w:szCs w:val="18"/>
        </w:rPr>
        <w:t xml:space="preserve"> </w:t>
      </w:r>
    </w:p>
  </w:endnote>
  <w:endnote w:id="11">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"https://www.politico.eu/article/eu-leaders-to-travel-to-uk-for-brexit-reset-summit-in-may/" </w:instrText>
      </w:r>
      <w:r>
        <w:fldChar w:fldCharType="separate"/>
      </w:r>
      <w:r w:rsidRPr="007F6121">
        <w:rPr>
          <w:rStyle w:val="Hyperlink"/>
          <w:rFonts w:ascii="Arial" w:hAnsi="Arial" w:cs="Arial"/>
        </w:rPr>
        <w:t>https://www.politico.eu/article/eu-leaders-to-travel-to-uk-for-brexit-reset-summit-in-may/</w:t>
      </w:r>
      <w:r>
        <w:fldChar w:fldCharType="end"/>
      </w:r>
      <w:r w:rsidRPr="007F6121">
        <w:rPr>
          <w:rFonts w:ascii="Arial" w:hAnsi="Arial" w:cs="Arial"/>
          <w:sz w:val="18"/>
          <w:szCs w:val="18"/>
        </w:rPr>
        <w:t xml:space="preserve"> </w:t>
      </w:r>
    </w:p>
  </w:endnote>
  <w:endnote w:id="12">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ibid</w:t>
      </w:r>
    </w:p>
  </w:endnote>
  <w:endnote w:id="13">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"https://committees.parliament.uk/oralevidence/15125/pdf/" </w:instrText>
      </w:r>
      <w:r>
        <w:fldChar w:fldCharType="separate"/>
      </w:r>
      <w:r w:rsidRPr="007F6121">
        <w:rPr>
          <w:rStyle w:val="Hyperlink"/>
          <w:rFonts w:ascii="Arial" w:hAnsi="Arial" w:cs="Arial"/>
        </w:rPr>
        <w:t>https://committees.parliament.uk/oralevidence/15125/pdf/</w:t>
      </w:r>
      <w:r>
        <w:fldChar w:fldCharType="end"/>
      </w:r>
      <w:r w:rsidRPr="007F6121">
        <w:rPr>
          <w:rFonts w:ascii="Arial" w:hAnsi="Arial" w:cs="Arial"/>
          <w:sz w:val="18"/>
          <w:szCs w:val="18"/>
        </w:rPr>
        <w:t xml:space="preserve"> </w:t>
      </w:r>
    </w:p>
  </w:endnote>
  <w:endnote w:id="14">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"https://www.europarl.europa.eu/cmsdata/293904/5th%20PPA%20Recommendation%2017.03.25.pdf" </w:instrText>
      </w:r>
      <w:r>
        <w:fldChar w:fldCharType="separate"/>
      </w:r>
      <w:r w:rsidRPr="007F6121">
        <w:rPr>
          <w:rStyle w:val="Hyperlink"/>
          <w:rFonts w:ascii="Arial" w:hAnsi="Arial" w:cs="Arial"/>
        </w:rPr>
        <w:t>https://www.europarl.europa.eu/cmsdata/293904/5th%20PPA%20Recommendation%2017.03.25.pdf</w:t>
      </w:r>
      <w:r>
        <w:fldChar w:fldCharType="end"/>
      </w:r>
      <w:r w:rsidRPr="007F6121">
        <w:rPr>
          <w:rFonts w:ascii="Arial" w:hAnsi="Arial" w:cs="Arial"/>
          <w:sz w:val="18"/>
          <w:szCs w:val="18"/>
        </w:rPr>
        <w:t xml:space="preserve"> </w:t>
      </w:r>
    </w:p>
  </w:endnote>
  <w:endnote w:id="15">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"https://www.ihk.de/berlin/service-und-beratung/international/export/carnet-a-t-a-uebersicht/carnet-ata-2252836" </w:instrText>
      </w:r>
      <w:r>
        <w:fldChar w:fldCharType="separate"/>
      </w:r>
      <w:r w:rsidRPr="007F6121">
        <w:rPr>
          <w:rStyle w:val="Hyperlink"/>
          <w:rFonts w:ascii="Arial" w:eastAsia="Arial" w:hAnsi="Arial" w:cs="Arial"/>
        </w:rPr>
        <w:t>https://www.ihk.de/berlin/service-und-beratung/international/export/carnet-a-t-a-uebersicht/carnet-ata-2252836</w:t>
      </w:r>
      <w:r>
        <w:fldChar w:fldCharType="end"/>
      </w:r>
      <w:r w:rsidRPr="007F6121">
        <w:rPr>
          <w:rStyle w:val="Hyperlink"/>
          <w:rFonts w:ascii="Arial" w:eastAsia="Arial" w:hAnsi="Arial" w:cs="Arial"/>
        </w:rPr>
        <w:t xml:space="preserve"> </w:t>
      </w:r>
    </w:p>
  </w:endnote>
  <w:endnote w:id="16">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"https://www.frankfurt-main.ihk.de/international/import-export/carnet-a-t-a-5271730" </w:instrText>
      </w:r>
      <w:r>
        <w:fldChar w:fldCharType="separate"/>
      </w:r>
      <w:r w:rsidRPr="007F6121">
        <w:rPr>
          <w:rStyle w:val="Hyperlink"/>
          <w:rFonts w:ascii="Arial" w:eastAsia="Arial" w:hAnsi="Arial" w:cs="Arial"/>
        </w:rPr>
        <w:t>https://www.frankfurt-main.ihk.de/international/import-export/carnet-a-t-a-5271730</w:t>
      </w:r>
      <w:r>
        <w:fldChar w:fldCharType="end"/>
      </w:r>
      <w:r w:rsidRPr="007F6121">
        <w:rPr>
          <w:rStyle w:val="Hyperlink"/>
          <w:rFonts w:ascii="Arial" w:eastAsia="Arial" w:hAnsi="Arial" w:cs="Arial"/>
        </w:rPr>
        <w:t xml:space="preserve"> </w:t>
      </w:r>
    </w:p>
  </w:endnote>
  <w:endnote w:id="17">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"https://uknataco.co.uk/wp-content/uploads/2024/07/Security-Rate-Chart-June-2024.pdf" </w:instrText>
      </w:r>
      <w:r>
        <w:fldChar w:fldCharType="separate"/>
      </w:r>
      <w:r w:rsidRPr="007F6121">
        <w:rPr>
          <w:rStyle w:val="Hyperlink"/>
          <w:rFonts w:ascii="Arial" w:hAnsi="Arial" w:cs="Arial"/>
        </w:rPr>
        <w:t>https://uknataco.co.uk/wp-content/uploads/2024/07/Security-Rate-Chart-June-2024.pdf</w:t>
      </w:r>
      <w:r>
        <w:fldChar w:fldCharType="end"/>
      </w:r>
      <w:r w:rsidRPr="007F6121">
        <w:rPr>
          <w:rFonts w:ascii="Arial" w:hAnsi="Arial" w:cs="Arial"/>
          <w:sz w:val="18"/>
          <w:szCs w:val="18"/>
        </w:rPr>
        <w:t xml:space="preserve"> </w:t>
      </w:r>
    </w:p>
  </w:endnote>
  <w:endnote w:id="18">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"https://questions-statements.parliament.uk/written-questions/detail/2024-05-15/26395/" </w:instrText>
      </w:r>
      <w:r>
        <w:fldChar w:fldCharType="separate"/>
      </w:r>
      <w:r w:rsidRPr="007F6121">
        <w:rPr>
          <w:rStyle w:val="Hyperlink"/>
          <w:rFonts w:ascii="Arial" w:hAnsi="Arial" w:cs="Arial"/>
        </w:rPr>
        <w:t>https://questions-statements.parliament.uk/written-questions/detail/2024-05-15/26395/</w:t>
      </w:r>
      <w:r>
        <w:fldChar w:fldCharType="end"/>
      </w:r>
      <w:r w:rsidRPr="007F6121">
        <w:rPr>
          <w:rFonts w:ascii="Arial" w:hAnsi="Arial" w:cs="Arial"/>
          <w:sz w:val="18"/>
          <w:szCs w:val="18"/>
        </w:rPr>
        <w:t xml:space="preserve"> </w:t>
      </w:r>
    </w:p>
  </w:endnote>
  <w:endnote w:id="19">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"https://www.gov.uk/guidance/check-when-you-can-expect-a-reply-from-hmrc" </w:instrText>
      </w:r>
      <w:r>
        <w:fldChar w:fldCharType="separate"/>
      </w:r>
      <w:r w:rsidRPr="007F6121">
        <w:rPr>
          <w:rStyle w:val="Hyperlink"/>
          <w:rFonts w:ascii="Arial" w:hAnsi="Arial" w:cs="Arial"/>
        </w:rPr>
        <w:t>https://www.gov.uk/guidance/check-when-you-can-expect-a-reply-from-hmrc</w:t>
      </w:r>
      <w:r>
        <w:fldChar w:fldCharType="end"/>
      </w:r>
      <w:r w:rsidRPr="007F6121">
        <w:rPr>
          <w:rFonts w:ascii="Arial" w:hAnsi="Arial" w:cs="Arial"/>
          <w:sz w:val="18"/>
          <w:szCs w:val="18"/>
        </w:rPr>
        <w:t xml:space="preserve"> </w:t>
      </w:r>
    </w:p>
  </w:endnote>
  <w:endnote w:id="20">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"https://eur-lex.europa.eu/eli/reg/2009/1072/oj/eng" </w:instrText>
      </w:r>
      <w:r>
        <w:fldChar w:fldCharType="separate"/>
      </w:r>
      <w:r w:rsidRPr="007F6121">
        <w:rPr>
          <w:rStyle w:val="Hyperlink"/>
          <w:rFonts w:ascii="Arial" w:hAnsi="Arial" w:cs="Arial"/>
        </w:rPr>
        <w:t>https://eur-lex.europa.eu/eli/reg/2009/1072/oj/eng</w:t>
      </w:r>
      <w:r>
        <w:fldChar w:fldCharType="end"/>
      </w:r>
      <w:r w:rsidRPr="007F6121">
        <w:rPr>
          <w:rFonts w:ascii="Arial" w:hAnsi="Arial" w:cs="Arial"/>
          <w:sz w:val="18"/>
          <w:szCs w:val="18"/>
        </w:rPr>
        <w:t xml:space="preserve"> </w:t>
      </w:r>
    </w:p>
  </w:endnote>
  <w:endnote w:id="21">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"https://www.itf-oecd.org/sites/default/files/docs/user_guide_2026_e.pdf" </w:instrText>
      </w:r>
      <w:r>
        <w:fldChar w:fldCharType="separate"/>
      </w:r>
      <w:r w:rsidRPr="007F6121">
        <w:rPr>
          <w:rStyle w:val="Hyperlink"/>
          <w:rFonts w:ascii="Arial" w:hAnsi="Arial" w:cs="Arial"/>
        </w:rPr>
        <w:t>https://www.itf-oecd.org/sites/default/files/docs/user_guide_2026_e.pdf</w:t>
      </w:r>
      <w:r>
        <w:fldChar w:fldCharType="end"/>
      </w:r>
      <w:r w:rsidRPr="007F6121">
        <w:rPr>
          <w:rFonts w:ascii="Arial" w:hAnsi="Arial" w:cs="Arial"/>
          <w:sz w:val="18"/>
          <w:szCs w:val="18"/>
        </w:rPr>
        <w:t xml:space="preserve"> </w:t>
      </w:r>
    </w:p>
  </w:endnote>
  <w:endnote w:id="22">
    <w:p w:rsidR="000A605E" w:rsidRPr="007F6121"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"https://www.bfi.org.uk/get-funding-support/funding-support-international-activity/creative-europe-desk-uk" </w:instrText>
      </w:r>
      <w:r>
        <w:fldChar w:fldCharType="separate"/>
      </w:r>
      <w:r w:rsidRPr="007F6121">
        <w:rPr>
          <w:rStyle w:val="Hyperlink"/>
          <w:rFonts w:ascii="Arial" w:hAnsi="Arial" w:cs="Arial"/>
        </w:rPr>
        <w:t>https://www.bfi.org.uk/get-funding-support/funding-support-international-activity/creative-europe-desk-uk</w:t>
      </w:r>
      <w:r>
        <w:fldChar w:fldCharType="end"/>
      </w:r>
      <w:r w:rsidRPr="007F6121">
        <w:rPr>
          <w:rFonts w:ascii="Arial" w:hAnsi="Arial" w:cs="Arial"/>
          <w:sz w:val="18"/>
          <w:szCs w:val="18"/>
        </w:rPr>
        <w:t xml:space="preserve"> </w:t>
      </w:r>
    </w:p>
  </w:endnote>
  <w:endnote w:id="23">
    <w:p w:rsidR="000A605E" w:rsidP="000A605E">
      <w:pPr>
        <w:pStyle w:val="EndnoteText"/>
        <w:rPr>
          <w:rFonts w:ascii="Arial" w:hAnsi="Arial" w:cs="Arial"/>
          <w:sz w:val="18"/>
          <w:szCs w:val="18"/>
        </w:rPr>
      </w:pPr>
      <w:r w:rsidRPr="007F6121">
        <w:rPr>
          <w:rStyle w:val="EndnoteReference"/>
          <w:rFonts w:ascii="Arial" w:hAnsi="Arial" w:cs="Arial"/>
          <w:sz w:val="18"/>
          <w:szCs w:val="18"/>
        </w:rPr>
        <w:endnoteRef/>
      </w:r>
      <w:r w:rsidRPr="007F6121">
        <w:rPr>
          <w:rFonts w:ascii="Arial" w:hAnsi="Arial" w:cs="Arial"/>
          <w:sz w:val="18"/>
          <w:szCs w:val="18"/>
        </w:rPr>
        <w:t xml:space="preserve"> </w:t>
      </w:r>
      <w:r>
        <w:fldChar w:fldCharType="begin"/>
      </w:r>
      <w:r>
        <w:instrText xml:space="preserve"> HYPERLINK "https://hansard.parliament.uk/lords/2025-02-13/debates/69FFBC40-2650-4944-9738-F084A1D975CD/UK-EURelations" </w:instrText>
      </w:r>
      <w:r>
        <w:fldChar w:fldCharType="separate"/>
      </w:r>
      <w:r w:rsidRPr="007F6121">
        <w:rPr>
          <w:rStyle w:val="Hyperlink"/>
          <w:rFonts w:ascii="Arial" w:hAnsi="Arial" w:cs="Arial"/>
        </w:rPr>
        <w:t>https://hansard.parliament.uk/lords/2025-02-13/debates/69FFBC40-2650-4944-9738-F084A1D975CD/UK-EURelations</w:t>
      </w:r>
      <w:r>
        <w:fldChar w:fldCharType="end"/>
      </w:r>
      <w:r w:rsidRPr="007F6121">
        <w:rPr>
          <w:rFonts w:ascii="Arial" w:hAnsi="Arial" w:cs="Arial"/>
          <w:sz w:val="18"/>
          <w:szCs w:val="18"/>
        </w:rPr>
        <w:t xml:space="preserve"> </w:t>
      </w:r>
    </w:p>
    <w:p w:rsidR="00BB57FB" w:rsidP="000A605E">
      <w:pPr>
        <w:pStyle w:val="EndnoteText"/>
        <w:rPr>
          <w:rFonts w:ascii="Arial" w:hAnsi="Arial" w:cs="Arial"/>
          <w:sz w:val="18"/>
          <w:szCs w:val="18"/>
        </w:rPr>
      </w:pPr>
    </w:p>
    <w:p w:rsidR="00BB57FB" w:rsidP="000A605E">
      <w:pPr>
        <w:pStyle w:val="EndnoteText"/>
        <w:rPr>
          <w:rFonts w:ascii="Arial" w:hAnsi="Arial" w:cs="Arial"/>
          <w:sz w:val="18"/>
          <w:szCs w:val="18"/>
        </w:rPr>
      </w:pPr>
    </w:p>
    <w:p w:rsidR="00BB57FB" w:rsidRPr="00BB57FB" w:rsidP="000A605E">
      <w:pPr>
        <w:pStyle w:val="EndnoteText"/>
        <w:rPr>
          <w:rFonts w:ascii="Verdana" w:hAnsi="Verdana"/>
          <w:b/>
          <w:bCs/>
          <w:sz w:val="24"/>
          <w:szCs w:val="24"/>
        </w:rPr>
      </w:pPr>
      <w:r w:rsidRPr="00BB57FB">
        <w:rPr>
          <w:rFonts w:ascii="Verdana" w:hAnsi="Verdana" w:cs="Arial"/>
          <w:b/>
          <w:bCs/>
          <w:sz w:val="24"/>
          <w:szCs w:val="24"/>
        </w:rPr>
        <w:t>Received 10 April 2025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TZhongsong">
    <w:charset w:val="86"/>
    <w:family w:val="auto"/>
    <w:pitch w:val="variable"/>
    <w:sig w:usb0="00000287" w:usb1="080F0000" w:usb2="00000010" w:usb3="00000000" w:csb0="0004009F" w:csb1="00000000"/>
  </w:font>
  <w:font w:name="Public Sans">
    <w:altName w:val="Calibri"/>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55966682"/>
      <w:docPartObj>
        <w:docPartGallery w:val="Page Numbers (Bottom of Page)"/>
        <w:docPartUnique/>
      </w:docPartObj>
    </w:sdtPr>
    <w:sdtEndPr>
      <w:rPr>
        <w:rStyle w:val="PageNumber"/>
      </w:rPr>
    </w:sdtEndPr>
    <w:sdtContent>
      <w:p w:rsidR="00381B52" w:rsidP="00381B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381B52" w:rsidP="00FD171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704561696"/>
      <w:docPartObj>
        <w:docPartGallery w:val="Page Numbers (Bottom of Page)"/>
        <w:docPartUnique/>
      </w:docPartObj>
    </w:sdtPr>
    <w:sdtEndPr>
      <w:rPr>
        <w:rStyle w:val="PageNumber"/>
      </w:rPr>
    </w:sdtEndPr>
    <w:sdtContent>
      <w:p w:rsidR="00381B52" w:rsidRPr="00FD1713" w:rsidP="00381B52">
        <w:pPr>
          <w:pStyle w:val="Footer"/>
          <w:framePr w:wrap="none" w:vAnchor="text" w:hAnchor="margin" w:xAlign="right" w:y="1"/>
          <w:rPr>
            <w:rStyle w:val="PageNumber"/>
          </w:rPr>
        </w:pPr>
        <w:r w:rsidRPr="00FD1713">
          <w:rPr>
            <w:rStyle w:val="PageNumber"/>
          </w:rPr>
          <w:fldChar w:fldCharType="begin"/>
        </w:r>
        <w:r w:rsidRPr="00FD1713">
          <w:rPr>
            <w:rStyle w:val="PageNumber"/>
          </w:rPr>
          <w:instrText xml:space="preserve"> PAGE </w:instrText>
        </w:r>
        <w:r w:rsidRPr="00FD1713">
          <w:rPr>
            <w:rStyle w:val="PageNumber"/>
          </w:rPr>
          <w:fldChar w:fldCharType="separate"/>
        </w:r>
        <w:r w:rsidR="002D14E1">
          <w:rPr>
            <w:rStyle w:val="PageNumber"/>
            <w:noProof/>
          </w:rPr>
          <w:t>2</w:t>
        </w:r>
        <w:r w:rsidRPr="00FD1713">
          <w:rPr>
            <w:rStyle w:val="PageNumber"/>
          </w:rPr>
          <w:fldChar w:fldCharType="end"/>
        </w:r>
      </w:p>
    </w:sdtContent>
  </w:sdt>
  <w:p w:rsidR="00381B52" w:rsidRPr="00FD1713" w:rsidP="00FD1713">
    <w:pPr>
      <w:pStyle w:val="Footer"/>
      <w:ind w:right="360"/>
      <w:jc w:val="center"/>
    </w:pPr>
    <w:r w:rsidRPr="00572ADB">
      <w:rPr>
        <w:noProof/>
      </w:rPr>
      <w:drawing>
        <wp:inline distT="0" distB="0" distL="0" distR="0">
          <wp:extent cx="5734050" cy="371475"/>
          <wp:effectExtent l="0" t="0" r="0" b="9525"/>
          <wp:docPr id="1625081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5734050" cy="371475"/>
                  </a:xfrm>
                  <a:prstGeom prst="rect">
                    <a:avLst/>
                  </a:prstGeom>
                  <a:noFill/>
                  <a:ln>
                    <a:noFill/>
                  </a:ln>
                </pic:spPr>
              </pic:pic>
            </a:graphicData>
          </a:graphic>
        </wp:inline>
      </w:drawing>
    </w:r>
    <w:r>
      <w:rPr>
        <w:noProof/>
      </w:rPr>
      <w:pict>
        <v:shapetype id="_x0000_t202" coordsize="21600,21600" o:spt="202" path="m,l,21600r21600,l21600,xe">
          <v:stroke joinstyle="miter"/>
          <v:path gradientshapeok="t" o:connecttype="rect"/>
        </v:shapetype>
        <v:shape id="Text Box 8" o:spid="_x0000_s2049" type="#_x0000_t202" style="height:55.2pt;margin-left:0;margin-top:0;mso-height-percent:0;mso-height-relative:margin;mso-width-percent:0;mso-width-relative:margin;mso-wrap-distance-bottom:0;mso-wrap-distance-left:9pt;mso-wrap-distance-right:9pt;mso-wrap-distance-top:0;mso-wrap-style:square;position:absolute;v-text-anchor:top;visibility:visible;width:129.75pt;z-index:251658240" fillcolor="window" stroked="f" strokeweight="0.5pt">
          <v:textbox>
            <w:txbxContent>
              <w:p w:rsidR="00572ADB" w:rsidP="00572ADB">
                <w:pPr>
                  <w:pStyle w:val="BasicParagraph"/>
                  <w:tabs>
                    <w:tab w:val="left" w:pos="283"/>
                  </w:tabs>
                  <w:rPr>
                    <w:rFonts w:ascii="Public Sans" w:hAnsi="Public Sans" w:cs="Public Sans"/>
                    <w:b/>
                    <w:bCs/>
                    <w:color w:val="13123A"/>
                    <w:sz w:val="16"/>
                    <w:szCs w:val="16"/>
                  </w:rPr>
                </w:pPr>
                <w:r>
                  <w:rPr>
                    <w:rFonts w:ascii="Public Sans" w:hAnsi="Public Sans" w:cs="Public Sans"/>
                    <w:b/>
                    <w:bCs/>
                    <w:color w:val="13123A"/>
                    <w:sz w:val="16"/>
                    <w:szCs w:val="16"/>
                  </w:rPr>
                  <w:t>Independent Society of Musicians</w:t>
                </w:r>
              </w:p>
              <w:p w:rsidR="00572ADB" w:rsidP="00572ADB">
                <w:pPr>
                  <w:pStyle w:val="BasicParagraph"/>
                  <w:tabs>
                    <w:tab w:val="left" w:pos="283"/>
                  </w:tabs>
                  <w:rPr>
                    <w:rFonts w:ascii="Public Sans" w:hAnsi="Public Sans" w:cs="Public Sans"/>
                    <w:color w:val="13123A"/>
                    <w:sz w:val="16"/>
                    <w:szCs w:val="16"/>
                  </w:rPr>
                </w:pPr>
                <w:r>
                  <w:rPr>
                    <w:rFonts w:ascii="Public Sans" w:hAnsi="Public Sans" w:cs="Public Sans"/>
                    <w:color w:val="13123A"/>
                    <w:sz w:val="16"/>
                    <w:szCs w:val="16"/>
                  </w:rPr>
                  <w:t>4-5 Inverness Mews</w:t>
                </w:r>
              </w:p>
              <w:p w:rsidR="00572ADB" w:rsidRPr="00A9232E" w:rsidP="00572ADB">
                <w:pPr>
                  <w:spacing w:before="1"/>
                  <w:rPr>
                    <w:rFonts w:ascii="Public Sans" w:hAnsi="Public Sans"/>
                    <w:sz w:val="16"/>
                  </w:rPr>
                </w:pPr>
                <w:r>
                  <w:rPr>
                    <w:rFonts w:ascii="Public Sans" w:hAnsi="Public Sans" w:cs="Public Sans"/>
                    <w:color w:val="13123A"/>
                    <w:sz w:val="16"/>
                    <w:szCs w:val="16"/>
                  </w:rPr>
                  <w:t>London W2 3J</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06151"/>
    <w:multiLevelType w:val="hybridMultilevel"/>
    <w:tmpl w:val="14AC54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5F1770B"/>
    <w:multiLevelType w:val="multilevel"/>
    <w:tmpl w:val="FFFFFFFF"/>
    <w:lvl w:ilvl="0">
      <w:start w:val="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45178B1"/>
    <w:multiLevelType w:val="hybridMultilevel"/>
    <w:tmpl w:val="E872F7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C282715"/>
    <w:multiLevelType w:val="hybridMultilevel"/>
    <w:tmpl w:val="1D0A7E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1CD4863"/>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55E2449"/>
    <w:multiLevelType w:val="hybridMultilevel"/>
    <w:tmpl w:val="09F0B7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66D0D0F"/>
    <w:multiLevelType w:val="hybridMultilevel"/>
    <w:tmpl w:val="65F6F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6B53BC6"/>
    <w:multiLevelType w:val="hybridMultilevel"/>
    <w:tmpl w:val="E3360B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41564664"/>
    <w:multiLevelType w:val="hybridMultilevel"/>
    <w:tmpl w:val="1B18B11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asciiTheme="minorHAnsi" w:eastAsiaTheme="minorEastAsia" w:hAnsiTheme="minorHAnsi" w:cstheme="minorBidi"/>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1B2D6CC"/>
    <w:multiLevelType w:val="hybridMultilevel"/>
    <w:tmpl w:val="6A8AC5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44390622"/>
    <w:multiLevelType w:val="hybridMultilevel"/>
    <w:tmpl w:val="2E2CA1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A8E9694"/>
    <w:multiLevelType w:val="hybridMultilevel"/>
    <w:tmpl w:val="EB744C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4EB81EB4"/>
    <w:multiLevelType w:val="hybridMultilevel"/>
    <w:tmpl w:val="DCF0928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50BF7A3B"/>
    <w:multiLevelType w:val="hybridMultilevel"/>
    <w:tmpl w:val="406E21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B6C2267"/>
    <w:multiLevelType w:val="hybridMultilevel"/>
    <w:tmpl w:val="C50029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5E8A1BC1"/>
    <w:multiLevelType w:val="hybridMultilevel"/>
    <w:tmpl w:val="80ACC0C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3D403F9"/>
    <w:multiLevelType w:val="hybridMultilevel"/>
    <w:tmpl w:val="59A8D5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4AF2C77"/>
    <w:multiLevelType w:val="hybridMultilevel"/>
    <w:tmpl w:val="EE4A4D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1"/>
  </w:num>
  <w:num w:numId="4">
    <w:abstractNumId w:val="6"/>
  </w:num>
  <w:num w:numId="5">
    <w:abstractNumId w:val="7"/>
  </w:num>
  <w:num w:numId="6">
    <w:abstractNumId w:val="14"/>
  </w:num>
  <w:num w:numId="7">
    <w:abstractNumId w:val="17"/>
  </w:num>
  <w:num w:numId="8">
    <w:abstractNumId w:val="9"/>
  </w:num>
  <w:num w:numId="9">
    <w:abstractNumId w:val="13"/>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doNotTrackMoves/>
  <w:defaultTabStop w:val="720"/>
  <w:characterSpacingControl w:val="doNotCompress"/>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Arial"/>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1B52"/>
  </w:style>
  <w:style w:type="paragraph" w:styleId="Heading1">
    <w:name w:val="heading 1"/>
    <w:basedOn w:val="Normal"/>
    <w:link w:val="Heading1Char"/>
    <w:uiPriority w:val="9"/>
    <w:qFormat/>
    <w:rsid w:val="003E7A8B"/>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3E7A8B"/>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
    <w:unhideWhenUsed/>
    <w:qFormat/>
    <w:rsid w:val="00D51DD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A8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3E7A8B"/>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3E7A8B"/>
    <w:pPr>
      <w:spacing w:before="100" w:beforeAutospacing="1" w:after="100" w:afterAutospacing="1"/>
    </w:pPr>
  </w:style>
  <w:style w:type="character" w:styleId="Strong">
    <w:name w:val="Strong"/>
    <w:basedOn w:val="DefaultParagraphFont"/>
    <w:uiPriority w:val="22"/>
    <w:qFormat/>
    <w:rsid w:val="003E7A8B"/>
    <w:rPr>
      <w:b/>
      <w:bCs/>
    </w:rPr>
  </w:style>
  <w:style w:type="paragraph" w:styleId="ListParagraph">
    <w:name w:val="List Paragraph"/>
    <w:basedOn w:val="Normal"/>
    <w:uiPriority w:val="34"/>
    <w:qFormat/>
    <w:rsid w:val="00535F4E"/>
    <w:pPr>
      <w:ind w:left="720"/>
      <w:contextualSpacing/>
    </w:pPr>
  </w:style>
  <w:style w:type="character" w:styleId="Emphasis">
    <w:name w:val="Emphasis"/>
    <w:basedOn w:val="DefaultParagraphFont"/>
    <w:uiPriority w:val="20"/>
    <w:qFormat/>
    <w:rsid w:val="006A2407"/>
    <w:rPr>
      <w:i/>
      <w:iCs/>
    </w:rPr>
  </w:style>
  <w:style w:type="paragraph" w:styleId="FootnoteText">
    <w:name w:val="footnote text"/>
    <w:basedOn w:val="Normal"/>
    <w:link w:val="FootnoteTextChar"/>
    <w:uiPriority w:val="99"/>
    <w:unhideWhenUsed/>
    <w:rsid w:val="007B3C4E"/>
    <w:rPr>
      <w:sz w:val="20"/>
      <w:szCs w:val="20"/>
    </w:rPr>
  </w:style>
  <w:style w:type="character" w:customStyle="1" w:styleId="FootnoteTextChar">
    <w:name w:val="Footnote Text Char"/>
    <w:basedOn w:val="DefaultParagraphFont"/>
    <w:link w:val="FootnoteText"/>
    <w:uiPriority w:val="99"/>
    <w:rsid w:val="007B3C4E"/>
    <w:rPr>
      <w:sz w:val="20"/>
      <w:szCs w:val="20"/>
    </w:rPr>
  </w:style>
  <w:style w:type="character" w:styleId="FootnoteReference">
    <w:name w:val="footnote reference"/>
    <w:basedOn w:val="DefaultParagraphFont"/>
    <w:uiPriority w:val="99"/>
    <w:semiHidden/>
    <w:unhideWhenUsed/>
    <w:rsid w:val="007B3C4E"/>
    <w:rPr>
      <w:vertAlign w:val="superscript"/>
    </w:rPr>
  </w:style>
  <w:style w:type="character" w:styleId="Hyperlink">
    <w:name w:val="Hyperlink"/>
    <w:basedOn w:val="DefaultParagraphFont"/>
    <w:uiPriority w:val="99"/>
    <w:unhideWhenUsed/>
    <w:rsid w:val="007B3C4E"/>
    <w:rPr>
      <w:color w:val="0000FF"/>
      <w:u w:val="single"/>
    </w:rPr>
  </w:style>
  <w:style w:type="character" w:customStyle="1" w:styleId="UnresolvedMention1">
    <w:name w:val="Unresolved Mention1"/>
    <w:basedOn w:val="DefaultParagraphFont"/>
    <w:uiPriority w:val="99"/>
    <w:semiHidden/>
    <w:unhideWhenUsed/>
    <w:rsid w:val="00042887"/>
    <w:rPr>
      <w:color w:val="605E5C"/>
      <w:shd w:val="clear" w:color="auto" w:fill="E1DFDD"/>
    </w:rPr>
  </w:style>
  <w:style w:type="character" w:styleId="FollowedHyperlink">
    <w:name w:val="FollowedHyperlink"/>
    <w:basedOn w:val="DefaultParagraphFont"/>
    <w:uiPriority w:val="99"/>
    <w:semiHidden/>
    <w:unhideWhenUsed/>
    <w:rsid w:val="00B1439C"/>
    <w:rPr>
      <w:color w:val="954F72" w:themeColor="followedHyperlink"/>
      <w:u w:val="single"/>
    </w:rPr>
  </w:style>
  <w:style w:type="paragraph" w:styleId="Header">
    <w:name w:val="header"/>
    <w:basedOn w:val="Normal"/>
    <w:link w:val="HeaderChar"/>
    <w:uiPriority w:val="99"/>
    <w:unhideWhenUsed/>
    <w:rsid w:val="00E72A40"/>
    <w:pPr>
      <w:tabs>
        <w:tab w:val="center" w:pos="4513"/>
        <w:tab w:val="right" w:pos="9026"/>
      </w:tabs>
    </w:pPr>
  </w:style>
  <w:style w:type="character" w:customStyle="1" w:styleId="HeaderChar">
    <w:name w:val="Header Char"/>
    <w:basedOn w:val="DefaultParagraphFont"/>
    <w:link w:val="Header"/>
    <w:uiPriority w:val="99"/>
    <w:rsid w:val="00E72A40"/>
    <w:rPr>
      <w:rFonts w:ascii="Times New Roman" w:eastAsia="Times New Roman" w:hAnsi="Times New Roman" w:cs="Times New Roman"/>
      <w:lang w:eastAsia="en-GB"/>
    </w:rPr>
  </w:style>
  <w:style w:type="paragraph" w:styleId="Footer">
    <w:name w:val="footer"/>
    <w:basedOn w:val="Normal"/>
    <w:link w:val="FooterChar"/>
    <w:uiPriority w:val="99"/>
    <w:unhideWhenUsed/>
    <w:rsid w:val="00E72A40"/>
    <w:pPr>
      <w:tabs>
        <w:tab w:val="center" w:pos="4513"/>
        <w:tab w:val="right" w:pos="9026"/>
      </w:tabs>
    </w:pPr>
  </w:style>
  <w:style w:type="character" w:customStyle="1" w:styleId="FooterChar">
    <w:name w:val="Footer Char"/>
    <w:basedOn w:val="DefaultParagraphFont"/>
    <w:link w:val="Footer"/>
    <w:uiPriority w:val="99"/>
    <w:rsid w:val="00E72A40"/>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4B53D4"/>
    <w:rPr>
      <w:sz w:val="16"/>
      <w:szCs w:val="16"/>
    </w:rPr>
  </w:style>
  <w:style w:type="paragraph" w:styleId="CommentText">
    <w:name w:val="annotation text"/>
    <w:basedOn w:val="Normal"/>
    <w:link w:val="CommentTextChar"/>
    <w:uiPriority w:val="99"/>
    <w:unhideWhenUsed/>
    <w:rsid w:val="004B53D4"/>
    <w:rPr>
      <w:sz w:val="20"/>
      <w:szCs w:val="20"/>
    </w:rPr>
  </w:style>
  <w:style w:type="character" w:customStyle="1" w:styleId="CommentTextChar">
    <w:name w:val="Comment Text Char"/>
    <w:basedOn w:val="DefaultParagraphFont"/>
    <w:link w:val="CommentText"/>
    <w:uiPriority w:val="99"/>
    <w:rsid w:val="004B53D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B53D4"/>
    <w:rPr>
      <w:b/>
      <w:bCs/>
    </w:rPr>
  </w:style>
  <w:style w:type="character" w:customStyle="1" w:styleId="CommentSubjectChar">
    <w:name w:val="Comment Subject Char"/>
    <w:basedOn w:val="CommentTextChar"/>
    <w:link w:val="CommentSubject"/>
    <w:uiPriority w:val="99"/>
    <w:semiHidden/>
    <w:rsid w:val="004B53D4"/>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4B53D4"/>
    <w:rPr>
      <w:sz w:val="18"/>
      <w:szCs w:val="18"/>
    </w:rPr>
  </w:style>
  <w:style w:type="character" w:customStyle="1" w:styleId="BalloonTextChar">
    <w:name w:val="Balloon Text Char"/>
    <w:basedOn w:val="DefaultParagraphFont"/>
    <w:link w:val="BalloonText"/>
    <w:uiPriority w:val="99"/>
    <w:semiHidden/>
    <w:rsid w:val="004B53D4"/>
    <w:rPr>
      <w:rFonts w:ascii="Times New Roman" w:eastAsia="Times New Roman" w:hAnsi="Times New Roman" w:cs="Times New Roman"/>
      <w:sz w:val="18"/>
      <w:szCs w:val="18"/>
      <w:lang w:eastAsia="en-GB"/>
    </w:rPr>
  </w:style>
  <w:style w:type="paragraph" w:styleId="TOCHeading">
    <w:name w:val="TOC Heading"/>
    <w:basedOn w:val="Heading1"/>
    <w:next w:val="Normal"/>
    <w:uiPriority w:val="39"/>
    <w:unhideWhenUsed/>
    <w:qFormat/>
    <w:rsid w:val="00B42E78"/>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val="en-US"/>
    </w:rPr>
  </w:style>
  <w:style w:type="paragraph" w:styleId="TOC1">
    <w:name w:val="toc 1"/>
    <w:basedOn w:val="Normal"/>
    <w:next w:val="Normal"/>
    <w:autoRedefine/>
    <w:uiPriority w:val="39"/>
    <w:unhideWhenUsed/>
    <w:rsid w:val="0067187B"/>
    <w:pPr>
      <w:tabs>
        <w:tab w:val="right" w:leader="dot" w:pos="9730"/>
      </w:tabs>
      <w:spacing w:before="120"/>
      <w:ind w:left="720"/>
      <w:jc w:val="center"/>
    </w:pPr>
    <w:rPr>
      <w:rFonts w:asciiTheme="minorHAnsi" w:hAnsiTheme="minorHAnsi"/>
      <w:b/>
      <w:bCs/>
      <w:i/>
      <w:iCs/>
    </w:rPr>
  </w:style>
  <w:style w:type="paragraph" w:styleId="TOC2">
    <w:name w:val="toc 2"/>
    <w:basedOn w:val="Normal"/>
    <w:next w:val="Normal"/>
    <w:autoRedefine/>
    <w:uiPriority w:val="39"/>
    <w:semiHidden/>
    <w:unhideWhenUsed/>
    <w:rsid w:val="00B42E78"/>
    <w:pPr>
      <w:spacing w:before="120"/>
      <w:ind w:left="240"/>
    </w:pPr>
    <w:rPr>
      <w:rFonts w:asciiTheme="minorHAnsi" w:hAnsiTheme="minorHAnsi"/>
      <w:b/>
      <w:bCs/>
    </w:rPr>
  </w:style>
  <w:style w:type="paragraph" w:styleId="TOC3">
    <w:name w:val="toc 3"/>
    <w:basedOn w:val="Normal"/>
    <w:next w:val="Normal"/>
    <w:autoRedefine/>
    <w:uiPriority w:val="39"/>
    <w:semiHidden/>
    <w:unhideWhenUsed/>
    <w:rsid w:val="00B42E78"/>
    <w:pPr>
      <w:ind w:left="480"/>
    </w:pPr>
    <w:rPr>
      <w:rFonts w:asciiTheme="minorHAnsi" w:hAnsiTheme="minorHAnsi"/>
      <w:sz w:val="20"/>
      <w:szCs w:val="20"/>
    </w:rPr>
  </w:style>
  <w:style w:type="paragraph" w:styleId="TOC4">
    <w:name w:val="toc 4"/>
    <w:basedOn w:val="Normal"/>
    <w:next w:val="Normal"/>
    <w:autoRedefine/>
    <w:uiPriority w:val="39"/>
    <w:semiHidden/>
    <w:unhideWhenUsed/>
    <w:rsid w:val="00B42E78"/>
    <w:pPr>
      <w:ind w:left="720"/>
    </w:pPr>
    <w:rPr>
      <w:rFonts w:asciiTheme="minorHAnsi" w:hAnsiTheme="minorHAnsi"/>
      <w:sz w:val="20"/>
      <w:szCs w:val="20"/>
    </w:rPr>
  </w:style>
  <w:style w:type="paragraph" w:styleId="TOC5">
    <w:name w:val="toc 5"/>
    <w:basedOn w:val="Normal"/>
    <w:next w:val="Normal"/>
    <w:autoRedefine/>
    <w:uiPriority w:val="39"/>
    <w:semiHidden/>
    <w:unhideWhenUsed/>
    <w:rsid w:val="00B42E78"/>
    <w:pPr>
      <w:ind w:left="960"/>
    </w:pPr>
    <w:rPr>
      <w:rFonts w:asciiTheme="minorHAnsi" w:hAnsiTheme="minorHAnsi"/>
      <w:sz w:val="20"/>
      <w:szCs w:val="20"/>
    </w:rPr>
  </w:style>
  <w:style w:type="paragraph" w:styleId="TOC6">
    <w:name w:val="toc 6"/>
    <w:basedOn w:val="Normal"/>
    <w:next w:val="Normal"/>
    <w:autoRedefine/>
    <w:uiPriority w:val="39"/>
    <w:semiHidden/>
    <w:unhideWhenUsed/>
    <w:rsid w:val="00B42E78"/>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B42E78"/>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B42E78"/>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B42E78"/>
    <w:pPr>
      <w:ind w:left="1920"/>
    </w:pPr>
    <w:rPr>
      <w:rFonts w:asciiTheme="minorHAnsi" w:hAnsiTheme="minorHAnsi"/>
      <w:sz w:val="20"/>
      <w:szCs w:val="20"/>
    </w:rPr>
  </w:style>
  <w:style w:type="character" w:customStyle="1" w:styleId="Heading4Char">
    <w:name w:val="Heading 4 Char"/>
    <w:basedOn w:val="DefaultParagraphFont"/>
    <w:link w:val="Heading4"/>
    <w:uiPriority w:val="9"/>
    <w:rsid w:val="00D51DD7"/>
    <w:rPr>
      <w:rFonts w:asciiTheme="majorHAnsi" w:eastAsiaTheme="majorEastAsia" w:hAnsiTheme="majorHAnsi" w:cstheme="majorBidi"/>
      <w:i/>
      <w:iCs/>
      <w:color w:val="2F5496" w:themeColor="accent1" w:themeShade="BF"/>
      <w:lang w:eastAsia="en-GB"/>
    </w:rPr>
  </w:style>
  <w:style w:type="character" w:styleId="PageNumber">
    <w:name w:val="page number"/>
    <w:basedOn w:val="DefaultParagraphFont"/>
    <w:uiPriority w:val="99"/>
    <w:semiHidden/>
    <w:unhideWhenUsed/>
    <w:rsid w:val="00FD1713"/>
  </w:style>
  <w:style w:type="character" w:customStyle="1" w:styleId="UnresolvedMention2">
    <w:name w:val="Unresolved Mention2"/>
    <w:basedOn w:val="DefaultParagraphFont"/>
    <w:uiPriority w:val="99"/>
    <w:semiHidden/>
    <w:unhideWhenUsed/>
    <w:rsid w:val="00346761"/>
    <w:rPr>
      <w:color w:val="605E5C"/>
      <w:shd w:val="clear" w:color="auto" w:fill="E1DFDD"/>
    </w:rPr>
  </w:style>
  <w:style w:type="paragraph" w:styleId="Revision">
    <w:name w:val="Revision"/>
    <w:hidden/>
    <w:uiPriority w:val="99"/>
    <w:semiHidden/>
    <w:rsid w:val="005A09AD"/>
    <w:rPr>
      <w:rFonts w:ascii="Times New Roman" w:eastAsia="Times New Roman" w:hAnsi="Times New Roman" w:cs="Times New Roman"/>
      <w:lang w:eastAsia="en-GB"/>
    </w:rPr>
  </w:style>
  <w:style w:type="character" w:customStyle="1" w:styleId="InternetLink">
    <w:name w:val="Internet Link"/>
    <w:basedOn w:val="DefaultParagraphFont"/>
    <w:uiPriority w:val="99"/>
    <w:unhideWhenUsed/>
    <w:rsid w:val="00CD3131"/>
    <w:rPr>
      <w:color w:val="0563C1" w:themeColor="hyperlink"/>
      <w:u w:val="single"/>
    </w:rPr>
  </w:style>
  <w:style w:type="character" w:customStyle="1" w:styleId="EndnoteTextChar">
    <w:name w:val="Endnote Text Char"/>
    <w:basedOn w:val="DefaultParagraphFont"/>
    <w:link w:val="EndnoteText"/>
    <w:uiPriority w:val="99"/>
    <w:semiHidden/>
    <w:qFormat/>
    <w:rsid w:val="00CD3131"/>
    <w:rPr>
      <w:sz w:val="20"/>
      <w:szCs w:val="20"/>
    </w:rPr>
  </w:style>
  <w:style w:type="character" w:customStyle="1" w:styleId="EndnoteAnchor">
    <w:name w:val="Endnote Anchor"/>
    <w:rsid w:val="00CD3131"/>
    <w:rPr>
      <w:vertAlign w:val="superscript"/>
    </w:rPr>
  </w:style>
  <w:style w:type="paragraph" w:styleId="EndnoteText">
    <w:name w:val="endnote text"/>
    <w:basedOn w:val="Normal"/>
    <w:link w:val="EndnoteTextChar"/>
    <w:uiPriority w:val="99"/>
    <w:semiHidden/>
    <w:unhideWhenUsed/>
    <w:rsid w:val="00CD3131"/>
    <w:rPr>
      <w:rFonts w:asciiTheme="minorHAnsi" w:hAnsiTheme="minorHAnsi" w:cstheme="minorBidi"/>
      <w:sz w:val="20"/>
      <w:szCs w:val="20"/>
    </w:rPr>
  </w:style>
  <w:style w:type="character" w:customStyle="1" w:styleId="EndnoteTextChar1">
    <w:name w:val="Endnote Text Char1"/>
    <w:basedOn w:val="DefaultParagraphFont"/>
    <w:uiPriority w:val="99"/>
    <w:semiHidden/>
    <w:rsid w:val="00CD3131"/>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CD3131"/>
    <w:rPr>
      <w:vertAlign w:val="superscript"/>
    </w:rPr>
  </w:style>
  <w:style w:type="character" w:customStyle="1" w:styleId="EndnoteCharacters">
    <w:name w:val="Endnote Characters"/>
    <w:basedOn w:val="DefaultParagraphFont"/>
    <w:uiPriority w:val="99"/>
    <w:semiHidden/>
    <w:unhideWhenUsed/>
    <w:qFormat/>
    <w:rsid w:val="00CD3131"/>
    <w:rPr>
      <w:vertAlign w:val="superscript"/>
    </w:rPr>
  </w:style>
  <w:style w:type="character" w:customStyle="1" w:styleId="UnresolvedMention">
    <w:name w:val="Unresolved Mention"/>
    <w:basedOn w:val="DefaultParagraphFont"/>
    <w:uiPriority w:val="99"/>
    <w:semiHidden/>
    <w:unhideWhenUsed/>
    <w:rsid w:val="00AF243A"/>
    <w:rPr>
      <w:color w:val="605E5C"/>
      <w:shd w:val="clear" w:color="auto" w:fill="E1DFDD"/>
    </w:rPr>
  </w:style>
  <w:style w:type="table" w:styleId="TableGrid">
    <w:name w:val="Table Grid"/>
    <w:basedOn w:val="TableNormal"/>
    <w:uiPriority w:val="39"/>
    <w:rsid w:val="00F07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800BB4"/>
    <w:pPr>
      <w:autoSpaceDE w:val="0"/>
      <w:autoSpaceDN w:val="0"/>
      <w:adjustRightInd w:val="0"/>
      <w:spacing w:line="288" w:lineRule="auto"/>
      <w:textAlignment w:val="center"/>
    </w:pPr>
    <w:rPr>
      <w:rFonts w:ascii="MinionPro-Regular" w:hAnsi="MinionPro-Regular" w:cs="MinionPro-Regular"/>
      <w:color w:val="000000"/>
      <w:sz w:val="24"/>
      <w:szCs w:val="24"/>
    </w:rPr>
  </w:style>
  <w:style w:type="table" w:customStyle="1" w:styleId="TableGrid1">
    <w:name w:val="Table Grid1"/>
    <w:basedOn w:val="TableNormal"/>
    <w:next w:val="TableGrid"/>
    <w:uiPriority w:val="59"/>
    <w:rsid w:val="000A605E"/>
    <w:rPr>
      <w:rFonts w:ascii="Aptos" w:eastAsia="MS Mincho" w:hAnsi="Aptos"/>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_rels/footer2.xml.rels>&#65279;<?xml version="1.0" encoding="utf-8" standalone="yes"?><Relationships xmlns="http://schemas.openxmlformats.org/package/2006/relationships"><Relationship Id="rId1" Type="http://schemas.openxmlformats.org/officeDocument/2006/relationships/image" Target="media/image2.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54C40-D6CB-4DD5-A29A-4F1EBE120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