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B5F31" w:rsidRPr="00BB5F31" w:rsidP="00BB5F31">
      <w:pPr>
        <w:spacing w:line="264" w:lineRule="auto"/>
        <w:rPr>
          <w:rFonts w:ascii="Calibri" w:eastAsia="Roboto" w:hAnsi="Calibri" w:cs="Calibri"/>
          <w:b/>
          <w:bCs/>
          <w:sz w:val="24"/>
          <w:szCs w:val="24"/>
        </w:rPr>
      </w:pPr>
      <w:r w:rsidRPr="00BB5F31">
        <w:rPr>
          <w:rFonts w:ascii="Calibri" w:eastAsia="Roboto" w:hAnsi="Calibri" w:cs="Calibri"/>
          <w:b/>
          <w:bCs/>
          <w:sz w:val="24"/>
          <w:szCs w:val="24"/>
        </w:rPr>
        <w:t>About Work Rights Centre</w:t>
      </w:r>
    </w:p>
    <w:p w:rsidR="003B5652" w:rsidRPr="008D5D2D" w:rsidP="00BB5F31">
      <w:pPr>
        <w:spacing w:line="264" w:lineRule="auto"/>
        <w:rPr>
          <w:rFonts w:ascii="Calibri" w:eastAsia="Roboto" w:hAnsi="Calibri" w:cs="Calibri"/>
          <w:sz w:val="24"/>
          <w:szCs w:val="24"/>
        </w:rPr>
      </w:pPr>
      <w:r w:rsidRPr="008D5D2D">
        <w:rPr>
          <w:rFonts w:ascii="Calibri" w:eastAsia="Roboto" w:hAnsi="Calibri" w:cs="Calibri"/>
          <w:sz w:val="24"/>
          <w:szCs w:val="24"/>
        </w:rPr>
        <w:t>Work Rights Centre is a registered charity dedicated to supporting migrants and disadvantaged Britons to access employment justice and improve their social mobility. We do this by providing free and confidential advice in the areas of employment, immigration, and social security, and by mobilising frontline intelligence to address the systemic causes of migrants’ inequality. The charity was founded in 2016. Ever since, we have advised over 6,000 people, helped recover over £500,000 in unpaid wages and fees, and supported hundreds more to make job applications and secure their immigration status.</w:t>
      </w:r>
    </w:p>
    <w:p w:rsidR="00BB5F31" w:rsidP="00BB5F31">
      <w:pPr>
        <w:widowControl w:val="0"/>
        <w:pBdr>
          <w:top w:val="nil"/>
          <w:left w:val="nil"/>
          <w:bottom w:val="nil"/>
          <w:right w:val="nil"/>
          <w:between w:val="nil"/>
        </w:pBdr>
        <w:spacing w:line="264" w:lineRule="auto"/>
        <w:rPr>
          <w:rFonts w:ascii="Calibri" w:eastAsia="Roboto" w:hAnsi="Calibri" w:cs="Calibri"/>
          <w:b/>
          <w:sz w:val="24"/>
          <w:szCs w:val="24"/>
        </w:rPr>
      </w:pPr>
    </w:p>
    <w:p w:rsidR="008D5D2D" w:rsidRPr="008D5D2D" w:rsidP="00BB5F31">
      <w:pPr>
        <w:widowControl w:val="0"/>
        <w:pBdr>
          <w:top w:val="nil"/>
          <w:left w:val="nil"/>
          <w:bottom w:val="nil"/>
          <w:right w:val="nil"/>
          <w:between w:val="nil"/>
        </w:pBdr>
        <w:spacing w:line="264" w:lineRule="auto"/>
        <w:rPr>
          <w:rFonts w:ascii="Calibri" w:eastAsia="Roboto" w:hAnsi="Calibri" w:cs="Calibri"/>
          <w:b/>
          <w:sz w:val="24"/>
          <w:szCs w:val="24"/>
        </w:rPr>
      </w:pPr>
      <w:r w:rsidRPr="008D5D2D">
        <w:rPr>
          <w:rFonts w:ascii="Calibri" w:eastAsia="Roboto" w:hAnsi="Calibri" w:cs="Calibri"/>
          <w:b/>
          <w:sz w:val="24"/>
          <w:szCs w:val="24"/>
        </w:rPr>
        <w:t>O</w:t>
      </w:r>
      <w:r w:rsidR="00BB5F31">
        <w:rPr>
          <w:rFonts w:ascii="Calibri" w:eastAsia="Roboto" w:hAnsi="Calibri" w:cs="Calibri"/>
          <w:b/>
          <w:sz w:val="24"/>
          <w:szCs w:val="24"/>
        </w:rPr>
        <w:t xml:space="preserve">ur Interest in the Immigration: Skilled Work Visas Inquiry </w:t>
      </w:r>
    </w:p>
    <w:p w:rsidR="008D5D2D" w:rsidRPr="008D5D2D" w:rsidP="00BB5F31">
      <w:pPr>
        <w:spacing w:line="264" w:lineRule="auto"/>
        <w:rPr>
          <w:rFonts w:ascii="Calibri" w:hAnsi="Calibri" w:cs="Calibri"/>
          <w:bCs/>
          <w:sz w:val="24"/>
          <w:szCs w:val="24"/>
        </w:rPr>
      </w:pPr>
      <w:r w:rsidRPr="008D5D2D">
        <w:rPr>
          <w:rFonts w:ascii="Calibri" w:hAnsi="Calibri" w:cs="Calibri"/>
          <w:bCs/>
          <w:sz w:val="24"/>
          <w:szCs w:val="24"/>
        </w:rPr>
        <w:t xml:space="preserve">As an organisation that provides both immigration and employment legal advice to predominantly migrant workers in precarious work situations, including those in the Skilled Worker visa category, the purpose of this submission is to </w:t>
      </w:r>
      <w:r w:rsidRPr="008D5D2D">
        <w:rPr>
          <w:rFonts w:ascii="Calibri" w:hAnsi="Calibri" w:cs="Calibri"/>
          <w:bCs/>
          <w:sz w:val="24"/>
          <w:szCs w:val="24"/>
        </w:rPr>
        <w:t>highlight how</w:t>
      </w:r>
      <w:r w:rsidRPr="008D5D2D">
        <w:rPr>
          <w:rFonts w:ascii="Calibri" w:hAnsi="Calibri" w:cs="Calibri"/>
          <w:bCs/>
          <w:sz w:val="24"/>
          <w:szCs w:val="24"/>
        </w:rPr>
        <w:t xml:space="preserve"> the Skilled Worker visa suffers from systemic issues that make it vulnerable as a route to facilitate the labour exploitation of migrant workers.</w:t>
      </w:r>
    </w:p>
    <w:p w:rsidR="008D5D2D" w:rsidRPr="008D5D2D" w:rsidP="00BB5F31">
      <w:pPr>
        <w:spacing w:line="264" w:lineRule="auto"/>
        <w:rPr>
          <w:rFonts w:ascii="Calibri" w:hAnsi="Calibri" w:cs="Calibri"/>
          <w:sz w:val="24"/>
          <w:szCs w:val="24"/>
        </w:rPr>
      </w:pPr>
      <w:r w:rsidRPr="008D5D2D">
        <w:rPr>
          <w:rFonts w:ascii="Calibri" w:hAnsi="Calibri" w:cs="Calibri"/>
          <w:sz w:val="24"/>
          <w:szCs w:val="24"/>
        </w:rPr>
        <w:t>Executive Summary</w:t>
      </w:r>
    </w:p>
    <w:p w:rsidR="008D5D2D" w:rsidRPr="008D5D2D" w:rsidP="00BB5F31">
      <w:pPr>
        <w:pStyle w:val="ListParagraph"/>
        <w:numPr>
          <w:ilvl w:val="0"/>
          <w:numId w:val="1"/>
        </w:numPr>
        <w:spacing w:line="264" w:lineRule="auto"/>
        <w:rPr>
          <w:rFonts w:ascii="Calibri" w:hAnsi="Calibri" w:cs="Calibri"/>
          <w:sz w:val="24"/>
          <w:szCs w:val="24"/>
        </w:rPr>
      </w:pPr>
      <w:r w:rsidRPr="008D5D2D">
        <w:rPr>
          <w:rFonts w:ascii="Calibri" w:hAnsi="Calibri" w:cs="Calibri"/>
          <w:sz w:val="24"/>
          <w:szCs w:val="24"/>
        </w:rPr>
        <w:t>The Skilled Worker route is a manifestation of the UK’s work-migration system which is currently premised around the concept of sponsorship. This system gives sponsors, including abusive ones, a great deal of power over workers. Rogue employers are using this power imbalance to exploit workers and to coerce them into remaining in exploitative work situations. Poor oversight of this system by the Home Office has exacerbated the issue.</w:t>
      </w:r>
    </w:p>
    <w:p w:rsidR="008D5D2D" w:rsidRPr="008D5D2D" w:rsidP="00BB5F31">
      <w:pPr>
        <w:pStyle w:val="ListParagraph"/>
        <w:numPr>
          <w:ilvl w:val="0"/>
          <w:numId w:val="1"/>
        </w:numPr>
        <w:spacing w:line="264" w:lineRule="auto"/>
        <w:rPr>
          <w:rFonts w:ascii="Calibri" w:hAnsi="Calibri" w:cs="Calibri"/>
          <w:sz w:val="24"/>
          <w:szCs w:val="24"/>
        </w:rPr>
      </w:pPr>
      <w:r w:rsidRPr="008D5D2D">
        <w:rPr>
          <w:rFonts w:ascii="Calibri" w:hAnsi="Calibri" w:cs="Calibri"/>
          <w:sz w:val="24"/>
          <w:szCs w:val="24"/>
        </w:rPr>
        <w:t>Policy interventions by successive governments to deal with labour exploitation under the Skilled Worker route have had a limited punitive effect on individuals perpetuating abuse and have left wide protection gaps for workers. Ultimately, these interventions have failed to be effective because they have not addressed the power imbalance at the heart of employer-sponsorship as a whole.</w:t>
      </w:r>
    </w:p>
    <w:p w:rsidR="008D5D2D" w:rsidRPr="008D5D2D" w:rsidP="00BB5F31">
      <w:pPr>
        <w:pStyle w:val="ListParagraph"/>
        <w:numPr>
          <w:ilvl w:val="0"/>
          <w:numId w:val="1"/>
        </w:numPr>
        <w:spacing w:line="264" w:lineRule="auto"/>
        <w:rPr>
          <w:rFonts w:ascii="Calibri" w:hAnsi="Calibri" w:cs="Calibri"/>
          <w:sz w:val="24"/>
          <w:szCs w:val="24"/>
        </w:rPr>
      </w:pPr>
      <w:r w:rsidRPr="008D5D2D">
        <w:rPr>
          <w:rFonts w:ascii="Calibri" w:hAnsi="Calibri" w:cs="Calibri"/>
          <w:sz w:val="24"/>
          <w:szCs w:val="24"/>
        </w:rPr>
        <w:t>Sponsorship is inherently a problematic concept on which to design a work-migration system. Fundamentally, it inhibits workers’ ability to withdraw their labour from an individual employer and move elsewhere. By creating a large database of “accredited” employers, this system also sets the conditions of an ever-thriving information market, where intermediaries can charge extortionate fees to link workers with companies that may otherwise appear out of reach. Sponsorship thus not only produces exploitation for migrant workers but is also a highly exploitable system that criminals can use to perpetuate fraud and other forms of financial crime.</w:t>
      </w:r>
    </w:p>
    <w:p w:rsidR="008D5D2D" w:rsidRPr="008D5D2D" w:rsidP="00BB5F31">
      <w:pPr>
        <w:pStyle w:val="ListParagraph"/>
        <w:numPr>
          <w:ilvl w:val="0"/>
          <w:numId w:val="1"/>
        </w:numPr>
        <w:spacing w:line="264" w:lineRule="auto"/>
        <w:rPr>
          <w:rFonts w:ascii="Calibri" w:hAnsi="Calibri" w:cs="Calibri"/>
          <w:sz w:val="24"/>
          <w:szCs w:val="24"/>
        </w:rPr>
      </w:pPr>
      <w:r w:rsidRPr="008D5D2D">
        <w:rPr>
          <w:rFonts w:ascii="Calibri" w:hAnsi="Calibri" w:cs="Calibri"/>
          <w:sz w:val="24"/>
          <w:szCs w:val="24"/>
        </w:rPr>
        <w:t xml:space="preserve">The fundamental driver of exploitation is the power imbalance between workers and employers – which is exacerbated when employers are given the key to their staff’s immigration status. This is what immigration policy reform urgently needs to address. The approach that would most effectively safeguard migrant workers from the excesses of sponsor power would be one that removes employers from the visa grant process entirely and gives migrant workers the freedom to take their labour to the businesses that genuinely need and value them. This is, in effect, a scenario where sponsorship ends. </w:t>
      </w:r>
    </w:p>
    <w:p w:rsidR="008D5D2D" w:rsidRPr="008D5D2D" w:rsidP="00BB5F31">
      <w:pPr>
        <w:pStyle w:val="ListParagraph"/>
        <w:numPr>
          <w:ilvl w:val="0"/>
          <w:numId w:val="1"/>
        </w:numPr>
        <w:spacing w:line="264" w:lineRule="auto"/>
        <w:rPr>
          <w:rFonts w:ascii="Calibri" w:hAnsi="Calibri" w:cs="Calibri"/>
          <w:sz w:val="24"/>
          <w:szCs w:val="24"/>
        </w:rPr>
      </w:pPr>
      <w:r w:rsidRPr="008D5D2D">
        <w:rPr>
          <w:rFonts w:ascii="Calibri" w:hAnsi="Calibri" w:cs="Calibri"/>
          <w:sz w:val="24"/>
          <w:szCs w:val="24"/>
        </w:rPr>
        <w:t>If the government is committed to retaining a work migration system based on employer-sponsorship, it is vital that some changes are made to mitigate the system design risks and plug the gap in migrant worker safeguarding. We think there are three changes that the government could make that would have a tangible impact in preventing labour exploitation moving forward and safeguarding victims:</w:t>
      </w:r>
    </w:p>
    <w:p w:rsidR="008D5D2D" w:rsidRPr="008D5D2D" w:rsidP="00BB5F31">
      <w:pPr>
        <w:pStyle w:val="ListParagraph"/>
        <w:numPr>
          <w:ilvl w:val="1"/>
          <w:numId w:val="1"/>
        </w:numPr>
        <w:spacing w:line="264" w:lineRule="auto"/>
        <w:rPr>
          <w:rFonts w:ascii="Calibri" w:hAnsi="Calibri" w:cs="Calibri"/>
          <w:sz w:val="24"/>
          <w:szCs w:val="24"/>
        </w:rPr>
      </w:pPr>
      <w:r w:rsidRPr="008D5D2D">
        <w:rPr>
          <w:rFonts w:ascii="Calibri" w:hAnsi="Calibri" w:cs="Calibri"/>
          <w:sz w:val="24"/>
          <w:szCs w:val="24"/>
        </w:rPr>
        <w:t xml:space="preserve">Adopt a UK Workplace Justice visa for migrant victims of labour </w:t>
      </w:r>
      <w:r w:rsidRPr="008D5D2D">
        <w:rPr>
          <w:rFonts w:ascii="Calibri" w:hAnsi="Calibri" w:cs="Calibri"/>
          <w:sz w:val="24"/>
          <w:szCs w:val="24"/>
        </w:rPr>
        <w:t>exploitation;</w:t>
      </w:r>
    </w:p>
    <w:p w:rsidR="008D5D2D" w:rsidRPr="008D5D2D" w:rsidP="00BB5F31">
      <w:pPr>
        <w:pStyle w:val="ListParagraph"/>
        <w:numPr>
          <w:ilvl w:val="1"/>
          <w:numId w:val="1"/>
        </w:numPr>
        <w:spacing w:line="264" w:lineRule="auto"/>
        <w:rPr>
          <w:rFonts w:ascii="Calibri" w:hAnsi="Calibri" w:cs="Calibri"/>
          <w:sz w:val="24"/>
          <w:szCs w:val="24"/>
        </w:rPr>
      </w:pPr>
      <w:r w:rsidRPr="008D5D2D">
        <w:rPr>
          <w:rFonts w:ascii="Calibri" w:hAnsi="Calibri" w:cs="Calibri"/>
          <w:sz w:val="24"/>
          <w:szCs w:val="24"/>
        </w:rPr>
        <w:t>Give sponsored workers more time and means to find another sponsor; and</w:t>
      </w:r>
      <w:r w:rsidRPr="008D5D2D">
        <w:rPr>
          <w:rFonts w:ascii="Calibri" w:hAnsi="Calibri" w:cs="Calibri"/>
          <w:sz w:val="24"/>
          <w:szCs w:val="24"/>
        </w:rPr>
        <w:t xml:space="preserve"> i</w:t>
      </w:r>
      <w:r w:rsidRPr="008D5D2D">
        <w:rPr>
          <w:rFonts w:ascii="Calibri" w:hAnsi="Calibri" w:cs="Calibri"/>
          <w:sz w:val="24"/>
          <w:szCs w:val="24"/>
        </w:rPr>
        <w:t>ncrease penalties for employers who abuse sponsorship.</w:t>
      </w:r>
    </w:p>
    <w:p w:rsidR="008D5D2D" w:rsidRPr="008D5D2D" w:rsidP="00BB5F31">
      <w:pPr>
        <w:pStyle w:val="Heading1"/>
        <w:spacing w:before="0" w:after="0" w:line="264" w:lineRule="auto"/>
        <w:rPr>
          <w:rFonts w:ascii="Calibri" w:hAnsi="Calibri" w:cs="Calibri"/>
          <w:b/>
          <w:bCs/>
          <w:sz w:val="24"/>
          <w:szCs w:val="24"/>
        </w:rPr>
      </w:pPr>
      <w:bookmarkStart w:id="0" w:name="_Toc195187635"/>
      <w:r w:rsidRPr="008D5D2D">
        <w:rPr>
          <w:rFonts w:ascii="Calibri" w:hAnsi="Calibri" w:cs="Calibri"/>
          <w:b/>
          <w:bCs/>
          <w:sz w:val="24"/>
          <w:szCs w:val="24"/>
        </w:rPr>
        <w:t>Labour exploitation under the Skilled Worker visa route</w:t>
      </w:r>
      <w:bookmarkEnd w:id="0"/>
    </w:p>
    <w:p w:rsidR="008D5D2D" w:rsidRPr="008D5D2D" w:rsidP="00BB5F31">
      <w:pPr>
        <w:pStyle w:val="Heading2"/>
        <w:spacing w:before="0" w:after="0" w:line="264" w:lineRule="auto"/>
        <w:rPr>
          <w:rFonts w:ascii="Calibri" w:hAnsi="Calibri" w:cs="Calibri"/>
          <w:sz w:val="24"/>
          <w:szCs w:val="24"/>
          <w:u w:val="single"/>
        </w:rPr>
      </w:pPr>
      <w:bookmarkStart w:id="1" w:name="_Toc195187636"/>
      <w:r w:rsidRPr="008D5D2D">
        <w:rPr>
          <w:rFonts w:ascii="Calibri" w:hAnsi="Calibri" w:cs="Calibri"/>
          <w:sz w:val="24"/>
          <w:szCs w:val="24"/>
          <w:u w:val="single"/>
        </w:rPr>
        <w:t>Introduction</w:t>
      </w:r>
      <w:bookmarkEnd w:id="1"/>
    </w:p>
    <w:p w:rsidR="008D5D2D" w:rsidRPr="008D5D2D" w:rsidP="00BB5F31">
      <w:pPr>
        <w:pStyle w:val="ListParagraph"/>
        <w:numPr>
          <w:ilvl w:val="0"/>
          <w:numId w:val="2"/>
        </w:numPr>
        <w:spacing w:line="264" w:lineRule="auto"/>
        <w:rPr>
          <w:rFonts w:ascii="Calibri" w:hAnsi="Calibri" w:cs="Calibri"/>
          <w:sz w:val="24"/>
          <w:szCs w:val="24"/>
        </w:rPr>
      </w:pPr>
      <w:r w:rsidRPr="008D5D2D">
        <w:rPr>
          <w:rFonts w:ascii="Calibri" w:hAnsi="Calibri" w:cs="Calibri"/>
          <w:sz w:val="24"/>
          <w:szCs w:val="24"/>
        </w:rPr>
        <w:t>The Skilled Worker route is a manifestation of the UK’s work-migration system which is currently premised around the concept of sponsorship. That is, in most cases, a person wishing to come to the UK for work purposes is required to have a job offer from an employer licenced by the Home Office.</w:t>
      </w:r>
    </w:p>
    <w:p w:rsidR="008D5D2D" w:rsidRPr="008D5D2D" w:rsidP="00BB5F31">
      <w:pPr>
        <w:pStyle w:val="ListParagraph"/>
        <w:numPr>
          <w:ilvl w:val="0"/>
          <w:numId w:val="2"/>
        </w:numPr>
        <w:spacing w:line="264" w:lineRule="auto"/>
        <w:rPr>
          <w:rFonts w:ascii="Calibri" w:hAnsi="Calibri" w:cs="Calibri"/>
          <w:sz w:val="24"/>
          <w:szCs w:val="24"/>
        </w:rPr>
      </w:pPr>
      <w:r w:rsidRPr="008D5D2D">
        <w:rPr>
          <w:rFonts w:ascii="Calibri" w:hAnsi="Calibri" w:cs="Calibri"/>
          <w:sz w:val="24"/>
          <w:szCs w:val="24"/>
        </w:rPr>
        <w:t>Under this system, workers are “tied” to their sponsoring employer. People with these visas are only permitted to work full time for their sponsor, with an additional 20 hours of work permitted for another employer, provided they retain their existing sponsored employment. Their immigration status is also bound to a specific role. If an employer withdraws their sponsorship or if a sponsor loses their licence, workers officially have a maximum of just 60 days “grace period” from the point that they are notified their visa will be curtailed in which to find another job with another registered sponsor (or make a different immigration application in order to remain in the UK legally). They have to make and pay for a new application and obtain a new visa to continue their lawful stay in the UK, otherwise they are forced to leave the country to avoid becoming undocumented.</w:t>
      </w:r>
    </w:p>
    <w:p w:rsidR="008D5D2D" w:rsidRPr="008D5D2D" w:rsidP="00BB5F31">
      <w:pPr>
        <w:pStyle w:val="ListParagraph"/>
        <w:numPr>
          <w:ilvl w:val="0"/>
          <w:numId w:val="2"/>
        </w:numPr>
        <w:spacing w:line="264" w:lineRule="auto"/>
        <w:rPr>
          <w:rFonts w:ascii="Calibri" w:hAnsi="Calibri" w:cs="Calibri"/>
          <w:sz w:val="24"/>
          <w:szCs w:val="24"/>
        </w:rPr>
      </w:pPr>
      <w:r w:rsidRPr="008D5D2D">
        <w:rPr>
          <w:rFonts w:ascii="Calibri" w:hAnsi="Calibri" w:cs="Calibri"/>
          <w:b/>
          <w:bCs/>
          <w:sz w:val="24"/>
          <w:szCs w:val="24"/>
        </w:rPr>
        <w:t>This system gives sponsors, including abusive ones, a great deal of power over workers</w:t>
      </w:r>
      <w:r w:rsidRPr="008D5D2D">
        <w:rPr>
          <w:rFonts w:ascii="Calibri" w:hAnsi="Calibri" w:cs="Calibri"/>
          <w:sz w:val="24"/>
          <w:szCs w:val="24"/>
        </w:rPr>
        <w:t xml:space="preserve">. </w:t>
      </w:r>
      <w:r>
        <w:fldChar w:fldCharType="begin"/>
      </w:r>
      <w:r>
        <w:instrText xml:space="preserve"> HYPERLINK "https://www.workrightscentre.org/media/1367/final-systemic-drivers-of-migrant-worker-exploitation.pdf" </w:instrText>
      </w:r>
      <w:r>
        <w:fldChar w:fldCharType="separate"/>
      </w:r>
      <w:r w:rsidRPr="008D5D2D">
        <w:rPr>
          <w:rStyle w:val="Hyperlink"/>
          <w:rFonts w:ascii="Calibri" w:hAnsi="Calibri" w:cs="Calibri"/>
          <w:sz w:val="24"/>
          <w:szCs w:val="24"/>
        </w:rPr>
        <w:t>A substantial volume of research by charities, academics, and journalists has revealed</w:t>
      </w:r>
      <w:r>
        <w:fldChar w:fldCharType="end"/>
      </w:r>
      <w:r w:rsidRPr="008D5D2D">
        <w:rPr>
          <w:rFonts w:ascii="Calibri" w:hAnsi="Calibri" w:cs="Calibri"/>
          <w:sz w:val="24"/>
          <w:szCs w:val="24"/>
        </w:rPr>
        <w:t xml:space="preserve"> that some employers are using this power imbalance to exploit workers and to coerce them into remaining in exploitative work situations.</w:t>
      </w:r>
      <w:r>
        <w:rPr>
          <w:rFonts w:ascii="Calibri" w:hAnsi="Calibri" w:cs="Calibri"/>
          <w:sz w:val="24"/>
          <w:szCs w:val="24"/>
          <w:vertAlign w:val="superscript"/>
        </w:rPr>
        <w:endnoteReference w:id="2"/>
      </w:r>
      <w:r w:rsidRPr="008D5D2D">
        <w:rPr>
          <w:rFonts w:ascii="Calibri" w:hAnsi="Calibri" w:cs="Calibri"/>
          <w:sz w:val="24"/>
          <w:szCs w:val="24"/>
        </w:rPr>
        <w:t xml:space="preserve"> This is because rogue businesses know that they can threaten to withdraw workers’ sponsorship and place their immigration status in jeopardy if they dare to complain. The Gangmasters and Labour Abuse Authority (</w:t>
      </w:r>
      <w:r w:rsidRPr="008D5D2D">
        <w:rPr>
          <w:rFonts w:ascii="Calibri" w:hAnsi="Calibri" w:cs="Calibri"/>
          <w:sz w:val="24"/>
          <w:szCs w:val="24"/>
        </w:rPr>
        <w:t>GLAA</w:t>
      </w:r>
      <w:r w:rsidRPr="008D5D2D">
        <w:rPr>
          <w:rFonts w:ascii="Calibri" w:hAnsi="Calibri" w:cs="Calibri"/>
          <w:sz w:val="24"/>
          <w:szCs w:val="24"/>
        </w:rPr>
        <w:t>), the UK’s foremost intelligence and investigative agency for forced labour, suggests that sponsorship is currently the most common vulnerability factor among potential victims of forced labour in the UK.</w:t>
      </w:r>
      <w:r>
        <w:rPr>
          <w:rFonts w:ascii="Calibri" w:hAnsi="Calibri" w:cs="Calibri"/>
          <w:sz w:val="24"/>
          <w:szCs w:val="24"/>
          <w:vertAlign w:val="superscript"/>
        </w:rPr>
        <w:endnoteReference w:id="3"/>
      </w:r>
    </w:p>
    <w:p w:rsidR="008D5D2D" w:rsidRPr="008D5D2D" w:rsidP="00BB5F31">
      <w:pPr>
        <w:pStyle w:val="ListParagraph"/>
        <w:numPr>
          <w:ilvl w:val="0"/>
          <w:numId w:val="2"/>
        </w:numPr>
        <w:spacing w:line="264" w:lineRule="auto"/>
        <w:rPr>
          <w:rFonts w:ascii="Calibri" w:hAnsi="Calibri" w:cs="Calibri"/>
          <w:sz w:val="24"/>
          <w:szCs w:val="24"/>
        </w:rPr>
      </w:pPr>
      <w:r w:rsidRPr="008D5D2D">
        <w:rPr>
          <w:rFonts w:ascii="Calibri" w:hAnsi="Calibri" w:cs="Calibri"/>
          <w:sz w:val="24"/>
          <w:szCs w:val="24"/>
        </w:rPr>
        <w:t>Though workers can in theory change their employer, in practice this is very difficult:</w:t>
      </w:r>
    </w:p>
    <w:p w:rsidR="008D5D2D" w:rsidRPr="008D5D2D" w:rsidP="00BB5F31">
      <w:pPr>
        <w:numPr>
          <w:ilvl w:val="1"/>
          <w:numId w:val="2"/>
        </w:numPr>
        <w:spacing w:line="264" w:lineRule="auto"/>
        <w:rPr>
          <w:rFonts w:ascii="Calibri" w:hAnsi="Calibri" w:cs="Calibri"/>
          <w:sz w:val="24"/>
          <w:szCs w:val="24"/>
        </w:rPr>
      </w:pPr>
      <w:r w:rsidRPr="008D5D2D">
        <w:rPr>
          <w:rFonts w:ascii="Calibri" w:hAnsi="Calibri" w:cs="Calibri"/>
          <w:sz w:val="24"/>
          <w:szCs w:val="24"/>
        </w:rPr>
        <w:t>60 days is often not long enough for workers to secure alternative employment. Our recent research found that less than half of Health and Care workers who tried to find a new sponsor managed to do so, and only a very small minority managed this within the 60-day window.</w:t>
      </w:r>
      <w:r>
        <w:rPr>
          <w:rStyle w:val="EndnoteReference"/>
          <w:rFonts w:ascii="Calibri" w:hAnsi="Calibri" w:cs="Calibri"/>
          <w:sz w:val="24"/>
          <w:szCs w:val="24"/>
        </w:rPr>
        <w:endnoteReference w:id="4"/>
      </w:r>
    </w:p>
    <w:p w:rsidR="008D5D2D" w:rsidRPr="008D5D2D" w:rsidP="00BB5F31">
      <w:pPr>
        <w:numPr>
          <w:ilvl w:val="1"/>
          <w:numId w:val="2"/>
        </w:numPr>
        <w:spacing w:line="264" w:lineRule="auto"/>
        <w:rPr>
          <w:rFonts w:ascii="Calibri" w:hAnsi="Calibri" w:cs="Calibri"/>
          <w:sz w:val="24"/>
          <w:szCs w:val="24"/>
        </w:rPr>
      </w:pPr>
      <w:r w:rsidRPr="008D5D2D">
        <w:rPr>
          <w:rFonts w:ascii="Calibri" w:hAnsi="Calibri" w:cs="Calibri"/>
          <w:sz w:val="24"/>
          <w:szCs w:val="24"/>
        </w:rPr>
        <w:t xml:space="preserve">There is no official central register of sponsors that workers can filter by industry, location or available vacancies, meaning workers can only “hit and hope” that they will find another employer to sponsor them. </w:t>
      </w:r>
    </w:p>
    <w:p w:rsidR="008D5D2D" w:rsidRPr="008D5D2D" w:rsidP="00BB5F31">
      <w:pPr>
        <w:numPr>
          <w:ilvl w:val="1"/>
          <w:numId w:val="2"/>
        </w:numPr>
        <w:spacing w:line="264" w:lineRule="auto"/>
        <w:rPr>
          <w:rFonts w:ascii="Calibri" w:hAnsi="Calibri" w:cs="Calibri"/>
          <w:sz w:val="24"/>
          <w:szCs w:val="24"/>
        </w:rPr>
      </w:pPr>
      <w:r w:rsidRPr="008D5D2D">
        <w:rPr>
          <w:rFonts w:ascii="Calibri" w:hAnsi="Calibri" w:cs="Calibri"/>
          <w:sz w:val="24"/>
          <w:szCs w:val="24"/>
        </w:rPr>
        <w:t>Workers have No Recourse to Public Funds - this means they cannot access state benefits and have no financial safety net during this period.</w:t>
      </w:r>
      <w:r>
        <w:rPr>
          <w:rFonts w:ascii="Calibri" w:hAnsi="Calibri" w:cs="Calibri"/>
          <w:sz w:val="24"/>
          <w:szCs w:val="24"/>
          <w:vertAlign w:val="superscript"/>
        </w:rPr>
        <w:endnoteReference w:id="5"/>
      </w:r>
      <w:r w:rsidRPr="008D5D2D">
        <w:rPr>
          <w:rFonts w:ascii="Calibri" w:hAnsi="Calibri" w:cs="Calibri"/>
          <w:sz w:val="24"/>
          <w:szCs w:val="24"/>
        </w:rPr>
        <w:t xml:space="preserve"> The effect of this is worsened if, as has been commonly reported, workers have been tricked into paying illicit recruitment fees by overseas agents, sometimes running themselves into tens of thousands of pounds of debt.</w:t>
      </w:r>
      <w:r>
        <w:rPr>
          <w:rFonts w:ascii="Calibri" w:hAnsi="Calibri" w:cs="Calibri"/>
          <w:sz w:val="24"/>
          <w:szCs w:val="24"/>
          <w:vertAlign w:val="superscript"/>
        </w:rPr>
        <w:endnoteReference w:id="6"/>
      </w:r>
    </w:p>
    <w:p w:rsidR="008D5D2D" w:rsidRPr="008D5D2D" w:rsidP="00BB5F31">
      <w:pPr>
        <w:numPr>
          <w:ilvl w:val="1"/>
          <w:numId w:val="2"/>
        </w:numPr>
        <w:spacing w:line="264" w:lineRule="auto"/>
        <w:rPr>
          <w:rFonts w:ascii="Calibri" w:hAnsi="Calibri" w:cs="Calibri"/>
          <w:sz w:val="24"/>
          <w:szCs w:val="24"/>
        </w:rPr>
      </w:pPr>
      <w:r w:rsidRPr="008D5D2D">
        <w:rPr>
          <w:rFonts w:ascii="Calibri" w:hAnsi="Calibri" w:cs="Calibri"/>
          <w:sz w:val="24"/>
          <w:szCs w:val="24"/>
        </w:rPr>
        <w:t>Our frontline team have observed other means to entrap workers, including existing sponsors failing to provide accurate work references for prospective jobs, if any, or imposing unreasonable repayment clauses that would saddle workers with thousands of pounds of debt upon leaving their employment.</w:t>
      </w:r>
    </w:p>
    <w:p w:rsidR="008D5D2D" w:rsidRPr="008D5D2D" w:rsidP="00BB5F31">
      <w:pPr>
        <w:numPr>
          <w:ilvl w:val="1"/>
          <w:numId w:val="2"/>
        </w:numPr>
        <w:spacing w:line="264" w:lineRule="auto"/>
        <w:rPr>
          <w:rFonts w:ascii="Calibri" w:hAnsi="Calibri" w:cs="Calibri"/>
          <w:sz w:val="24"/>
          <w:szCs w:val="24"/>
        </w:rPr>
      </w:pPr>
      <w:r w:rsidRPr="008D5D2D">
        <w:rPr>
          <w:rFonts w:ascii="Calibri" w:hAnsi="Calibri" w:cs="Calibri"/>
          <w:sz w:val="24"/>
          <w:szCs w:val="24"/>
        </w:rPr>
        <w:t>If workers get past these barriers, they must submit a new visa application for themselves and any dependants, costing thousands of pounds.</w:t>
      </w:r>
      <w:r>
        <w:rPr>
          <w:rStyle w:val="FootnoteReference"/>
          <w:rFonts w:ascii="Calibri" w:hAnsi="Calibri" w:cs="Calibri"/>
          <w:sz w:val="24"/>
          <w:szCs w:val="24"/>
        </w:rPr>
        <w:footnoteReference w:id="2"/>
      </w:r>
    </w:p>
    <w:p w:rsidR="008D5D2D" w:rsidRPr="008D5D2D" w:rsidP="00BB5F31">
      <w:pPr>
        <w:pStyle w:val="ListParagraph"/>
        <w:numPr>
          <w:ilvl w:val="0"/>
          <w:numId w:val="2"/>
        </w:numPr>
        <w:spacing w:line="264" w:lineRule="auto"/>
        <w:rPr>
          <w:rFonts w:ascii="Calibri" w:hAnsi="Calibri" w:cs="Calibri"/>
          <w:sz w:val="24"/>
          <w:szCs w:val="24"/>
        </w:rPr>
      </w:pPr>
      <w:r w:rsidRPr="008D5D2D">
        <w:rPr>
          <w:rFonts w:ascii="Calibri" w:hAnsi="Calibri" w:cs="Calibri"/>
          <w:b/>
          <w:bCs/>
          <w:sz w:val="24"/>
          <w:szCs w:val="24"/>
        </w:rPr>
        <w:t>As the National Audit Office recently set out in its review of the Home Office’s administration of the Skilled Worker route, poor oversight and governance have been making matters worse for workers</w:t>
      </w:r>
      <w:r w:rsidRPr="008D5D2D">
        <w:rPr>
          <w:rFonts w:ascii="Calibri" w:hAnsi="Calibri" w:cs="Calibri"/>
          <w:sz w:val="24"/>
          <w:szCs w:val="24"/>
        </w:rPr>
        <w:t>.</w:t>
      </w:r>
      <w:r w:rsidRPr="008D5D2D">
        <w:rPr>
          <w:rFonts w:ascii="Calibri" w:hAnsi="Calibri" w:eastAsiaTheme="minorEastAsia" w:cs="Calibri"/>
          <w:sz w:val="24"/>
          <w:szCs w:val="24"/>
        </w:rPr>
        <w:t xml:space="preserve"> </w:t>
      </w:r>
      <w:r w:rsidRPr="008D5D2D">
        <w:rPr>
          <w:rFonts w:ascii="Calibri" w:hAnsi="Calibri" w:cs="Calibri"/>
          <w:sz w:val="24"/>
          <w:szCs w:val="24"/>
        </w:rPr>
        <w:t xml:space="preserve">A report by the outgoing </w:t>
      </w:r>
      <w:r w:rsidRPr="008D5D2D">
        <w:rPr>
          <w:rFonts w:ascii="Calibri" w:hAnsi="Calibri" w:cs="Calibri"/>
          <w:sz w:val="24"/>
          <w:szCs w:val="24"/>
        </w:rPr>
        <w:t>ICIBI</w:t>
      </w:r>
      <w:r w:rsidRPr="008D5D2D">
        <w:rPr>
          <w:rFonts w:ascii="Calibri" w:hAnsi="Calibri" w:cs="Calibri"/>
          <w:sz w:val="24"/>
          <w:szCs w:val="24"/>
        </w:rPr>
        <w:t xml:space="preserve"> published in March 2024, found that the Home Office only had one sponsor compliance officer for every 1,600 licenced sponsors.</w:t>
      </w:r>
      <w:r>
        <w:rPr>
          <w:rFonts w:ascii="Calibri" w:hAnsi="Calibri" w:cs="Calibri"/>
          <w:sz w:val="24"/>
          <w:szCs w:val="24"/>
          <w:vertAlign w:val="superscript"/>
        </w:rPr>
        <w:endnoteReference w:id="7"/>
      </w:r>
      <w:r w:rsidRPr="008D5D2D">
        <w:rPr>
          <w:rFonts w:ascii="Calibri" w:hAnsi="Calibri" w:cs="Calibri"/>
          <w:sz w:val="24"/>
          <w:szCs w:val="24"/>
        </w:rPr>
        <w:t xml:space="preserve"> Worryingly, senior Home Office staff told the Inspector’s team that when prospective sponsors applied for their licences, Home Office guidance was not stringent enough to allow for applications to be refused where concerns had existed, and consequently the refusal rate for sponsor licence applications made by organisations from the “Human Health and Social Work Activities” sector was only 1.5%, in spite of evidence of widespread abuse.</w:t>
      </w:r>
      <w:r>
        <w:rPr>
          <w:rFonts w:ascii="Calibri" w:hAnsi="Calibri" w:cs="Calibri"/>
          <w:sz w:val="24"/>
          <w:szCs w:val="24"/>
          <w:vertAlign w:val="superscript"/>
        </w:rPr>
        <w:endnoteReference w:id="8"/>
      </w:r>
      <w:r w:rsidRPr="008D5D2D">
        <w:rPr>
          <w:rFonts w:ascii="Calibri" w:hAnsi="Calibri" w:cs="Calibri"/>
          <w:sz w:val="24"/>
          <w:szCs w:val="24"/>
        </w:rPr>
        <w:t xml:space="preserve"> The report noted other examples of serious failures, including licences being given out to imposter employers, and “16 pages worth” of sponsors all using the same registered address.</w:t>
      </w:r>
      <w:r>
        <w:rPr>
          <w:rFonts w:ascii="Calibri" w:hAnsi="Calibri" w:cs="Calibri"/>
          <w:sz w:val="24"/>
          <w:szCs w:val="24"/>
          <w:vertAlign w:val="superscript"/>
        </w:rPr>
        <w:endnoteReference w:id="9"/>
      </w:r>
      <w:r w:rsidRPr="008D5D2D">
        <w:rPr>
          <w:rFonts w:ascii="Calibri" w:hAnsi="Calibri" w:cs="Calibri"/>
          <w:sz w:val="24"/>
          <w:szCs w:val="24"/>
        </w:rPr>
        <w:t xml:space="preserve"> </w:t>
      </w:r>
    </w:p>
    <w:p w:rsidR="008D5D2D" w:rsidRPr="008D5D2D" w:rsidP="00BB5F31">
      <w:pPr>
        <w:pStyle w:val="ListParagraph"/>
        <w:numPr>
          <w:ilvl w:val="0"/>
          <w:numId w:val="2"/>
        </w:numPr>
        <w:spacing w:line="264" w:lineRule="auto"/>
        <w:rPr>
          <w:rFonts w:ascii="Calibri" w:hAnsi="Calibri" w:cs="Calibri"/>
          <w:b/>
          <w:bCs/>
          <w:sz w:val="24"/>
          <w:szCs w:val="24"/>
        </w:rPr>
      </w:pPr>
      <w:r w:rsidRPr="008D5D2D">
        <w:rPr>
          <w:rFonts w:ascii="Calibri" w:hAnsi="Calibri" w:cs="Calibri"/>
          <w:b/>
          <w:bCs/>
          <w:sz w:val="24"/>
          <w:szCs w:val="24"/>
        </w:rPr>
        <w:t xml:space="preserve">The scale of exploitation that has manifested under this system now amounts to a national crisis. </w:t>
      </w:r>
      <w:r w:rsidRPr="008D5D2D">
        <w:rPr>
          <w:rFonts w:ascii="Calibri" w:hAnsi="Calibri" w:cs="Calibri"/>
          <w:sz w:val="24"/>
          <w:szCs w:val="24"/>
        </w:rPr>
        <w:t>In the social care context alone, the Home Office recently confirmed that between July 2022 and December 2024, the government had revoked more than 470 sponsor licences in the care sector to clamp down on abuse and exploitation. More than 39,000 workers had been associated with these sponsors since October 2020.</w:t>
      </w:r>
      <w:r>
        <w:rPr>
          <w:rStyle w:val="EndnoteReference"/>
          <w:rFonts w:ascii="Calibri" w:hAnsi="Calibri" w:cs="Calibri"/>
          <w:sz w:val="24"/>
          <w:szCs w:val="24"/>
        </w:rPr>
        <w:endnoteReference w:id="10"/>
      </w:r>
      <w:r w:rsidRPr="008D5D2D">
        <w:rPr>
          <w:rFonts w:ascii="Calibri" w:hAnsi="Calibri" w:cs="Calibri"/>
          <w:sz w:val="24"/>
          <w:szCs w:val="24"/>
        </w:rPr>
        <w:t xml:space="preserve"> The true effects of the Home Office’s revocation action are also likely to be much higher than the 39,000 figure that has been provided by the government, considering that many workers in the social care sector arrived </w:t>
      </w:r>
      <w:r w:rsidRPr="008D5D2D">
        <w:rPr>
          <w:rFonts w:ascii="Calibri" w:hAnsi="Calibri" w:cs="Calibri"/>
          <w:sz w:val="24"/>
          <w:szCs w:val="24"/>
        </w:rPr>
        <w:t>to</w:t>
      </w:r>
      <w:r w:rsidRPr="008D5D2D">
        <w:rPr>
          <w:rFonts w:ascii="Calibri" w:hAnsi="Calibri" w:cs="Calibri"/>
          <w:sz w:val="24"/>
          <w:szCs w:val="24"/>
        </w:rPr>
        <w:t xml:space="preserve"> the UK with dependant family members, who will also be affected. For example, around 120,000 family members of migrant care workers received visas in 2023, joining the roughly 100,000 main applicants on the scheme in that year. The overall cohort of affected individuals is therefore likely to be many thousands higher than the figure of 39,000. </w:t>
      </w:r>
      <w:r w:rsidRPr="008D5D2D">
        <w:rPr>
          <w:rFonts w:ascii="Calibri" w:hAnsi="Calibri" w:cs="Calibri"/>
          <w:b/>
          <w:bCs/>
          <w:sz w:val="24"/>
          <w:szCs w:val="24"/>
        </w:rPr>
        <w:t>Our concern, as already laid out to the Secondary Legislation Scrutiny Committee, is that this issue has now spiralled into a national crisis where tens of thousands of migrant workers and their dependants who recently arrived in the UK on legitimate grounds are at risk of losing their immigration status, experiencing homelessness and ultimately destitution. Indeed, for many of the individuals our charity supports, this has already materialised.</w:t>
      </w:r>
    </w:p>
    <w:p w:rsidR="008D5D2D" w:rsidRPr="008D5D2D" w:rsidP="00BB5F31">
      <w:pPr>
        <w:pStyle w:val="Heading2"/>
        <w:spacing w:before="0" w:after="0" w:line="264" w:lineRule="auto"/>
        <w:rPr>
          <w:rFonts w:ascii="Calibri" w:hAnsi="Calibri" w:cs="Calibri"/>
          <w:sz w:val="24"/>
          <w:szCs w:val="24"/>
          <w:u w:val="single"/>
        </w:rPr>
      </w:pPr>
      <w:bookmarkStart w:id="2" w:name="_Toc195187637"/>
      <w:r w:rsidRPr="008D5D2D">
        <w:rPr>
          <w:rFonts w:ascii="Calibri" w:hAnsi="Calibri" w:cs="Calibri"/>
          <w:sz w:val="24"/>
          <w:szCs w:val="24"/>
          <w:u w:val="single"/>
        </w:rPr>
        <w:t>Why have recent policy interventions failed to prevent exploitation?</w:t>
      </w:r>
      <w:bookmarkEnd w:id="2"/>
    </w:p>
    <w:p w:rsidR="008D5D2D" w:rsidRPr="008D5D2D" w:rsidP="00BB5F31">
      <w:pPr>
        <w:pStyle w:val="ListParagraph"/>
        <w:numPr>
          <w:ilvl w:val="0"/>
          <w:numId w:val="2"/>
        </w:numPr>
        <w:spacing w:line="264" w:lineRule="auto"/>
        <w:rPr>
          <w:rFonts w:ascii="Calibri" w:hAnsi="Calibri" w:cs="Calibri"/>
          <w:sz w:val="24"/>
          <w:szCs w:val="24"/>
        </w:rPr>
      </w:pPr>
      <w:r w:rsidRPr="008D5D2D">
        <w:rPr>
          <w:rFonts w:ascii="Calibri" w:hAnsi="Calibri" w:cs="Calibri"/>
          <w:sz w:val="24"/>
          <w:szCs w:val="24"/>
        </w:rPr>
        <w:t>In response to evidence of exploitation under the sponsorship system, the UK government has adopted several policy proposals. Some of these have been directly aimed at, or have been launched as, a reaction to well-documented allegations of migrant exploitation in the adult social care sector.</w:t>
      </w:r>
      <w:r>
        <w:rPr>
          <w:rStyle w:val="EndnoteReference"/>
          <w:rFonts w:ascii="Calibri" w:hAnsi="Calibri" w:cs="Calibri"/>
          <w:sz w:val="24"/>
          <w:szCs w:val="24"/>
        </w:rPr>
        <w:endnoteReference w:id="11"/>
      </w:r>
      <w:r w:rsidRPr="008D5D2D">
        <w:rPr>
          <w:rFonts w:ascii="Calibri" w:hAnsi="Calibri" w:cs="Calibri"/>
          <w:sz w:val="24"/>
          <w:szCs w:val="24"/>
        </w:rPr>
        <w:t xml:space="preserve"> These include:</w:t>
      </w:r>
    </w:p>
    <w:p w:rsidR="008D5D2D" w:rsidRPr="008D5D2D" w:rsidP="00BB5F31">
      <w:pPr>
        <w:pStyle w:val="ListParagraph"/>
        <w:numPr>
          <w:ilvl w:val="1"/>
          <w:numId w:val="2"/>
        </w:numPr>
        <w:spacing w:line="264" w:lineRule="auto"/>
        <w:rPr>
          <w:rFonts w:ascii="Calibri" w:hAnsi="Calibri" w:cs="Calibri"/>
          <w:sz w:val="24"/>
          <w:szCs w:val="24"/>
        </w:rPr>
      </w:pPr>
      <w:r w:rsidRPr="008D5D2D">
        <w:rPr>
          <w:rFonts w:ascii="Calibri" w:hAnsi="Calibri" w:cs="Calibri"/>
          <w:b/>
          <w:bCs/>
          <w:sz w:val="24"/>
          <w:szCs w:val="24"/>
        </w:rPr>
        <w:t xml:space="preserve">Requiring care provider sponsors to be regulated by the Care Quality Commission (CQC). </w:t>
      </w:r>
      <w:r w:rsidRPr="008D5D2D">
        <w:rPr>
          <w:rFonts w:ascii="Calibri" w:hAnsi="Calibri" w:cs="Calibri"/>
          <w:sz w:val="24"/>
          <w:szCs w:val="24"/>
        </w:rPr>
        <w:t>In December 2023 the Conservative government announced that care providers in England would only be able to sponsor migrant workers if they were undertaking activities regulated by the CQC.</w:t>
      </w:r>
      <w:r>
        <w:rPr>
          <w:rFonts w:ascii="Calibri" w:hAnsi="Calibri" w:cs="Calibri"/>
          <w:sz w:val="24"/>
          <w:szCs w:val="24"/>
          <w:vertAlign w:val="superscript"/>
        </w:rPr>
        <w:endnoteReference w:id="12"/>
      </w:r>
    </w:p>
    <w:p w:rsidR="008D5D2D" w:rsidRPr="008D5D2D" w:rsidP="00BB5F31">
      <w:pPr>
        <w:pStyle w:val="ListParagraph"/>
        <w:numPr>
          <w:ilvl w:val="1"/>
          <w:numId w:val="2"/>
        </w:numPr>
        <w:spacing w:line="264" w:lineRule="auto"/>
        <w:rPr>
          <w:rFonts w:ascii="Calibri" w:hAnsi="Calibri" w:cs="Calibri"/>
          <w:sz w:val="24"/>
          <w:szCs w:val="24"/>
        </w:rPr>
      </w:pPr>
      <w:r w:rsidRPr="008D5D2D">
        <w:rPr>
          <w:rFonts w:ascii="Calibri" w:hAnsi="Calibri" w:cs="Calibri"/>
          <w:b/>
          <w:bCs/>
          <w:sz w:val="24"/>
          <w:szCs w:val="24"/>
        </w:rPr>
        <w:t xml:space="preserve">A ‘rematching’ programme to help exploited workers continue their employment in the UK. </w:t>
      </w:r>
      <w:r w:rsidRPr="008D5D2D">
        <w:rPr>
          <w:rFonts w:ascii="Calibri" w:hAnsi="Calibri" w:cs="Calibri"/>
          <w:sz w:val="24"/>
          <w:szCs w:val="24"/>
        </w:rPr>
        <w:t>The government’s international recruitment fund (£15m) for the adult social care sector was repurposed in 2024 so that regional and sub regional partners could deliver “activity which prevents and responds to exploitative employment practices involved with international recruitment of care staff in their regions…”. While the operational details of the programme vary by regional partnership, part of this response includes a rematching programme to help migrants impacted by sponsor licence revocations to find another sponsored role in the care sector.</w:t>
      </w:r>
      <w:r>
        <w:rPr>
          <w:rFonts w:ascii="Calibri" w:hAnsi="Calibri" w:cs="Calibri"/>
          <w:sz w:val="24"/>
          <w:szCs w:val="24"/>
          <w:vertAlign w:val="superscript"/>
        </w:rPr>
        <w:endnoteReference w:id="13"/>
      </w:r>
    </w:p>
    <w:p w:rsidR="008D5D2D" w:rsidRPr="008D5D2D" w:rsidP="00BB5F31">
      <w:pPr>
        <w:pStyle w:val="ListParagraph"/>
        <w:numPr>
          <w:ilvl w:val="1"/>
          <w:numId w:val="2"/>
        </w:numPr>
        <w:spacing w:line="264" w:lineRule="auto"/>
        <w:rPr>
          <w:rFonts w:ascii="Calibri" w:hAnsi="Calibri" w:cs="Calibri"/>
          <w:sz w:val="24"/>
          <w:szCs w:val="24"/>
        </w:rPr>
      </w:pPr>
      <w:r w:rsidRPr="008D5D2D">
        <w:rPr>
          <w:rFonts w:ascii="Calibri" w:hAnsi="Calibri" w:cs="Calibri"/>
          <w:b/>
          <w:bCs/>
          <w:sz w:val="24"/>
          <w:szCs w:val="24"/>
        </w:rPr>
        <w:t xml:space="preserve">Increased scrutiny at licensing stage. </w:t>
      </w:r>
      <w:r w:rsidRPr="008D5D2D">
        <w:rPr>
          <w:rFonts w:ascii="Calibri" w:hAnsi="Calibri" w:cs="Calibri"/>
          <w:sz w:val="24"/>
          <w:szCs w:val="24"/>
        </w:rPr>
        <w:t xml:space="preserve">The Home Office accepted the </w:t>
      </w:r>
      <w:r w:rsidRPr="008D5D2D">
        <w:rPr>
          <w:rFonts w:ascii="Calibri" w:hAnsi="Calibri" w:cs="Calibri"/>
          <w:sz w:val="24"/>
          <w:szCs w:val="24"/>
        </w:rPr>
        <w:t>ICIBI’s</w:t>
      </w:r>
      <w:r w:rsidRPr="008D5D2D">
        <w:rPr>
          <w:rFonts w:ascii="Calibri" w:hAnsi="Calibri" w:cs="Calibri"/>
          <w:sz w:val="24"/>
          <w:szCs w:val="24"/>
        </w:rPr>
        <w:t xml:space="preserve"> recommendation to review the sponsor licensing application and decision making </w:t>
      </w:r>
      <w:r w:rsidRPr="008D5D2D">
        <w:rPr>
          <w:rFonts w:ascii="Calibri" w:hAnsi="Calibri" w:cs="Calibri"/>
          <w:sz w:val="24"/>
          <w:szCs w:val="24"/>
        </w:rPr>
        <w:t>process, and</w:t>
      </w:r>
      <w:r w:rsidRPr="008D5D2D">
        <w:rPr>
          <w:rFonts w:ascii="Calibri" w:hAnsi="Calibri" w:cs="Calibri"/>
          <w:sz w:val="24"/>
          <w:szCs w:val="24"/>
        </w:rPr>
        <w:t xml:space="preserve"> learn from the characteristics of poor licensing decisions and the resulting problems to inform future decision making. This was followed by a significant drop in licences granted to employers every quarter, from a peak of 13,800 at the beginning of 2024, to just over 9,000 by the end of the year.</w:t>
      </w:r>
      <w:r>
        <w:rPr>
          <w:rStyle w:val="EndnoteReference"/>
          <w:rFonts w:ascii="Calibri" w:hAnsi="Calibri" w:cs="Calibri"/>
          <w:sz w:val="24"/>
          <w:szCs w:val="24"/>
        </w:rPr>
        <w:endnoteReference w:id="14"/>
      </w:r>
    </w:p>
    <w:p w:rsidR="008D5D2D" w:rsidRPr="008D5D2D" w:rsidP="00BB5F31">
      <w:pPr>
        <w:pStyle w:val="ListParagraph"/>
        <w:numPr>
          <w:ilvl w:val="1"/>
          <w:numId w:val="2"/>
        </w:numPr>
        <w:spacing w:line="264" w:lineRule="auto"/>
        <w:rPr>
          <w:rFonts w:ascii="Calibri" w:hAnsi="Calibri" w:cs="Calibri"/>
          <w:sz w:val="24"/>
          <w:szCs w:val="24"/>
        </w:rPr>
      </w:pPr>
      <w:r w:rsidRPr="008D5D2D">
        <w:rPr>
          <w:rFonts w:ascii="Calibri" w:hAnsi="Calibri" w:cs="Calibri"/>
          <w:b/>
          <w:bCs/>
          <w:sz w:val="24"/>
          <w:szCs w:val="24"/>
        </w:rPr>
        <w:t>Increased sponsored enforcement activities.</w:t>
      </w:r>
      <w:r w:rsidRPr="008D5D2D">
        <w:rPr>
          <w:rFonts w:ascii="Calibri" w:hAnsi="Calibri" w:cs="Calibri"/>
          <w:sz w:val="24"/>
          <w:szCs w:val="24"/>
        </w:rPr>
        <w:t xml:space="preserve"> In addition to stricter licensing requirements, there has been an evident increase in enforcement actions against sponsors, from a few dozen licence suspensions and revocations a quarter at the beginning of 2023, to hundreds in 2024. Many of those were in the care sector – though not all, indicating that non-compliance is clearly not a sectoral issue, but a systemic one. Between July 2022 and December 2024, the government revoked more than 470 sponsor licenses in the care sector.</w:t>
      </w:r>
      <w:r>
        <w:rPr>
          <w:rStyle w:val="EndnoteReference"/>
          <w:rFonts w:ascii="Calibri" w:hAnsi="Calibri" w:cs="Calibri"/>
          <w:sz w:val="24"/>
          <w:szCs w:val="24"/>
        </w:rPr>
        <w:endnoteReference w:id="15"/>
      </w:r>
      <w:r w:rsidRPr="008D5D2D">
        <w:rPr>
          <w:rFonts w:ascii="Calibri" w:hAnsi="Calibri" w:cs="Calibri"/>
          <w:sz w:val="24"/>
          <w:szCs w:val="24"/>
        </w:rPr>
        <w:t xml:space="preserve"> This comprises just over one third (35%) of all Skilled Worker licence revocations overall in that time period (see Figure 2).</w:t>
      </w:r>
    </w:p>
    <w:p w:rsidR="008D5D2D" w:rsidRPr="008D5D2D" w:rsidP="00BB5F31">
      <w:pPr>
        <w:pStyle w:val="ListParagraph"/>
        <w:numPr>
          <w:ilvl w:val="1"/>
          <w:numId w:val="2"/>
        </w:numPr>
        <w:spacing w:line="264" w:lineRule="auto"/>
        <w:rPr>
          <w:rFonts w:ascii="Calibri" w:hAnsi="Calibri" w:cs="Calibri"/>
          <w:sz w:val="24"/>
          <w:szCs w:val="24"/>
        </w:rPr>
      </w:pPr>
      <w:r w:rsidRPr="008D5D2D">
        <w:rPr>
          <w:rFonts w:ascii="Calibri" w:hAnsi="Calibri" w:cs="Calibri"/>
          <w:b/>
          <w:bCs/>
          <w:sz w:val="24"/>
          <w:szCs w:val="24"/>
        </w:rPr>
        <w:t xml:space="preserve">Increasing sanctions on employers for non-compliance. </w:t>
      </w:r>
      <w:r w:rsidRPr="008D5D2D">
        <w:rPr>
          <w:rFonts w:ascii="Calibri" w:hAnsi="Calibri" w:cs="Calibri"/>
          <w:sz w:val="24"/>
          <w:szCs w:val="24"/>
        </w:rPr>
        <w:t>In November 2024, the government announced that employers who are found to be repeatedly breaching visa and/or employment rules would be banned from hiring migrant workers for at least two years, a marked increase from the previous maximum of 12 months.</w:t>
      </w:r>
      <w:r>
        <w:rPr>
          <w:rStyle w:val="EndnoteReference"/>
          <w:rFonts w:ascii="Calibri" w:hAnsi="Calibri" w:cs="Calibri"/>
          <w:sz w:val="24"/>
          <w:szCs w:val="24"/>
        </w:rPr>
        <w:endnoteReference w:id="16"/>
      </w:r>
      <w:r w:rsidRPr="008D5D2D">
        <w:rPr>
          <w:rFonts w:ascii="Calibri" w:hAnsi="Calibri" w:cs="Calibri"/>
          <w:sz w:val="24"/>
          <w:szCs w:val="24"/>
        </w:rPr>
        <w:t xml:space="preserve"> It also announced that the duration of action plans given to those sponsors needing to rectify a minor visa breach before being allowed to sponsor workers for new roles would be extended, from a maximum of three months to 12 months. Changes were also announced to prevent sponsors from passing on the costs of sponsorship to workers.</w:t>
      </w:r>
      <w:r>
        <w:rPr>
          <w:rStyle w:val="EndnoteReference"/>
          <w:rFonts w:ascii="Calibri" w:hAnsi="Calibri" w:cs="Calibri"/>
          <w:sz w:val="24"/>
          <w:szCs w:val="24"/>
        </w:rPr>
        <w:endnoteReference w:id="17"/>
      </w:r>
      <w:r w:rsidRPr="008D5D2D">
        <w:rPr>
          <w:rFonts w:ascii="Calibri" w:hAnsi="Calibri" w:cs="Calibri"/>
          <w:sz w:val="24"/>
          <w:szCs w:val="24"/>
        </w:rPr>
        <w:t xml:space="preserve"> This coincided with an increase in enforcement actions against non-compliant sponsors.</w:t>
      </w:r>
      <w:r w:rsidRPr="008D5D2D">
        <w:rPr>
          <w:rStyle w:val="EndnoteReference"/>
          <w:rFonts w:ascii="Calibri" w:hAnsi="Calibri" w:cs="Calibri"/>
          <w:sz w:val="24"/>
          <w:szCs w:val="24"/>
        </w:rPr>
        <w:t xml:space="preserve"> </w:t>
      </w:r>
    </w:p>
    <w:p w:rsidR="008D5D2D" w:rsidRPr="008D5D2D" w:rsidP="00BB5F31">
      <w:pPr>
        <w:pStyle w:val="ListParagraph"/>
        <w:numPr>
          <w:ilvl w:val="0"/>
          <w:numId w:val="2"/>
        </w:numPr>
        <w:spacing w:line="264" w:lineRule="auto"/>
        <w:rPr>
          <w:rFonts w:ascii="Calibri" w:hAnsi="Calibri" w:cs="Calibri"/>
          <w:sz w:val="24"/>
          <w:szCs w:val="24"/>
        </w:rPr>
      </w:pPr>
      <w:r w:rsidRPr="008D5D2D">
        <w:rPr>
          <w:rFonts w:ascii="Calibri" w:hAnsi="Calibri" w:cs="Calibri"/>
          <w:sz w:val="24"/>
          <w:szCs w:val="24"/>
        </w:rPr>
        <w:t xml:space="preserve">The policy proposals are, at least on the face of it, designed to improve the prevention of exploitation. The greater regulation of sponsors by the Home Office and stricter licensing requirements are likely to reduce the incidence of new cases where employers dupe workers into paying extortionate recruitment fees for jobs that never existed. Prohibiting employers from passing on sponsorship costs to workers will also remove a financial barrier that has historically made it harder for people to leave abusive workplaces – although it is still not prohibited for employers to pay workers’ visa fees and recover those on termination. </w:t>
      </w:r>
      <w:r w:rsidRPr="008D5D2D">
        <w:rPr>
          <w:rFonts w:ascii="Calibri" w:hAnsi="Calibri" w:cs="Calibri"/>
          <w:b/>
          <w:bCs/>
          <w:sz w:val="24"/>
          <w:szCs w:val="24"/>
        </w:rPr>
        <w:t>However, these changes still provide no punitive aspect (beyond ramping up restrictions on whether sponsors can continue to, or start again, employing overseas workers).</w:t>
      </w:r>
      <w:r w:rsidRPr="008D5D2D">
        <w:rPr>
          <w:rFonts w:ascii="Calibri" w:hAnsi="Calibri" w:cs="Calibri"/>
          <w:sz w:val="24"/>
          <w:szCs w:val="24"/>
        </w:rPr>
        <w:t xml:space="preserve"> While legislation gives the Home Office the power to fine businesses found to be employing people illegally (up to £60,000 per worker), and the worst cases can lead to criminal convictions carrying a prison sentence of up to five years, closure of the business and disqualification of directors,</w:t>
      </w:r>
      <w:r>
        <w:rPr>
          <w:rStyle w:val="EndnoteReference"/>
          <w:rFonts w:ascii="Calibri" w:hAnsi="Calibri" w:cs="Calibri"/>
          <w:sz w:val="24"/>
          <w:szCs w:val="24"/>
        </w:rPr>
        <w:endnoteReference w:id="18"/>
      </w:r>
      <w:r w:rsidRPr="008D5D2D">
        <w:rPr>
          <w:rFonts w:ascii="Calibri" w:hAnsi="Calibri" w:cs="Calibri"/>
          <w:sz w:val="24"/>
          <w:szCs w:val="24"/>
        </w:rPr>
        <w:t xml:space="preserve"> there is no parallel system of criminal or civil sanctions directly aimed at those abusing migrants and the sponsorship system itself. </w:t>
      </w:r>
    </w:p>
    <w:p w:rsidR="008D5D2D" w:rsidRPr="008D5D2D" w:rsidP="00BB5F31">
      <w:pPr>
        <w:pStyle w:val="ListParagraph"/>
        <w:numPr>
          <w:ilvl w:val="0"/>
          <w:numId w:val="2"/>
        </w:numPr>
        <w:spacing w:line="264" w:lineRule="auto"/>
        <w:rPr>
          <w:rFonts w:ascii="Calibri" w:hAnsi="Calibri" w:cs="Calibri"/>
          <w:sz w:val="24"/>
          <w:szCs w:val="24"/>
        </w:rPr>
      </w:pPr>
      <w:r w:rsidRPr="008D5D2D">
        <w:rPr>
          <w:rFonts w:ascii="Calibri" w:hAnsi="Calibri" w:cs="Calibri"/>
          <w:b/>
          <w:bCs/>
          <w:sz w:val="24"/>
          <w:szCs w:val="24"/>
        </w:rPr>
        <w:t>These measures also leave wide protection gaps for workers</w:t>
      </w:r>
      <w:r w:rsidRPr="008D5D2D">
        <w:rPr>
          <w:rFonts w:ascii="Calibri" w:hAnsi="Calibri" w:cs="Calibri"/>
          <w:sz w:val="24"/>
          <w:szCs w:val="24"/>
        </w:rPr>
        <w:t xml:space="preserve">. Given the number of workers impacted by licence revocation, it is damning that there is no official policy that protects migrants from having their visas curtailed if, through no fault of their own, their sponsor loses the licence to employ them because of Home Office enforcement action. Even though in practice frontline advisers have reported delays in curtailment, the absence of an official written policy in Home Office guidance makes this a highly precarious status which, from workers’ perspective, could end at any point. There is also no policy to give exploited migrant workers access to public funds or the unrestricted right to work while they are looking for a new sponsor. This puts them at risk of destitution or re-exploitation in the black market, especially given that they would have to pay the Home Office substantial fees to obtain a new visa sponsored by a different employer. </w:t>
      </w:r>
    </w:p>
    <w:p w:rsidR="008D5D2D" w:rsidRPr="008D5D2D" w:rsidP="00BB5F31">
      <w:pPr>
        <w:pStyle w:val="ListParagraph"/>
        <w:numPr>
          <w:ilvl w:val="0"/>
          <w:numId w:val="2"/>
        </w:numPr>
        <w:spacing w:line="264" w:lineRule="auto"/>
        <w:rPr>
          <w:rFonts w:ascii="Calibri" w:hAnsi="Calibri" w:cs="Calibri"/>
          <w:sz w:val="24"/>
          <w:szCs w:val="24"/>
        </w:rPr>
      </w:pPr>
      <w:r w:rsidRPr="008D5D2D">
        <w:rPr>
          <w:rFonts w:ascii="Calibri" w:hAnsi="Calibri" w:cs="Calibri"/>
          <w:b/>
          <w:bCs/>
          <w:sz w:val="24"/>
          <w:szCs w:val="24"/>
        </w:rPr>
        <w:t>None of the measures adopted recently address the power imbalance at the heart of employer-sponsorship as a whole</w:t>
      </w:r>
      <w:r w:rsidRPr="008D5D2D">
        <w:rPr>
          <w:rFonts w:ascii="Calibri" w:hAnsi="Calibri" w:cs="Calibri"/>
          <w:sz w:val="24"/>
          <w:szCs w:val="24"/>
        </w:rPr>
        <w:t xml:space="preserve">, and it is questionable whether the Home Office delivered on the promise to heed the </w:t>
      </w:r>
      <w:r w:rsidRPr="008D5D2D">
        <w:rPr>
          <w:rFonts w:ascii="Calibri" w:hAnsi="Calibri" w:cs="Calibri"/>
          <w:sz w:val="24"/>
          <w:szCs w:val="24"/>
        </w:rPr>
        <w:t>ICIBI’s</w:t>
      </w:r>
      <w:r w:rsidRPr="008D5D2D">
        <w:rPr>
          <w:rFonts w:ascii="Calibri" w:hAnsi="Calibri" w:cs="Calibri"/>
          <w:sz w:val="24"/>
          <w:szCs w:val="24"/>
        </w:rPr>
        <w:t xml:space="preserve"> first recommendation: to review the Health and Care Worker visa route, including for the purpose of reforming it. The government’s rematching programme for exploited care workers reflects an after-the-fact approach that is reluctant to materially change underlying immigration rules to give sponsored workers more flexibility from the outset – opting instead for a more complex, time-consuming, and costlier response. The government have also admitted that the figures on workers actually rematched to date have been “disappointing”.</w:t>
      </w:r>
      <w:r>
        <w:rPr>
          <w:rStyle w:val="EndnoteReference"/>
          <w:rFonts w:ascii="Calibri" w:hAnsi="Calibri" w:cs="Calibri"/>
          <w:sz w:val="24"/>
          <w:szCs w:val="24"/>
        </w:rPr>
        <w:endnoteReference w:id="19"/>
      </w:r>
      <w:r w:rsidRPr="008D5D2D">
        <w:rPr>
          <w:rFonts w:ascii="Calibri" w:hAnsi="Calibri" w:cs="Calibri"/>
          <w:sz w:val="24"/>
          <w:szCs w:val="24"/>
        </w:rPr>
        <w:t xml:space="preserve"> Similarly, measures like requiring sponsors to be CQC registered have merely shifted the responsibility for compliance and oversight between different government departments and agencies, when many CQC registered providers were already exploiting workers. </w:t>
      </w:r>
    </w:p>
    <w:p w:rsidR="008D5D2D" w:rsidRPr="008D5D2D" w:rsidP="00BB5F31">
      <w:pPr>
        <w:pStyle w:val="Heading2"/>
        <w:spacing w:before="0" w:after="0" w:line="264" w:lineRule="auto"/>
        <w:rPr>
          <w:rFonts w:ascii="Calibri" w:hAnsi="Calibri" w:cs="Calibri"/>
          <w:b/>
          <w:bCs/>
          <w:sz w:val="24"/>
          <w:szCs w:val="24"/>
          <w:u w:val="single"/>
        </w:rPr>
      </w:pPr>
      <w:bookmarkStart w:id="3" w:name="_Toc195187638"/>
      <w:r w:rsidRPr="008D5D2D">
        <w:rPr>
          <w:rFonts w:ascii="Calibri" w:hAnsi="Calibri" w:cs="Calibri"/>
          <w:b/>
          <w:bCs/>
          <w:sz w:val="24"/>
          <w:szCs w:val="24"/>
          <w:u w:val="single"/>
        </w:rPr>
        <w:t>Why is sponsorship problematic in the context of labour exploitation?</w:t>
      </w:r>
      <w:bookmarkEnd w:id="3"/>
    </w:p>
    <w:p w:rsidR="008D5D2D" w:rsidRPr="008D5D2D" w:rsidP="00BB5F31">
      <w:pPr>
        <w:pStyle w:val="ListParagraph"/>
        <w:numPr>
          <w:ilvl w:val="0"/>
          <w:numId w:val="2"/>
        </w:numPr>
        <w:spacing w:line="264" w:lineRule="auto"/>
        <w:rPr>
          <w:rFonts w:ascii="Calibri" w:hAnsi="Calibri" w:cs="Calibri"/>
          <w:sz w:val="24"/>
          <w:szCs w:val="24"/>
        </w:rPr>
      </w:pPr>
      <w:r w:rsidRPr="008D5D2D">
        <w:rPr>
          <w:rFonts w:ascii="Calibri" w:hAnsi="Calibri" w:cs="Calibri"/>
          <w:b/>
          <w:bCs/>
          <w:sz w:val="24"/>
          <w:szCs w:val="24"/>
        </w:rPr>
        <w:t>The system of employer-sponsorship that the UK and other states use is an example of “stated-mediated structural injustice”.</w:t>
      </w:r>
      <w:r w:rsidRPr="008D5D2D">
        <w:rPr>
          <w:rFonts w:ascii="Calibri" w:hAnsi="Calibri" w:cs="Calibri"/>
          <w:sz w:val="24"/>
          <w:szCs w:val="24"/>
        </w:rPr>
        <w:t xml:space="preserve"> According to Professor Virginia </w:t>
      </w:r>
      <w:r w:rsidRPr="008D5D2D">
        <w:rPr>
          <w:rFonts w:ascii="Calibri" w:hAnsi="Calibri" w:cs="Calibri"/>
          <w:sz w:val="24"/>
          <w:szCs w:val="24"/>
        </w:rPr>
        <w:t>Mantouvalou</w:t>
      </w:r>
      <w:r w:rsidRPr="008D5D2D">
        <w:rPr>
          <w:rFonts w:ascii="Calibri" w:hAnsi="Calibri" w:cs="Calibri"/>
          <w:sz w:val="24"/>
          <w:szCs w:val="24"/>
        </w:rPr>
        <w:t xml:space="preserve">, this is where legislative schemes that promote otherwise legitimate aims (here, a system </w:t>
      </w:r>
      <w:r w:rsidRPr="008D5D2D">
        <w:rPr>
          <w:rFonts w:ascii="Calibri" w:hAnsi="Calibri" w:cs="Calibri"/>
          <w:sz w:val="24"/>
          <w:szCs w:val="24"/>
        </w:rPr>
        <w:t>for facilitating labour migration) create vulnerabilities that force and trap workers in conditions of exploitation.</w:t>
      </w:r>
      <w:r>
        <w:rPr>
          <w:rFonts w:ascii="Calibri" w:hAnsi="Calibri" w:cs="Calibri"/>
          <w:sz w:val="24"/>
          <w:szCs w:val="24"/>
          <w:vertAlign w:val="superscript"/>
        </w:rPr>
        <w:endnoteReference w:id="20"/>
      </w:r>
      <w:r w:rsidRPr="008D5D2D">
        <w:rPr>
          <w:rFonts w:ascii="Calibri" w:hAnsi="Calibri" w:cs="Calibri"/>
          <w:sz w:val="24"/>
          <w:szCs w:val="24"/>
        </w:rPr>
        <w:t xml:space="preserve"> </w:t>
      </w:r>
    </w:p>
    <w:p w:rsidR="008D5D2D" w:rsidRPr="008D5D2D" w:rsidP="00BB5F31">
      <w:pPr>
        <w:pStyle w:val="ListParagraph"/>
        <w:numPr>
          <w:ilvl w:val="0"/>
          <w:numId w:val="2"/>
        </w:numPr>
        <w:spacing w:line="264" w:lineRule="auto"/>
        <w:rPr>
          <w:rFonts w:ascii="Calibri" w:hAnsi="Calibri" w:cs="Calibri"/>
          <w:sz w:val="24"/>
          <w:szCs w:val="24"/>
        </w:rPr>
      </w:pPr>
      <w:r w:rsidRPr="008D5D2D">
        <w:rPr>
          <w:rFonts w:ascii="Calibri" w:hAnsi="Calibri" w:cs="Calibri"/>
          <w:b/>
          <w:bCs/>
          <w:sz w:val="24"/>
          <w:szCs w:val="24"/>
        </w:rPr>
        <w:t>By definition, sponsorship inhibits workers’ ability to withdraw their labour from an individual employer and move elsewhere.</w:t>
      </w:r>
      <w:r w:rsidRPr="008D5D2D">
        <w:rPr>
          <w:rFonts w:ascii="Calibri" w:hAnsi="Calibri" w:cs="Calibri"/>
          <w:sz w:val="24"/>
          <w:szCs w:val="24"/>
        </w:rPr>
        <w:t xml:space="preserve"> This is a barrier to what is a fundamental human right, namely the right to free choice of employment which is codified in the right to work under Article 6 of the International Covenant on Economic, Social and Cultural Rights.</w:t>
      </w:r>
      <w:r>
        <w:rPr>
          <w:rFonts w:ascii="Calibri" w:hAnsi="Calibri" w:cs="Calibri"/>
          <w:sz w:val="24"/>
          <w:szCs w:val="24"/>
          <w:vertAlign w:val="superscript"/>
        </w:rPr>
        <w:endnoteReference w:id="21"/>
      </w:r>
      <w:r w:rsidRPr="008D5D2D">
        <w:rPr>
          <w:rFonts w:ascii="Calibri" w:hAnsi="Calibri" w:cs="Calibri"/>
          <w:sz w:val="24"/>
          <w:szCs w:val="24"/>
        </w:rPr>
        <w:t xml:space="preserve"> While sponsored workers have in theory the right to change employers, doing so in practice is significantly more difficult, compared to workers whose immigration status is not dependent on their employer, and who have access to public funds. </w:t>
      </w:r>
    </w:p>
    <w:p w:rsidR="008D5D2D" w:rsidRPr="008D5D2D" w:rsidP="00BB5F31">
      <w:pPr>
        <w:pStyle w:val="ListParagraph"/>
        <w:numPr>
          <w:ilvl w:val="0"/>
          <w:numId w:val="2"/>
        </w:numPr>
        <w:spacing w:line="264" w:lineRule="auto"/>
        <w:rPr>
          <w:rFonts w:ascii="Calibri" w:hAnsi="Calibri" w:cs="Calibri"/>
          <w:sz w:val="24"/>
          <w:szCs w:val="24"/>
        </w:rPr>
      </w:pPr>
      <w:r w:rsidRPr="008D5D2D">
        <w:rPr>
          <w:rFonts w:ascii="Calibri" w:hAnsi="Calibri" w:cs="Calibri"/>
          <w:b/>
          <w:bCs/>
          <w:sz w:val="24"/>
          <w:szCs w:val="24"/>
        </w:rPr>
        <w:t>Sponsorship as currently operated in the UK also risks breaching the UK’s international human rights obligations</w:t>
      </w:r>
      <w:r w:rsidRPr="008D5D2D">
        <w:rPr>
          <w:rFonts w:ascii="Calibri" w:hAnsi="Calibri" w:cs="Calibri"/>
          <w:sz w:val="24"/>
          <w:szCs w:val="24"/>
        </w:rPr>
        <w:t xml:space="preserve">. This includes Article 4 of the European Convention on Human Rights (ECHR), which states that no one shall be held in slavery or servitude, and no one shall be required to perform forced or compulsory labour. Time and again clients disclosed being overworked or </w:t>
      </w:r>
      <w:r w:rsidRPr="008D5D2D">
        <w:rPr>
          <w:rFonts w:ascii="Calibri" w:hAnsi="Calibri" w:cs="Calibri"/>
          <w:sz w:val="24"/>
          <w:szCs w:val="24"/>
        </w:rPr>
        <w:t>underpaid, or</w:t>
      </w:r>
      <w:r w:rsidRPr="008D5D2D">
        <w:rPr>
          <w:rFonts w:ascii="Calibri" w:hAnsi="Calibri" w:cs="Calibri"/>
          <w:sz w:val="24"/>
          <w:szCs w:val="24"/>
        </w:rPr>
        <w:t xml:space="preserve"> being coerced to undertake work that was entirely different from what was originally agreed. Similar situations of destitution, irregular migration status and the burden of large debts may also indicate potential breaches of Articles 3 (prohibition on torture, inhuman or degrading treatment and punishment) and 8 (right to respect for private and family life) of the ECHR.</w:t>
      </w:r>
    </w:p>
    <w:p w:rsidR="008D5D2D" w:rsidRPr="008D5D2D" w:rsidP="00BB5F31">
      <w:pPr>
        <w:pStyle w:val="ListParagraph"/>
        <w:numPr>
          <w:ilvl w:val="0"/>
          <w:numId w:val="2"/>
        </w:numPr>
        <w:spacing w:line="264" w:lineRule="auto"/>
        <w:rPr>
          <w:rFonts w:ascii="Calibri" w:hAnsi="Calibri" w:cs="Calibri"/>
          <w:sz w:val="24"/>
          <w:szCs w:val="24"/>
        </w:rPr>
      </w:pPr>
      <w:r w:rsidRPr="008D5D2D">
        <w:rPr>
          <w:rFonts w:ascii="Calibri" w:hAnsi="Calibri" w:cs="Calibri"/>
          <w:b/>
          <w:bCs/>
          <w:sz w:val="24"/>
          <w:szCs w:val="24"/>
        </w:rPr>
        <w:t>In respect of Article 4, the UK government’s policy responses to date arguably fall short of its positive duty to put in place an appropriate legal and regulatory framework to protect against exploitation and trafficking, as well as the operational duty to take positive steps to protect victims from exploitation and trafficking.</w:t>
      </w:r>
      <w:r w:rsidRPr="008D5D2D">
        <w:rPr>
          <w:rFonts w:ascii="Calibri" w:hAnsi="Calibri" w:cs="Calibri"/>
          <w:sz w:val="24"/>
          <w:szCs w:val="24"/>
        </w:rPr>
        <w:t xml:space="preserve"> Fundamentally, sponsorship lends itself to an abuse of vulnerability, an International Labour Organisation indicator of forced labour, because it can produce multiple dependencies on an employer - not just on work, but also on other factors like accommodation.</w:t>
      </w:r>
      <w:r>
        <w:rPr>
          <w:rFonts w:ascii="Calibri" w:hAnsi="Calibri" w:cs="Calibri"/>
          <w:sz w:val="24"/>
          <w:szCs w:val="24"/>
          <w:vertAlign w:val="superscript"/>
        </w:rPr>
        <w:endnoteReference w:id="22"/>
      </w:r>
      <w:r w:rsidRPr="008D5D2D">
        <w:rPr>
          <w:rFonts w:ascii="Calibri" w:hAnsi="Calibri" w:cs="Calibri"/>
          <w:sz w:val="24"/>
          <w:szCs w:val="24"/>
        </w:rPr>
        <w:t xml:space="preserve"> Sponsorship can also be weaponised in the context of legal sanctions such as deportation, detention or loss of status, arguably making it incompatible with the international prohibition on forced labour - “all work or service which is exacted from any person under the </w:t>
      </w:r>
      <w:r w:rsidRPr="008D5D2D">
        <w:rPr>
          <w:rFonts w:ascii="Calibri" w:hAnsi="Calibri" w:cs="Calibri"/>
          <w:bCs/>
          <w:sz w:val="24"/>
          <w:szCs w:val="24"/>
        </w:rPr>
        <w:t>menace of any penalty</w:t>
      </w:r>
      <w:r w:rsidRPr="008D5D2D">
        <w:rPr>
          <w:rFonts w:ascii="Calibri" w:hAnsi="Calibri" w:cs="Calibri"/>
          <w:sz w:val="24"/>
          <w:szCs w:val="24"/>
        </w:rPr>
        <w:t xml:space="preserve"> and for which the said person has not offered himself voluntarily”.</w:t>
      </w:r>
      <w:r>
        <w:rPr>
          <w:rStyle w:val="EndnoteReference"/>
          <w:rFonts w:ascii="Calibri" w:hAnsi="Calibri" w:cs="Calibri"/>
          <w:sz w:val="24"/>
          <w:szCs w:val="24"/>
        </w:rPr>
        <w:endnoteReference w:id="23"/>
      </w:r>
      <w:r w:rsidRPr="008D5D2D">
        <w:rPr>
          <w:rFonts w:ascii="Calibri" w:hAnsi="Calibri" w:cs="Calibri"/>
          <w:sz w:val="24"/>
          <w:szCs w:val="24"/>
        </w:rPr>
        <w:t xml:space="preserve"> A menace of penalty in this context would be restricting workers’ ability to leave employment that they took voluntarily by threatening them with the aforementioned sanctions.</w:t>
      </w:r>
      <w:r>
        <w:rPr>
          <w:rFonts w:ascii="Calibri" w:hAnsi="Calibri" w:cs="Calibri"/>
          <w:sz w:val="24"/>
          <w:szCs w:val="24"/>
          <w:vertAlign w:val="superscript"/>
        </w:rPr>
        <w:endnoteReference w:id="24"/>
      </w:r>
      <w:r w:rsidRPr="008D5D2D">
        <w:rPr>
          <w:rFonts w:ascii="Calibri" w:hAnsi="Calibri" w:cs="Calibri"/>
          <w:sz w:val="24"/>
          <w:szCs w:val="24"/>
        </w:rPr>
        <w:t xml:space="preserve"> This is a practice that has been flagged by frontline organisations extensively.</w:t>
      </w:r>
      <w:r>
        <w:rPr>
          <w:rStyle w:val="EndnoteReference"/>
          <w:rFonts w:ascii="Calibri" w:hAnsi="Calibri" w:cs="Calibri"/>
          <w:sz w:val="24"/>
          <w:szCs w:val="24"/>
        </w:rPr>
        <w:endnoteReference w:id="25"/>
      </w:r>
    </w:p>
    <w:p w:rsidR="008D5D2D" w:rsidRPr="008D5D2D" w:rsidP="00BB5F31">
      <w:pPr>
        <w:pStyle w:val="ListParagraph"/>
        <w:numPr>
          <w:ilvl w:val="0"/>
          <w:numId w:val="2"/>
        </w:numPr>
        <w:spacing w:line="264" w:lineRule="auto"/>
        <w:rPr>
          <w:rFonts w:ascii="Calibri" w:hAnsi="Calibri" w:cs="Calibri"/>
          <w:sz w:val="24"/>
          <w:szCs w:val="24"/>
        </w:rPr>
      </w:pPr>
      <w:r w:rsidRPr="008D5D2D">
        <w:rPr>
          <w:rFonts w:ascii="Calibri" w:hAnsi="Calibri" w:cs="Calibri"/>
          <w:b/>
          <w:bCs/>
          <w:sz w:val="24"/>
          <w:szCs w:val="24"/>
        </w:rPr>
        <w:t>By creating a large database of “accredited” employers, this system also sets the conditions of an ever-thriving information market, where intermediaries can charge extortionate fees to link workers with companies that may otherwise appear out of reach</w:t>
      </w:r>
      <w:r w:rsidRPr="008D5D2D">
        <w:rPr>
          <w:rFonts w:ascii="Calibri" w:hAnsi="Calibri" w:cs="Calibri"/>
          <w:sz w:val="24"/>
          <w:szCs w:val="24"/>
        </w:rPr>
        <w:t>. Many people pay thousands of pounds in fees, acquiring a debt which then becomes virtually impossible to pay without continued employment for their sponsor. Were they to leave that employment, the loss of status and removal from the UK may lead to property being taken as security over an unpaid debt or, worse still, physical violence and intimidation.</w:t>
      </w:r>
      <w:r>
        <w:rPr>
          <w:rFonts w:ascii="Calibri" w:hAnsi="Calibri" w:cs="Calibri"/>
          <w:sz w:val="24"/>
          <w:szCs w:val="24"/>
          <w:vertAlign w:val="superscript"/>
        </w:rPr>
        <w:endnoteReference w:id="26"/>
      </w:r>
      <w:r w:rsidRPr="008D5D2D">
        <w:rPr>
          <w:rFonts w:ascii="Calibri" w:hAnsi="Calibri" w:cs="Calibri"/>
          <w:sz w:val="24"/>
          <w:szCs w:val="24"/>
        </w:rPr>
        <w:t xml:space="preserve"> Though the presence of a “migration industry”</w:t>
      </w:r>
      <w:r>
        <w:rPr>
          <w:rStyle w:val="EndnoteReference"/>
          <w:rFonts w:ascii="Calibri" w:hAnsi="Calibri" w:cs="Calibri"/>
          <w:sz w:val="24"/>
          <w:szCs w:val="24"/>
        </w:rPr>
        <w:endnoteReference w:id="27"/>
      </w:r>
      <w:r w:rsidRPr="008D5D2D">
        <w:rPr>
          <w:rFonts w:ascii="Calibri" w:hAnsi="Calibri" w:cs="Calibri"/>
          <w:sz w:val="24"/>
          <w:szCs w:val="24"/>
        </w:rPr>
        <w:t xml:space="preserve"> of intermediaries is admittedly bigger than any visa system and steeped in social networks, </w:t>
      </w:r>
      <w:r w:rsidRPr="008D5D2D">
        <w:rPr>
          <w:rFonts w:ascii="Calibri" w:hAnsi="Calibri" w:cs="Calibri"/>
          <w:sz w:val="24"/>
          <w:szCs w:val="24"/>
        </w:rPr>
        <w:t>sponsorship does create more opportunities for fraudulent activity. For example, a variety of employer-related costs, on top of work finding and administrative costs charged by intermediaries themselves, can be more readily levied against workers in a way that seems to form a “legitimate” part of the migration process. Similarly, a sponsorship system requires an active state response in terms of compliance and audit activity to ensure that employers abide by their responsibilities, including to workers. If this is neglected, as has been the case in the UK, and responsibility over the welfare of individual migrants is in effect delegated to private entities, rogue actors in the prospective country of arrival can more easily participate as “necessary” parts of cross-border work migration scams without punishment.</w:t>
      </w:r>
    </w:p>
    <w:p w:rsidR="008D5D2D" w:rsidRPr="008D5D2D" w:rsidP="00BB5F31">
      <w:pPr>
        <w:pStyle w:val="ListParagraph"/>
        <w:numPr>
          <w:ilvl w:val="0"/>
          <w:numId w:val="2"/>
        </w:numPr>
        <w:spacing w:line="264" w:lineRule="auto"/>
        <w:rPr>
          <w:rFonts w:ascii="Calibri" w:hAnsi="Calibri" w:cs="Calibri"/>
          <w:sz w:val="24"/>
          <w:szCs w:val="24"/>
        </w:rPr>
      </w:pPr>
      <w:r w:rsidRPr="008D5D2D">
        <w:rPr>
          <w:rFonts w:ascii="Calibri" w:hAnsi="Calibri" w:cs="Calibri"/>
          <w:b/>
          <w:bCs/>
          <w:sz w:val="24"/>
          <w:szCs w:val="24"/>
        </w:rPr>
        <w:t>Sponsorship thus not only produces exploitation for migrant workers but is also a highly exploitable system that criminals can use to perpetuate fraud and other forms of financial crime.</w:t>
      </w:r>
      <w:r w:rsidRPr="008D5D2D">
        <w:rPr>
          <w:rFonts w:ascii="Calibri" w:hAnsi="Calibri" w:cs="Calibri"/>
          <w:sz w:val="24"/>
          <w:szCs w:val="24"/>
        </w:rPr>
        <w:t xml:space="preserve"> In the context of the UK increasing labour migration from countries outside the European Union, this is problematic because enforcement against such actors would require cross jurisdictional cooperation, including between law enforcement and state labour enforcement agencies. This is complex, resource intensive, and only likely to successfully manifest in a small minority of high-profile cases – at the expense of thousands of workers who fall beneath that threshold.</w:t>
      </w:r>
    </w:p>
    <w:p w:rsidR="008D5D2D" w:rsidRPr="008D5D2D" w:rsidP="00BB5F31">
      <w:pPr>
        <w:pStyle w:val="ListParagraph"/>
        <w:numPr>
          <w:ilvl w:val="0"/>
          <w:numId w:val="2"/>
        </w:numPr>
        <w:spacing w:line="264" w:lineRule="auto"/>
        <w:rPr>
          <w:rFonts w:ascii="Calibri" w:hAnsi="Calibri" w:cs="Calibri"/>
          <w:sz w:val="24"/>
          <w:szCs w:val="24"/>
        </w:rPr>
      </w:pPr>
      <w:r w:rsidRPr="008D5D2D">
        <w:rPr>
          <w:rFonts w:ascii="Calibri" w:hAnsi="Calibri" w:cs="Calibri"/>
          <w:b/>
          <w:bCs/>
          <w:sz w:val="24"/>
          <w:szCs w:val="24"/>
        </w:rPr>
        <w:t>Finally, thinking beyond individual visa holders, sponsorship amplifies poor labour standards and wider sectoral risks by creating a two-tiered labour force.</w:t>
      </w:r>
      <w:r w:rsidRPr="008D5D2D">
        <w:rPr>
          <w:rFonts w:ascii="Calibri" w:hAnsi="Calibri" w:cs="Calibri"/>
          <w:sz w:val="24"/>
          <w:szCs w:val="24"/>
        </w:rPr>
        <w:t xml:space="preserve"> Visa routes like the Health and Care Worker visa and the Seasonal Worker visa that tie workers to their underlying sectors of social care and horticulture are problematic because they entrench historically poor conditions. In both sectors workers are under-unionised, low paid, and have limited collective bargaining powers.</w:t>
      </w:r>
      <w:r>
        <w:rPr>
          <w:rStyle w:val="EndnoteReference"/>
          <w:rFonts w:ascii="Calibri" w:hAnsi="Calibri" w:cs="Calibri"/>
          <w:sz w:val="24"/>
          <w:szCs w:val="24"/>
        </w:rPr>
        <w:endnoteReference w:id="28"/>
      </w:r>
      <w:r w:rsidRPr="008D5D2D">
        <w:rPr>
          <w:rFonts w:ascii="Calibri" w:hAnsi="Calibri" w:cs="Calibri"/>
          <w:sz w:val="24"/>
          <w:szCs w:val="24"/>
        </w:rPr>
        <w:t xml:space="preserve"> Supplying employers in these sectors with a cohort of visa-tied workers who are even less able to challenge rights breaches risks disempowering the labour force across the sector as a whole.</w:t>
      </w:r>
      <w:r>
        <w:rPr>
          <w:rFonts w:ascii="Calibri" w:hAnsi="Calibri" w:cs="Calibri"/>
          <w:sz w:val="24"/>
          <w:szCs w:val="24"/>
          <w:vertAlign w:val="superscript"/>
        </w:rPr>
        <w:endnoteReference w:id="29"/>
      </w:r>
    </w:p>
    <w:p w:rsidR="008D5D2D" w:rsidRPr="008D5D2D" w:rsidP="00BB5F31">
      <w:pPr>
        <w:pStyle w:val="Heading2"/>
        <w:spacing w:before="0" w:after="0" w:line="264" w:lineRule="auto"/>
        <w:rPr>
          <w:rFonts w:ascii="Calibri" w:hAnsi="Calibri" w:cs="Calibri"/>
          <w:b/>
          <w:bCs/>
          <w:sz w:val="24"/>
          <w:szCs w:val="24"/>
          <w:u w:val="single"/>
        </w:rPr>
      </w:pPr>
      <w:bookmarkStart w:id="4" w:name="_Toc195187639"/>
      <w:r w:rsidRPr="008D5D2D">
        <w:rPr>
          <w:rFonts w:ascii="Calibri" w:hAnsi="Calibri" w:cs="Calibri"/>
          <w:b/>
          <w:bCs/>
          <w:sz w:val="24"/>
          <w:szCs w:val="24"/>
          <w:u w:val="single"/>
        </w:rPr>
        <w:t>What could be done to resolve issues of labour exploitation under the Skilled Worker route moving forward?</w:t>
      </w:r>
      <w:bookmarkEnd w:id="4"/>
    </w:p>
    <w:p w:rsidR="008D5D2D" w:rsidRPr="008D5D2D" w:rsidP="00BB5F31">
      <w:pPr>
        <w:pStyle w:val="ListParagraph"/>
        <w:numPr>
          <w:ilvl w:val="0"/>
          <w:numId w:val="2"/>
        </w:numPr>
        <w:spacing w:line="264" w:lineRule="auto"/>
        <w:rPr>
          <w:rFonts w:ascii="Calibri" w:hAnsi="Calibri" w:cs="Calibri"/>
          <w:sz w:val="24"/>
          <w:szCs w:val="24"/>
        </w:rPr>
      </w:pPr>
      <w:r w:rsidRPr="008D5D2D">
        <w:rPr>
          <w:rFonts w:ascii="Calibri" w:hAnsi="Calibri" w:cs="Calibri"/>
          <w:sz w:val="24"/>
          <w:szCs w:val="24"/>
        </w:rPr>
        <w:t xml:space="preserve">A work migration system which puts employers in charge of visas poses serious risks of exploitation and human rights breaches. Without urgent and substantial policy change, these risks are almost certain to persist. To date, the UK government’s response has focused on requiring better regulation within the adult social care sector, where most reports of abuse emerged, and on increasing sponsor due diligence and compliance activities. </w:t>
      </w:r>
    </w:p>
    <w:p w:rsidR="008D5D2D" w:rsidRPr="008D5D2D" w:rsidP="00BB5F31">
      <w:pPr>
        <w:pStyle w:val="ListParagraph"/>
        <w:numPr>
          <w:ilvl w:val="0"/>
          <w:numId w:val="2"/>
        </w:numPr>
        <w:spacing w:line="264" w:lineRule="auto"/>
        <w:rPr>
          <w:rFonts w:ascii="Calibri" w:hAnsi="Calibri" w:cs="Calibri"/>
          <w:sz w:val="24"/>
          <w:szCs w:val="24"/>
        </w:rPr>
      </w:pPr>
      <w:r w:rsidRPr="008D5D2D">
        <w:rPr>
          <w:rFonts w:ascii="Calibri" w:hAnsi="Calibri" w:cs="Calibri"/>
          <w:sz w:val="24"/>
          <w:szCs w:val="24"/>
        </w:rPr>
        <w:t xml:space="preserve">However, our analysis indicates that the risk of exploitation is neither limited to a single sector, nor solvable by employer-regulation alone, which does nothing to compensate workers or support them in accessing remedy. </w:t>
      </w:r>
      <w:r w:rsidRPr="008D5D2D">
        <w:rPr>
          <w:rFonts w:ascii="Calibri" w:hAnsi="Calibri" w:cs="Calibri"/>
          <w:b/>
          <w:bCs/>
          <w:sz w:val="24"/>
          <w:szCs w:val="24"/>
        </w:rPr>
        <w:t>The fundamental driver of exploitation is the power imbalance between workers and employers - that exists in most workplaces, is severe in low paid sectors (such as care, but also hospitality, retail and construction), and is exacerbated when employers are given the key to their staff’s immigration status. This is what immigration policy reform urgently needs to address.</w:t>
      </w:r>
    </w:p>
    <w:p w:rsidR="008D5D2D" w:rsidRPr="008D5D2D" w:rsidP="00BB5F31">
      <w:pPr>
        <w:pStyle w:val="ListParagraph"/>
        <w:numPr>
          <w:ilvl w:val="0"/>
          <w:numId w:val="2"/>
        </w:numPr>
        <w:spacing w:line="264" w:lineRule="auto"/>
        <w:rPr>
          <w:rFonts w:ascii="Calibri" w:hAnsi="Calibri" w:cs="Calibri"/>
          <w:sz w:val="24"/>
          <w:szCs w:val="24"/>
        </w:rPr>
      </w:pPr>
      <w:r w:rsidRPr="008D5D2D">
        <w:rPr>
          <w:rFonts w:ascii="Calibri" w:hAnsi="Calibri" w:cs="Calibri"/>
          <w:b/>
          <w:bCs/>
          <w:sz w:val="24"/>
          <w:szCs w:val="24"/>
        </w:rPr>
        <w:t xml:space="preserve">The approach that would most effectively safeguard migrant workers from the excesses of employer power would be one that removes employers from the visa </w:t>
      </w:r>
      <w:r w:rsidRPr="008D5D2D">
        <w:rPr>
          <w:rFonts w:ascii="Calibri" w:hAnsi="Calibri" w:cs="Calibri"/>
          <w:b/>
          <w:bCs/>
          <w:sz w:val="24"/>
          <w:szCs w:val="24"/>
        </w:rPr>
        <w:t xml:space="preserve">grant process </w:t>
      </w:r>
      <w:r w:rsidRPr="008D5D2D">
        <w:rPr>
          <w:rFonts w:ascii="Calibri" w:hAnsi="Calibri" w:cs="Calibri"/>
          <w:b/>
          <w:bCs/>
          <w:sz w:val="24"/>
          <w:szCs w:val="24"/>
        </w:rPr>
        <w:t>entirely, and</w:t>
      </w:r>
      <w:r w:rsidRPr="008D5D2D">
        <w:rPr>
          <w:rFonts w:ascii="Calibri" w:hAnsi="Calibri" w:cs="Calibri"/>
          <w:b/>
          <w:bCs/>
          <w:sz w:val="24"/>
          <w:szCs w:val="24"/>
        </w:rPr>
        <w:t xml:space="preserve"> gives migrant workers the freedom to take their labour to the businesses that genuinely need and value them. This is, in effect, a scenario where sponsorship ends.</w:t>
      </w:r>
      <w:r w:rsidRPr="008D5D2D">
        <w:rPr>
          <w:rFonts w:ascii="Calibri" w:hAnsi="Calibri" w:cs="Calibri"/>
          <w:sz w:val="24"/>
          <w:szCs w:val="24"/>
        </w:rPr>
        <w:t xml:space="preserve"> </w:t>
      </w:r>
    </w:p>
    <w:p w:rsidR="008D5D2D" w:rsidRPr="008D5D2D" w:rsidP="00BB5F31">
      <w:pPr>
        <w:pStyle w:val="ListParagraph"/>
        <w:numPr>
          <w:ilvl w:val="0"/>
          <w:numId w:val="2"/>
        </w:numPr>
        <w:spacing w:line="264" w:lineRule="auto"/>
        <w:rPr>
          <w:rFonts w:ascii="Calibri" w:hAnsi="Calibri" w:cs="Calibri"/>
          <w:b/>
          <w:bCs/>
          <w:sz w:val="24"/>
          <w:szCs w:val="24"/>
        </w:rPr>
      </w:pPr>
      <w:r w:rsidRPr="008D5D2D">
        <w:rPr>
          <w:rFonts w:ascii="Calibri" w:hAnsi="Calibri" w:cs="Calibri"/>
          <w:sz w:val="24"/>
          <w:szCs w:val="24"/>
        </w:rPr>
        <w:t xml:space="preserve">Failing that, if the government is committed to retaining a work migration system based on employer-sponsorship, </w:t>
      </w:r>
      <w:r w:rsidRPr="008D5D2D">
        <w:rPr>
          <w:rFonts w:ascii="Calibri" w:hAnsi="Calibri" w:cs="Calibri"/>
          <w:b/>
          <w:bCs/>
          <w:sz w:val="24"/>
          <w:szCs w:val="24"/>
        </w:rPr>
        <w:t xml:space="preserve">it is vital that some changes are made to mitigate the system design risks identified </w:t>
      </w:r>
      <w:r w:rsidRPr="008D5D2D">
        <w:rPr>
          <w:rFonts w:ascii="Calibri" w:hAnsi="Calibri" w:cs="Calibri"/>
          <w:b/>
          <w:bCs/>
          <w:sz w:val="24"/>
          <w:szCs w:val="24"/>
        </w:rPr>
        <w:t>here, and</w:t>
      </w:r>
      <w:r w:rsidRPr="008D5D2D">
        <w:rPr>
          <w:rFonts w:ascii="Calibri" w:hAnsi="Calibri" w:cs="Calibri"/>
          <w:b/>
          <w:bCs/>
          <w:sz w:val="24"/>
          <w:szCs w:val="24"/>
        </w:rPr>
        <w:t xml:space="preserve"> plug the gap in migrant worker safeguarding. We think there are three changes that the government could make that would have a tangible impact in preventing labour exploitation moving forward and safeguarding victims</w:t>
      </w:r>
    </w:p>
    <w:p w:rsidR="008D5D2D" w:rsidRPr="008D5D2D" w:rsidP="00BB5F31">
      <w:pPr>
        <w:pStyle w:val="ListParagraph"/>
        <w:numPr>
          <w:ilvl w:val="1"/>
          <w:numId w:val="2"/>
        </w:numPr>
        <w:spacing w:line="264" w:lineRule="auto"/>
        <w:rPr>
          <w:rFonts w:ascii="Calibri" w:hAnsi="Calibri" w:cs="Calibri"/>
          <w:sz w:val="24"/>
          <w:szCs w:val="24"/>
        </w:rPr>
      </w:pPr>
      <w:r w:rsidRPr="008D5D2D">
        <w:rPr>
          <w:rFonts w:ascii="Calibri" w:hAnsi="Calibri" w:cs="Calibri"/>
          <w:b/>
          <w:bCs/>
          <w:sz w:val="24"/>
          <w:szCs w:val="24"/>
        </w:rPr>
        <w:t>Adopt a UK Workplace Justice visa for migrant victims of labour exploitation</w:t>
      </w:r>
      <w:r w:rsidRPr="008D5D2D">
        <w:rPr>
          <w:rFonts w:ascii="Calibri" w:hAnsi="Calibri" w:cs="Calibri"/>
          <w:sz w:val="24"/>
          <w:szCs w:val="24"/>
        </w:rPr>
        <w:t>. Other countries like Australia, New Zealand, Canada, Finland, the Republic of Ireland and the U.S.A. all, with some variance, operate versions of an immigration route or solution that recognises the injustice of migrant workers being exploited by their visa sponsor and supports them to secure alternative employment. This “bridges” the gap that exists when workers are at risk of or do fall out of regular immigration status, otherwise leaving them with few paths to regularise their stay in the UK. To make this new route most inclusive, the route should be open to applicants regardless of the validity of their leave, it should grant them the right to remain and work for at least as long as their original work visa, and be accessible in practice, including by adopting proportionate thresholds that are reflective of the wide continuum of exploitation that migrants experience in practice. This would help to prevent individuals unnecessarily falling out of status and would give them the security to report exploitation and/or seek sanctions against their exploiters.</w:t>
      </w:r>
    </w:p>
    <w:p w:rsidR="008D5D2D" w:rsidRPr="008D5D2D" w:rsidP="00BB5F31">
      <w:pPr>
        <w:pStyle w:val="ListParagraph"/>
        <w:numPr>
          <w:ilvl w:val="1"/>
          <w:numId w:val="2"/>
        </w:numPr>
        <w:spacing w:line="264" w:lineRule="auto"/>
        <w:rPr>
          <w:rFonts w:ascii="Calibri" w:hAnsi="Calibri" w:cs="Calibri"/>
          <w:sz w:val="24"/>
          <w:szCs w:val="24"/>
        </w:rPr>
      </w:pPr>
      <w:r w:rsidRPr="008D5D2D">
        <w:rPr>
          <w:rFonts w:ascii="Calibri" w:hAnsi="Calibri" w:cs="Calibri"/>
          <w:b/>
          <w:bCs/>
          <w:sz w:val="24"/>
          <w:szCs w:val="24"/>
        </w:rPr>
        <w:t>Give sponsored workers more time and means to find another sponsor</w:t>
      </w:r>
      <w:r w:rsidRPr="008D5D2D">
        <w:rPr>
          <w:rFonts w:ascii="Calibri" w:hAnsi="Calibri" w:cs="Calibri"/>
          <w:sz w:val="24"/>
          <w:szCs w:val="24"/>
        </w:rPr>
        <w:t xml:space="preserve">. While opening a UK Workplace Justice visa would be a lifeline for people exploited by their sponsor, there will almost certainly be people who should qualify for this route but fail to obtain it – be it due to their inability to engage with the application process, the level of evidence they are able to obtain, or other factors. </w:t>
      </w:r>
      <w:r w:rsidRPr="008D5D2D">
        <w:rPr>
          <w:rFonts w:ascii="Calibri" w:hAnsi="Calibri" w:cs="Calibri"/>
          <w:b/>
          <w:bCs/>
          <w:sz w:val="24"/>
          <w:szCs w:val="24"/>
        </w:rPr>
        <w:t>To empower them to leave abusive workplaces and find a new sponsor, the Home Office should extend the 60-day grace period between the end of employment and the curtailment of the visa, to six months</w:t>
      </w:r>
      <w:r w:rsidRPr="008D5D2D">
        <w:rPr>
          <w:rFonts w:ascii="Calibri" w:hAnsi="Calibri" w:cs="Calibri"/>
          <w:sz w:val="24"/>
          <w:szCs w:val="24"/>
        </w:rPr>
        <w:t xml:space="preserve">. An extension to six months would match the provisions in other countries, give migrants more certainty, and effectively codify the discretion the Home Office has already applied unofficially in some cases, by delaying the curtailing of visas in the social care context. </w:t>
      </w:r>
      <w:r w:rsidRPr="008D5D2D">
        <w:rPr>
          <w:rFonts w:ascii="Calibri" w:hAnsi="Calibri" w:cs="Calibri"/>
          <w:b/>
          <w:bCs/>
          <w:sz w:val="24"/>
          <w:szCs w:val="24"/>
        </w:rPr>
        <w:t>Following the example of Australia, people should also have more flexibility to take up work during this grace period, without needing a Certificate of Sponsorship to start a new role.</w:t>
      </w:r>
      <w:r w:rsidRPr="008D5D2D">
        <w:rPr>
          <w:rFonts w:ascii="Calibri" w:hAnsi="Calibri" w:cs="Calibri"/>
          <w:sz w:val="24"/>
          <w:szCs w:val="24"/>
        </w:rPr>
        <w:t xml:space="preserve"> From workers’ perspective, this provision would make it significantly easier to take up employment and support themselves while looking for a new sponsor, thus reducing the risk of homelessness and destitution. From the perspective of would-be sponsors who might be reluctant to front the costs of issuing a Certificate of Sponsorship before workers pass a probation period, this additional flexibility would facilitate recruitment. </w:t>
      </w:r>
    </w:p>
    <w:p w:rsidR="008D5D2D" w:rsidRPr="008D5D2D" w:rsidP="00BB5F31">
      <w:pPr>
        <w:pStyle w:val="ListParagraph"/>
        <w:numPr>
          <w:ilvl w:val="1"/>
          <w:numId w:val="2"/>
        </w:numPr>
        <w:spacing w:line="264" w:lineRule="auto"/>
        <w:rPr>
          <w:rFonts w:ascii="Calibri" w:hAnsi="Calibri" w:cs="Calibri"/>
          <w:sz w:val="24"/>
          <w:szCs w:val="24"/>
        </w:rPr>
      </w:pPr>
      <w:r w:rsidRPr="008D5D2D">
        <w:rPr>
          <w:rFonts w:ascii="Calibri" w:hAnsi="Calibri" w:cs="Calibri"/>
          <w:b/>
          <w:bCs/>
          <w:sz w:val="24"/>
          <w:szCs w:val="24"/>
        </w:rPr>
        <w:t xml:space="preserve">Increase penalties for employers who abuse sponsorship. </w:t>
      </w:r>
      <w:r w:rsidRPr="008D5D2D">
        <w:rPr>
          <w:rFonts w:ascii="Calibri" w:hAnsi="Calibri" w:cs="Calibri"/>
          <w:sz w:val="24"/>
          <w:szCs w:val="24"/>
        </w:rPr>
        <w:t xml:space="preserve">The consequences for rogue employers abusing sponsorship are minor, in comparison to the scale of </w:t>
      </w:r>
      <w:r w:rsidRPr="008D5D2D">
        <w:rPr>
          <w:rFonts w:ascii="Calibri" w:hAnsi="Calibri" w:cs="Calibri"/>
          <w:sz w:val="24"/>
          <w:szCs w:val="24"/>
        </w:rPr>
        <w:t>exploitation and fraud perpetuated against workers, which can collectively run into the millions of pounds. This stands in stark contrast with the penalties regime that apply to illegal working, where employers face unlimited fines and up to 5 years in prison for knowingly employing someone without permission to work. The UK government should go further by establishing new criminal offences and a civil penalty regime for those abusing the sponsorship system and migrant workers they sponsored. This new regime should also clamp down on employers who use threats of visa curtailment to silence grievances or coerce migrants into accepting unacceptable conditions at work. For example, Canada and New Zealand operate a penalties regime for unscrupulous employers which helps to compensate workers directly for the consequences of mistreatment, including on issues like non-payment of wages. A system like this may also help to subsidise the costs of running a UK Workplace Justice visa system at no charge to prospective applicants.</w:t>
      </w:r>
    </w:p>
    <w:sectPr>
      <w:headerReference w:type="even" r:id="rId6"/>
      <w:headerReference w:type="default" r:id="rId7"/>
      <w:footerReference w:type="even" r:id="rId8"/>
      <w:footerReference w:type="default" r:id="rId9"/>
      <w:headerReference w:type="first" r:id="rId10"/>
      <w:footerReference w:type="first" r:id="rId11"/>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8D5D2D" w:rsidP="008D5D2D">
      <w:pPr>
        <w:spacing w:line="240" w:lineRule="auto"/>
      </w:pPr>
      <w:r>
        <w:separator/>
      </w:r>
    </w:p>
  </w:endnote>
  <w:endnote w:type="continuationSeparator" w:id="1">
    <w:p w:rsidR="008D5D2D" w:rsidP="008D5D2D">
      <w:pPr>
        <w:spacing w:line="240" w:lineRule="auto"/>
      </w:pPr>
      <w:r>
        <w:continuationSeparator/>
      </w:r>
    </w:p>
  </w:endnote>
  <w:endnote w:id="2">
    <w:p w:rsidR="008D5D2D" w:rsidRPr="00BB5F31" w:rsidP="00BB5F31">
      <w:pPr>
        <w:pStyle w:val="EndnoteText"/>
        <w:jc w:val="both"/>
        <w:rPr>
          <w:rFonts w:ascii="Calibri" w:hAnsi="Calibri" w:cs="Calibri"/>
          <w:sz w:val="16"/>
          <w:szCs w:val="16"/>
        </w:rPr>
      </w:pPr>
      <w:r w:rsidRPr="00BB5F31">
        <w:rPr>
          <w:rStyle w:val="EndnoteReference"/>
          <w:rFonts w:ascii="Calibri" w:hAnsi="Calibri" w:cs="Calibri"/>
          <w:sz w:val="16"/>
          <w:szCs w:val="16"/>
        </w:rPr>
        <w:endnoteRef/>
      </w:r>
      <w:r w:rsidRPr="00BB5F31">
        <w:rPr>
          <w:rFonts w:ascii="Calibri" w:hAnsi="Calibri" w:cs="Calibri"/>
          <w:sz w:val="16"/>
          <w:szCs w:val="16"/>
        </w:rPr>
        <w:t xml:space="preserve"> </w:t>
      </w:r>
      <w:r w:rsidRPr="00BB5F31">
        <w:rPr>
          <w:rFonts w:ascii="Calibri" w:hAnsi="Calibri" w:cs="Calibri"/>
          <w:sz w:val="16"/>
          <w:szCs w:val="16"/>
        </w:rPr>
        <w:t>Åhlberg</w:t>
      </w:r>
      <w:r w:rsidRPr="00BB5F31">
        <w:rPr>
          <w:rFonts w:ascii="Calibri" w:hAnsi="Calibri" w:cs="Calibri"/>
          <w:sz w:val="16"/>
          <w:szCs w:val="16"/>
        </w:rPr>
        <w:t>, “</w:t>
      </w:r>
      <w:r>
        <w:fldChar w:fldCharType="begin"/>
      </w:r>
      <w:r>
        <w:instrText xml:space="preserve"> HYPERLINK "https://www.citizensadvice.org.uk/policy/publications/spotlight-report-no-1-how-work-visa-design-is-driving-exploitation/" </w:instrText>
      </w:r>
      <w:r>
        <w:fldChar w:fldCharType="separate"/>
      </w:r>
      <w:r w:rsidRPr="00BB5F31">
        <w:rPr>
          <w:rStyle w:val="Hyperlink"/>
          <w:rFonts w:ascii="Calibri" w:hAnsi="Calibri" w:cs="Calibri"/>
          <w:sz w:val="16"/>
          <w:szCs w:val="16"/>
        </w:rPr>
        <w:t>How work visa design is driving exploitation of migrant care workers”,</w:t>
      </w:r>
      <w:r>
        <w:fldChar w:fldCharType="end"/>
      </w:r>
      <w:r w:rsidRPr="00BB5F31">
        <w:rPr>
          <w:rFonts w:ascii="Calibri" w:hAnsi="Calibri" w:cs="Calibri"/>
          <w:sz w:val="16"/>
          <w:szCs w:val="16"/>
        </w:rPr>
        <w:t xml:space="preserve"> Citizens Advice, published 11 March 2024; Thiemann et al, “</w:t>
      </w:r>
      <w:r>
        <w:fldChar w:fldCharType="begin"/>
      </w:r>
      <w:r>
        <w:instrText xml:space="preserve"> HYPERLINK "https://www.researchgate.net/publication/379039620_UK_agriculture_and_care_visas_-_worker_exploitation_and_obstacles_to_redress" </w:instrText>
      </w:r>
      <w:r>
        <w:fldChar w:fldCharType="separate"/>
      </w:r>
      <w:r w:rsidRPr="00BB5F31">
        <w:rPr>
          <w:rStyle w:val="Hyperlink"/>
          <w:rFonts w:ascii="Calibri" w:hAnsi="Calibri" w:cs="Calibri"/>
          <w:sz w:val="16"/>
          <w:szCs w:val="16"/>
        </w:rPr>
        <w:t>UK agriculture and care visas – worker exploitation and obstacles to redress</w:t>
      </w:r>
      <w:r>
        <w:fldChar w:fldCharType="end"/>
      </w:r>
      <w:r w:rsidRPr="00BB5F31">
        <w:rPr>
          <w:rFonts w:ascii="Calibri" w:hAnsi="Calibri" w:cs="Calibri"/>
          <w:sz w:val="16"/>
          <w:szCs w:val="16"/>
        </w:rPr>
        <w:t>”, published 18 March 2024; Boswell, “</w:t>
      </w:r>
      <w:r>
        <w:fldChar w:fldCharType="begin"/>
      </w:r>
      <w:r>
        <w:instrText xml:space="preserve"> HYPERLINK "https://jcwi.org.uk/wp-content/uploads/2024/07/Work-It-Out-Advancing-Migrant-Workers-Rights-July-2024-2.pdf" </w:instrText>
      </w:r>
      <w:r>
        <w:fldChar w:fldCharType="separate"/>
      </w:r>
      <w:r w:rsidRPr="00BB5F31">
        <w:rPr>
          <w:rStyle w:val="Hyperlink"/>
          <w:rFonts w:ascii="Calibri" w:hAnsi="Calibri" w:cs="Calibri"/>
          <w:sz w:val="16"/>
          <w:szCs w:val="16"/>
        </w:rPr>
        <w:t>WORK IT OUT: Advancing migrant workers’ rights</w:t>
      </w:r>
      <w:r>
        <w:fldChar w:fldCharType="end"/>
      </w:r>
      <w:r w:rsidRPr="00BB5F31">
        <w:rPr>
          <w:rFonts w:ascii="Calibri" w:hAnsi="Calibri" w:cs="Calibri"/>
          <w:sz w:val="16"/>
          <w:szCs w:val="16"/>
        </w:rPr>
        <w:t xml:space="preserve">”, The Joint Council for The Welfare of Immigrants, published July 2024; </w:t>
      </w:r>
      <w:r w:rsidRPr="00BB5F31">
        <w:rPr>
          <w:rFonts w:ascii="Calibri" w:hAnsi="Calibri" w:cs="Calibri"/>
          <w:sz w:val="16"/>
          <w:szCs w:val="16"/>
        </w:rPr>
        <w:t>Mellino</w:t>
      </w:r>
      <w:r w:rsidRPr="00BB5F31">
        <w:rPr>
          <w:rFonts w:ascii="Calibri" w:hAnsi="Calibri" w:cs="Calibri"/>
          <w:sz w:val="16"/>
          <w:szCs w:val="16"/>
        </w:rPr>
        <w:t>, “</w:t>
      </w:r>
      <w:r>
        <w:fldChar w:fldCharType="begin"/>
      </w:r>
      <w:r>
        <w:instrText xml:space="preserve"> HYPERLINK "https://www.thebureauinvestigates.com/stories/2024-11-15/exploited-workers-find-no-hope-in-employment-tribunals" \l ":~:text=But%20workers%20on%20the%20visa,recorded%20by%20TBIJ%2C%20physical%20assault." </w:instrText>
      </w:r>
      <w:r>
        <w:fldChar w:fldCharType="separate"/>
      </w:r>
      <w:r w:rsidRPr="00BB5F31">
        <w:rPr>
          <w:rStyle w:val="Hyperlink"/>
          <w:rFonts w:ascii="Calibri" w:hAnsi="Calibri" w:cs="Calibri"/>
          <w:sz w:val="16"/>
          <w:szCs w:val="16"/>
        </w:rPr>
        <w:t>Seasonal workers find no hope in employment tribunals</w:t>
      </w:r>
      <w:r>
        <w:fldChar w:fldCharType="end"/>
      </w:r>
      <w:r w:rsidRPr="00BB5F31">
        <w:rPr>
          <w:rFonts w:ascii="Calibri" w:hAnsi="Calibri" w:cs="Calibri"/>
          <w:sz w:val="16"/>
          <w:szCs w:val="16"/>
        </w:rPr>
        <w:t>”, The Bureau of Investigative Journalism, 15 November 2024.</w:t>
      </w:r>
    </w:p>
  </w:endnote>
  <w:endnote w:id="3">
    <w:p w:rsidR="008D5D2D" w:rsidRPr="00BB5F31" w:rsidP="00BB5F31">
      <w:pPr>
        <w:spacing w:line="240" w:lineRule="auto"/>
        <w:jc w:val="both"/>
        <w:rPr>
          <w:rFonts w:ascii="Calibri" w:hAnsi="Calibri" w:cs="Calibri"/>
          <w:sz w:val="16"/>
          <w:szCs w:val="16"/>
        </w:rPr>
      </w:pPr>
      <w:r w:rsidRPr="00BB5F31">
        <w:rPr>
          <w:rFonts w:ascii="Calibri" w:hAnsi="Calibri" w:cs="Calibri"/>
          <w:sz w:val="16"/>
          <w:szCs w:val="16"/>
          <w:vertAlign w:val="superscript"/>
        </w:rPr>
        <w:endnoteRef/>
      </w:r>
      <w:r w:rsidRPr="00BB5F31">
        <w:rPr>
          <w:rFonts w:ascii="Calibri" w:hAnsi="Calibri" w:cs="Calibri"/>
          <w:sz w:val="16"/>
          <w:szCs w:val="16"/>
        </w:rPr>
        <w:t xml:space="preserve"> Gangmasters and Labour Abuse Authority, </w:t>
      </w:r>
      <w:r>
        <w:fldChar w:fldCharType="begin"/>
      </w:r>
      <w:r>
        <w:instrText xml:space="preserve"> HYPERLINK "https://www.gla.gov.uk/our-impact/intelligence-picture/glaa-intelligence-picture-q4-2023-2024-jan-march-2024" </w:instrText>
      </w:r>
      <w:r>
        <w:fldChar w:fldCharType="separate"/>
      </w:r>
      <w:r w:rsidRPr="00BB5F31">
        <w:rPr>
          <w:rStyle w:val="Hyperlink"/>
          <w:rFonts w:ascii="Calibri" w:hAnsi="Calibri" w:cs="Calibri"/>
          <w:color w:val="1155CC"/>
          <w:sz w:val="16"/>
          <w:szCs w:val="16"/>
        </w:rPr>
        <w:t>GLAA</w:t>
      </w:r>
      <w:r w:rsidRPr="00BB5F31">
        <w:rPr>
          <w:rStyle w:val="Hyperlink"/>
          <w:rFonts w:ascii="Calibri" w:hAnsi="Calibri" w:cs="Calibri"/>
          <w:color w:val="1155CC"/>
          <w:sz w:val="16"/>
          <w:szCs w:val="16"/>
        </w:rPr>
        <w:t xml:space="preserve"> Intelligence Picture Q4 2023-2024 (Jan-March 2024)</w:t>
      </w:r>
      <w:r>
        <w:fldChar w:fldCharType="end"/>
      </w:r>
    </w:p>
  </w:endnote>
  <w:endnote w:id="4">
    <w:p w:rsidR="008D5D2D" w:rsidRPr="00BB5F31" w:rsidP="00BB5F31">
      <w:pPr>
        <w:pStyle w:val="EndnoteText"/>
        <w:jc w:val="both"/>
        <w:rPr>
          <w:rFonts w:ascii="Calibri" w:hAnsi="Calibri" w:cs="Calibri"/>
          <w:sz w:val="16"/>
          <w:szCs w:val="16"/>
        </w:rPr>
      </w:pPr>
      <w:r w:rsidRPr="00BB5F31">
        <w:rPr>
          <w:rStyle w:val="EndnoteReference"/>
          <w:rFonts w:ascii="Calibri" w:hAnsi="Calibri" w:cs="Calibri"/>
          <w:sz w:val="16"/>
          <w:szCs w:val="16"/>
        </w:rPr>
        <w:endnoteRef/>
      </w:r>
      <w:r w:rsidRPr="00BB5F31">
        <w:rPr>
          <w:rFonts w:ascii="Calibri" w:hAnsi="Calibri" w:cs="Calibri"/>
          <w:sz w:val="16"/>
          <w:szCs w:val="16"/>
        </w:rPr>
        <w:t xml:space="preserve"> </w:t>
      </w:r>
      <w:r w:rsidRPr="00BB5F31">
        <w:rPr>
          <w:rFonts w:ascii="Calibri" w:hAnsi="Calibri" w:cs="Calibri"/>
          <w:sz w:val="16"/>
          <w:szCs w:val="16"/>
        </w:rPr>
        <w:t>Sehic</w:t>
      </w:r>
      <w:r w:rsidRPr="00BB5F31">
        <w:rPr>
          <w:rFonts w:ascii="Calibri" w:hAnsi="Calibri" w:cs="Calibri"/>
          <w:sz w:val="16"/>
          <w:szCs w:val="16"/>
        </w:rPr>
        <w:t xml:space="preserve">, </w:t>
      </w:r>
      <w:r w:rsidRPr="00BB5F31">
        <w:rPr>
          <w:rFonts w:ascii="Calibri" w:hAnsi="Calibri" w:cs="Calibri"/>
          <w:sz w:val="16"/>
          <w:szCs w:val="16"/>
        </w:rPr>
        <w:t>Vicol</w:t>
      </w:r>
      <w:r w:rsidRPr="00BB5F31">
        <w:rPr>
          <w:rFonts w:ascii="Calibri" w:hAnsi="Calibri" w:cs="Calibri"/>
          <w:sz w:val="16"/>
          <w:szCs w:val="16"/>
        </w:rPr>
        <w:t xml:space="preserve"> &amp; </w:t>
      </w:r>
      <w:r w:rsidRPr="00BB5F31">
        <w:rPr>
          <w:rFonts w:ascii="Calibri" w:hAnsi="Calibri" w:cs="Calibri"/>
          <w:sz w:val="16"/>
          <w:szCs w:val="16"/>
        </w:rPr>
        <w:t>Savitski</w:t>
      </w:r>
      <w:r w:rsidRPr="00BB5F31">
        <w:rPr>
          <w:rFonts w:ascii="Calibri" w:hAnsi="Calibri" w:cs="Calibri"/>
          <w:sz w:val="16"/>
          <w:szCs w:val="16"/>
        </w:rPr>
        <w:t>, “</w:t>
      </w:r>
      <w:r>
        <w:fldChar w:fldCharType="begin"/>
      </w:r>
      <w:r>
        <w:instrText xml:space="preserve"> HYPERLINK "https://www.workrightscentre.org/media/0gzilbbb/the-forgotten-third-migrant-care-workers-views-on-the-care-sector2.pdf" </w:instrText>
      </w:r>
      <w:r>
        <w:fldChar w:fldCharType="separate"/>
      </w:r>
      <w:r w:rsidRPr="00BB5F31">
        <w:rPr>
          <w:rStyle w:val="Hyperlink"/>
          <w:rFonts w:ascii="Calibri" w:hAnsi="Calibri" w:cs="Calibri"/>
          <w:sz w:val="16"/>
          <w:szCs w:val="16"/>
        </w:rPr>
        <w:t>The forgotten third: migrant care workers’ views on improving conditions in England’s adult social care sector</w:t>
      </w:r>
      <w:r>
        <w:fldChar w:fldCharType="end"/>
      </w:r>
      <w:r w:rsidRPr="00BB5F31">
        <w:rPr>
          <w:rFonts w:ascii="Calibri" w:hAnsi="Calibri" w:cs="Calibri"/>
          <w:sz w:val="16"/>
          <w:szCs w:val="16"/>
        </w:rPr>
        <w:t>”, Work Rights Centre, 33, published 12 November 2024.</w:t>
      </w:r>
    </w:p>
  </w:endnote>
  <w:endnote w:id="5">
    <w:p w:rsidR="008D5D2D" w:rsidRPr="00BB5F31" w:rsidP="00BB5F31">
      <w:pPr>
        <w:spacing w:line="240" w:lineRule="auto"/>
        <w:jc w:val="both"/>
        <w:rPr>
          <w:rFonts w:ascii="Calibri" w:hAnsi="Calibri" w:cs="Calibri"/>
          <w:sz w:val="16"/>
          <w:szCs w:val="16"/>
        </w:rPr>
      </w:pPr>
      <w:r w:rsidRPr="00BB5F31">
        <w:rPr>
          <w:rFonts w:ascii="Calibri" w:hAnsi="Calibri" w:cs="Calibri"/>
          <w:sz w:val="16"/>
          <w:szCs w:val="16"/>
          <w:vertAlign w:val="superscript"/>
        </w:rPr>
        <w:endnoteRef/>
      </w:r>
      <w:r w:rsidRPr="00BB5F31">
        <w:rPr>
          <w:rFonts w:ascii="Calibri" w:hAnsi="Calibri" w:cs="Calibri"/>
          <w:sz w:val="16"/>
          <w:szCs w:val="16"/>
        </w:rPr>
        <w:t xml:space="preserve"> </w:t>
      </w:r>
      <w:r w:rsidRPr="00BB5F31">
        <w:rPr>
          <w:rFonts w:ascii="Calibri" w:hAnsi="Calibri" w:cs="Calibri"/>
          <w:sz w:val="16"/>
          <w:szCs w:val="16"/>
        </w:rPr>
        <w:t>Åhlberg</w:t>
      </w:r>
      <w:r w:rsidRPr="00BB5F31">
        <w:rPr>
          <w:rFonts w:ascii="Calibri" w:hAnsi="Calibri" w:cs="Calibri"/>
          <w:sz w:val="16"/>
          <w:szCs w:val="16"/>
        </w:rPr>
        <w:t>, ‘</w:t>
      </w:r>
      <w:r>
        <w:fldChar w:fldCharType="begin"/>
      </w:r>
      <w:r>
        <w:instrText xml:space="preserve"> HYPERLINK "https://www.citizensadvice.org.uk/policy/publications/spotlight-report-no-1-how-work-visa-design-is-driving-exploitation/" </w:instrText>
      </w:r>
      <w:r>
        <w:fldChar w:fldCharType="separate"/>
      </w:r>
      <w:r w:rsidRPr="00BB5F31">
        <w:rPr>
          <w:rStyle w:val="Hyperlink"/>
          <w:rFonts w:ascii="Calibri" w:hAnsi="Calibri" w:cs="Calibri"/>
          <w:color w:val="1155CC"/>
          <w:sz w:val="16"/>
          <w:szCs w:val="16"/>
        </w:rPr>
        <w:t>How Work Visa Design Is Driving Exploitation of Migrant Care Workers</w:t>
      </w:r>
      <w:r>
        <w:fldChar w:fldCharType="end"/>
      </w:r>
      <w:r w:rsidRPr="00BB5F31">
        <w:rPr>
          <w:rFonts w:ascii="Calibri" w:hAnsi="Calibri" w:cs="Calibri"/>
          <w:sz w:val="16"/>
          <w:szCs w:val="16"/>
        </w:rPr>
        <w:t>’, Citizens Advice, 11 March 2024.</w:t>
      </w:r>
    </w:p>
  </w:endnote>
  <w:endnote w:id="6">
    <w:p w:rsidR="008D5D2D" w:rsidRPr="00BB5F31" w:rsidP="00BB5F31">
      <w:pPr>
        <w:spacing w:line="240" w:lineRule="auto"/>
        <w:jc w:val="both"/>
        <w:rPr>
          <w:rFonts w:ascii="Calibri" w:hAnsi="Calibri" w:cs="Calibri"/>
          <w:sz w:val="16"/>
          <w:szCs w:val="16"/>
        </w:rPr>
      </w:pPr>
      <w:r w:rsidRPr="00BB5F31">
        <w:rPr>
          <w:rFonts w:ascii="Calibri" w:hAnsi="Calibri" w:cs="Calibri"/>
          <w:sz w:val="16"/>
          <w:szCs w:val="16"/>
          <w:vertAlign w:val="superscript"/>
        </w:rPr>
        <w:endnoteRef/>
      </w:r>
      <w:r w:rsidRPr="00BB5F31">
        <w:rPr>
          <w:rFonts w:ascii="Calibri" w:hAnsi="Calibri" w:cs="Calibri"/>
          <w:sz w:val="16"/>
          <w:szCs w:val="16"/>
        </w:rPr>
        <w:t xml:space="preserve"> Das, “</w:t>
      </w:r>
      <w:r>
        <w:fldChar w:fldCharType="begin"/>
      </w:r>
      <w:r>
        <w:instrText xml:space="preserve"> HYPERLINK "https://www.theguardian.com/society/2022/jun/18/migrant-care-workers-paying-illegal-fees-recruiters" \l ":~:text=By%20law%2C%20agents%20cannot%20charge,leaves%20workers%20vulnerable%20to%20exploitation." </w:instrText>
      </w:r>
      <w:r>
        <w:fldChar w:fldCharType="separate"/>
      </w:r>
      <w:r w:rsidRPr="00BB5F31">
        <w:rPr>
          <w:rStyle w:val="Hyperlink"/>
          <w:rFonts w:ascii="Calibri" w:hAnsi="Calibri" w:cs="Calibri"/>
          <w:color w:val="1155CC"/>
          <w:sz w:val="16"/>
          <w:szCs w:val="16"/>
        </w:rPr>
        <w:t>Revealed: migrant care workers in Britain charged thousands in illegal recruitment fees</w:t>
      </w:r>
      <w:r>
        <w:fldChar w:fldCharType="end"/>
      </w:r>
      <w:r w:rsidRPr="00BB5F31">
        <w:rPr>
          <w:rFonts w:ascii="Calibri" w:hAnsi="Calibri" w:cs="Calibri"/>
          <w:sz w:val="16"/>
          <w:szCs w:val="16"/>
        </w:rPr>
        <w:t>”, The Observer, 18 June 2022.</w:t>
      </w:r>
    </w:p>
  </w:endnote>
  <w:endnote w:id="7">
    <w:p w:rsidR="008D5D2D" w:rsidRPr="00BB5F31" w:rsidP="00BB5F31">
      <w:pPr>
        <w:pStyle w:val="EndnoteText"/>
        <w:jc w:val="both"/>
        <w:rPr>
          <w:rFonts w:ascii="Calibri" w:hAnsi="Calibri" w:cs="Calibri"/>
          <w:sz w:val="16"/>
          <w:szCs w:val="16"/>
        </w:rPr>
      </w:pPr>
      <w:r w:rsidRPr="00BB5F31">
        <w:rPr>
          <w:rStyle w:val="EndnoteReference"/>
          <w:rFonts w:ascii="Calibri" w:hAnsi="Calibri" w:cs="Calibri"/>
          <w:sz w:val="16"/>
          <w:szCs w:val="16"/>
        </w:rPr>
        <w:endnoteRef/>
      </w:r>
      <w:r w:rsidRPr="00BB5F31">
        <w:rPr>
          <w:rFonts w:ascii="Calibri" w:hAnsi="Calibri" w:cs="Calibri"/>
          <w:sz w:val="16"/>
          <w:szCs w:val="16"/>
        </w:rPr>
        <w:t xml:space="preserve"> </w:t>
      </w:r>
      <w:r w:rsidRPr="00BB5F31">
        <w:rPr>
          <w:rFonts w:ascii="Calibri" w:hAnsi="Calibri" w:cs="Calibri"/>
          <w:sz w:val="16"/>
          <w:szCs w:val="16"/>
        </w:rPr>
        <w:fldChar w:fldCharType="begin"/>
      </w:r>
      <w:r w:rsidRPr="00BB5F31">
        <w:rPr>
          <w:rFonts w:ascii="Calibri" w:hAnsi="Calibri" w:cs="Calibri"/>
          <w:sz w:val="16"/>
          <w:szCs w:val="16"/>
        </w:rPr>
        <w:instrText xml:space="preserve"> ADDIN ZOTERO_ITEM CSL_CITATION {"citationID":"Ekd8EVra","properties":{"formattedCitation":"ICIBI, \\uc0\\u8216{}An Inspection of the Immigration System as It Relates to the Social Care Sector (August 2023 to November 2023)\\uc0\\u8217{}, GOV.UK, 2024, 2, https://www.gov.uk/government/publications/an-inspection-of-the-immigration-system-as-it-relates-to-the-social-care-sector-august-2023-to-november-2023.","plainCitation":"ICIBI, ‘An Inspection of the Immigration System as It Relates to the Social Care Sector (August 2023 to November 2023)’, GOV.UK, 2024, 2, https://www.gov.uk/government/publications/an-inspection-of-the-immigration-system-as-it-relates-to-the-social-care-sector-august-2023-to-november-2023.","noteIndex":11},"citationItems":[{"id":6675,"uris":["http://zotero.org/groups/2384976/items/J2YB8FP3"],"itemData":{"id":6675,"type":"webpage","abstract":"This inspection adopted a broad perspective on the interaction between the UK’s immigration system and the social care sector.","container-title":"GOV.UK","language":"en","title":"An inspection of the immigration system as it relates to the social care sector (August 2023 to November 2023)","URL":"https://www.gov.uk/government/publications/an-inspection-of-the-immigration-system-as-it-relates-to-the-social-care-sector-august-2023-to-november-2023","author":[{"family":"ICIBI","given":""}],"accessed":{"date-parts":[["2024",8,15]]},"issued":{"date-parts":[["2024"]]}},"locator":"2","label":"page"}],"schema":"https://github.com/citation-style-language/schema/raw/master/csl-citation.json"} </w:instrText>
      </w:r>
      <w:r w:rsidRPr="00BB5F31">
        <w:rPr>
          <w:rFonts w:ascii="Calibri" w:hAnsi="Calibri" w:cs="Calibri"/>
          <w:sz w:val="16"/>
          <w:szCs w:val="16"/>
        </w:rPr>
        <w:fldChar w:fldCharType="separate"/>
      </w:r>
      <w:r w:rsidRPr="00BB5F31">
        <w:rPr>
          <w:rFonts w:ascii="Calibri" w:hAnsi="Calibri" w:cs="Calibri"/>
          <w:sz w:val="16"/>
          <w:szCs w:val="16"/>
        </w:rPr>
        <w:t>ICIBI</w:t>
      </w:r>
      <w:r w:rsidRPr="00BB5F31">
        <w:rPr>
          <w:rFonts w:ascii="Calibri" w:hAnsi="Calibri" w:cs="Calibri"/>
          <w:sz w:val="16"/>
          <w:szCs w:val="16"/>
        </w:rPr>
        <w:t>, ‘An Inspection of the Immigration System as It Relates to the Social Care Sector (August 2023 to November 2023)’, GOV.UK, 2024, 2, https://www.gov.uk/government/publications/an-inspection-of-the-immigration-system-as-it-relates-to-the-social-care-sector-august-2023-to-november-2023.</w:t>
      </w:r>
      <w:r w:rsidRPr="00BB5F31">
        <w:rPr>
          <w:rFonts w:ascii="Calibri" w:hAnsi="Calibri" w:cs="Calibri"/>
          <w:sz w:val="16"/>
          <w:szCs w:val="16"/>
        </w:rPr>
        <w:fldChar w:fldCharType="end"/>
      </w:r>
    </w:p>
  </w:endnote>
  <w:endnote w:id="8">
    <w:p w:rsidR="008D5D2D" w:rsidRPr="00BB5F31" w:rsidP="00BB5F31">
      <w:pPr>
        <w:pStyle w:val="EndnoteText"/>
        <w:jc w:val="both"/>
        <w:rPr>
          <w:rFonts w:ascii="Calibri" w:hAnsi="Calibri" w:cs="Calibri"/>
          <w:sz w:val="16"/>
          <w:szCs w:val="16"/>
        </w:rPr>
      </w:pPr>
      <w:r w:rsidRPr="00BB5F31">
        <w:rPr>
          <w:rStyle w:val="EndnoteReference"/>
          <w:rFonts w:ascii="Calibri" w:hAnsi="Calibri" w:cs="Calibri"/>
          <w:sz w:val="16"/>
          <w:szCs w:val="16"/>
        </w:rPr>
        <w:endnoteRef/>
      </w:r>
      <w:r w:rsidRPr="00BB5F31">
        <w:rPr>
          <w:rFonts w:ascii="Calibri" w:hAnsi="Calibri" w:cs="Calibri"/>
          <w:sz w:val="16"/>
          <w:szCs w:val="16"/>
        </w:rPr>
        <w:t xml:space="preserve"> </w:t>
      </w:r>
      <w:r w:rsidRPr="00BB5F31">
        <w:rPr>
          <w:rFonts w:ascii="Calibri" w:hAnsi="Calibri" w:cs="Calibri"/>
          <w:sz w:val="16"/>
          <w:szCs w:val="16"/>
        </w:rPr>
        <w:fldChar w:fldCharType="begin"/>
      </w:r>
      <w:r w:rsidRPr="00BB5F31">
        <w:rPr>
          <w:rFonts w:ascii="Calibri" w:hAnsi="Calibri" w:cs="Calibri"/>
          <w:sz w:val="16"/>
          <w:szCs w:val="16"/>
        </w:rPr>
        <w:instrText xml:space="preserve"> ADDIN ZOTERO_ITEM CSL_CITATION {"citationID":"hu96EOhh","properties":{"formattedCitation":"ICIBI, 5.","plainCitation":"ICIBI, 5.","noteIndex":12},"citationItems":[{"id":6675,"uris":["http://zotero.org/groups/2384976/items/J2YB8FP3"],"itemData":{"id":6675,"type":"webpage","abstract":"This inspection adopted a broad perspective on the interaction between the UK’s immigration system and the social care sector.","container-title":"GOV.UK","language":"en","title":"An inspection of the immigration system as it relates to the social care sector (August 2023 to November 2023)","URL":"https://www.gov.uk/government/publications/an-inspection-of-the-immigration-system-as-it-relates-to-the-social-care-sector-august-2023-to-november-2023","author":[{"family":"ICIBI","given":""}],"accessed":{"date-parts":[["2024",8,15]]},"issued":{"date-parts":[["2024"]]}},"locator":"5","label":"page"}],"schema":"https://github.com/citation-style-language/schema/raw/master/csl-citation.json"} </w:instrText>
      </w:r>
      <w:r w:rsidRPr="00BB5F31">
        <w:rPr>
          <w:rFonts w:ascii="Calibri" w:hAnsi="Calibri" w:cs="Calibri"/>
          <w:sz w:val="16"/>
          <w:szCs w:val="16"/>
        </w:rPr>
        <w:fldChar w:fldCharType="separate"/>
      </w:r>
      <w:r w:rsidRPr="00BB5F31">
        <w:rPr>
          <w:rFonts w:ascii="Calibri" w:hAnsi="Calibri" w:cs="Calibri"/>
          <w:sz w:val="16"/>
          <w:szCs w:val="16"/>
        </w:rPr>
        <w:t>ICIBI</w:t>
      </w:r>
      <w:r w:rsidRPr="00BB5F31">
        <w:rPr>
          <w:rFonts w:ascii="Calibri" w:hAnsi="Calibri" w:cs="Calibri"/>
          <w:sz w:val="16"/>
          <w:szCs w:val="16"/>
        </w:rPr>
        <w:t>, 5.</w:t>
      </w:r>
      <w:r w:rsidRPr="00BB5F31">
        <w:rPr>
          <w:rFonts w:ascii="Calibri" w:hAnsi="Calibri" w:cs="Calibri"/>
          <w:sz w:val="16"/>
          <w:szCs w:val="16"/>
        </w:rPr>
        <w:fldChar w:fldCharType="end"/>
      </w:r>
    </w:p>
  </w:endnote>
  <w:endnote w:id="9">
    <w:p w:rsidR="008D5D2D" w:rsidRPr="00BB5F31" w:rsidP="00BB5F31">
      <w:pPr>
        <w:pStyle w:val="EndnoteText"/>
        <w:jc w:val="both"/>
        <w:rPr>
          <w:rFonts w:ascii="Calibri" w:hAnsi="Calibri" w:cs="Calibri"/>
          <w:sz w:val="16"/>
          <w:szCs w:val="16"/>
        </w:rPr>
      </w:pPr>
      <w:r w:rsidRPr="00BB5F31">
        <w:rPr>
          <w:rStyle w:val="EndnoteReference"/>
          <w:rFonts w:ascii="Calibri" w:hAnsi="Calibri" w:cs="Calibri"/>
          <w:sz w:val="16"/>
          <w:szCs w:val="16"/>
        </w:rPr>
        <w:endnoteRef/>
      </w:r>
      <w:r w:rsidRPr="00BB5F31">
        <w:rPr>
          <w:rFonts w:ascii="Calibri" w:hAnsi="Calibri" w:cs="Calibri"/>
          <w:sz w:val="16"/>
          <w:szCs w:val="16"/>
        </w:rPr>
        <w:t xml:space="preserve"> </w:t>
      </w:r>
      <w:r w:rsidRPr="00BB5F31">
        <w:rPr>
          <w:rFonts w:ascii="Calibri" w:hAnsi="Calibri" w:cs="Calibri"/>
          <w:sz w:val="16"/>
          <w:szCs w:val="16"/>
        </w:rPr>
        <w:fldChar w:fldCharType="begin"/>
      </w:r>
      <w:r w:rsidRPr="00BB5F31">
        <w:rPr>
          <w:rFonts w:ascii="Calibri" w:hAnsi="Calibri" w:cs="Calibri"/>
          <w:sz w:val="16"/>
          <w:szCs w:val="16"/>
        </w:rPr>
        <w:instrText xml:space="preserve"> ADDIN ZOTERO_ITEM CSL_CITATION {"citationID":"kxyWDmuH","properties":{"formattedCitation":"ICIBI, 33.","plainCitation":"ICIBI, 33.","noteIndex":13},"citationItems":[{"id":6675,"uris":["http://zotero.org/groups/2384976/items/J2YB8FP3"],"itemData":{"id":6675,"type":"webpage","abstract":"This inspection adopted a broad perspective on the interaction between the UK’s immigration system and the social care sector.","container-title":"GOV.UK","language":"en","title":"An inspection of the immigration system as it relates to the social care sector (August 2023 to November 2023)","URL":"https://www.gov.uk/government/publications/an-inspection-of-the-immigration-system-as-it-relates-to-the-social-care-sector-august-2023-to-november-2023","author":[{"family":"ICIBI","given":""}],"accessed":{"date-parts":[["2024",8,15]]},"issued":{"date-parts":[["2024"]]}},"locator":"33","label":"page"}],"schema":"https://github.com/citation-style-language/schema/raw/master/csl-citation.json"} </w:instrText>
      </w:r>
      <w:r w:rsidRPr="00BB5F31">
        <w:rPr>
          <w:rFonts w:ascii="Calibri" w:hAnsi="Calibri" w:cs="Calibri"/>
          <w:sz w:val="16"/>
          <w:szCs w:val="16"/>
        </w:rPr>
        <w:fldChar w:fldCharType="separate"/>
      </w:r>
      <w:r w:rsidRPr="00BB5F31">
        <w:rPr>
          <w:rFonts w:ascii="Calibri" w:hAnsi="Calibri" w:cs="Calibri"/>
          <w:sz w:val="16"/>
          <w:szCs w:val="16"/>
        </w:rPr>
        <w:t>ICIBI</w:t>
      </w:r>
      <w:r w:rsidRPr="00BB5F31">
        <w:rPr>
          <w:rFonts w:ascii="Calibri" w:hAnsi="Calibri" w:cs="Calibri"/>
          <w:sz w:val="16"/>
          <w:szCs w:val="16"/>
        </w:rPr>
        <w:t>, 33.</w:t>
      </w:r>
      <w:r w:rsidRPr="00BB5F31">
        <w:rPr>
          <w:rFonts w:ascii="Calibri" w:hAnsi="Calibri" w:cs="Calibri"/>
          <w:sz w:val="16"/>
          <w:szCs w:val="16"/>
        </w:rPr>
        <w:fldChar w:fldCharType="end"/>
      </w:r>
    </w:p>
  </w:endnote>
  <w:endnote w:id="10">
    <w:p w:rsidR="008D5D2D" w:rsidRPr="00BB5F31" w:rsidP="00BB5F31">
      <w:pPr>
        <w:pStyle w:val="EndnoteText"/>
        <w:rPr>
          <w:rFonts w:ascii="Calibri" w:hAnsi="Calibri" w:cs="Calibri"/>
          <w:sz w:val="16"/>
          <w:szCs w:val="16"/>
        </w:rPr>
      </w:pPr>
      <w:r w:rsidRPr="00BB5F31">
        <w:rPr>
          <w:rStyle w:val="EndnoteReference"/>
          <w:rFonts w:ascii="Calibri" w:hAnsi="Calibri" w:cs="Calibri"/>
          <w:sz w:val="16"/>
          <w:szCs w:val="16"/>
        </w:rPr>
        <w:endnoteRef/>
      </w:r>
      <w:r w:rsidRPr="00BB5F31">
        <w:rPr>
          <w:rFonts w:ascii="Calibri" w:hAnsi="Calibri" w:cs="Calibri"/>
          <w:sz w:val="16"/>
          <w:szCs w:val="16"/>
        </w:rPr>
        <w:t xml:space="preserve"> Home Office, “New rules to prioritise recruiting care workers in England”, 12 March 2025, </w:t>
      </w:r>
      <w:r>
        <w:fldChar w:fldCharType="begin"/>
      </w:r>
      <w:r>
        <w:instrText xml:space="preserve"> HYPERLINK "https://www.gov.uk/government/news/new-rules-to-prioritise-recruiting-care-workers-in-england" </w:instrText>
      </w:r>
      <w:r>
        <w:fldChar w:fldCharType="separate"/>
      </w:r>
      <w:r w:rsidRPr="00BB5F31">
        <w:rPr>
          <w:rStyle w:val="Hyperlink"/>
          <w:rFonts w:ascii="Calibri" w:hAnsi="Calibri" w:cs="Calibri"/>
          <w:sz w:val="16"/>
          <w:szCs w:val="16"/>
        </w:rPr>
        <w:t>https://www.gov.uk/government/news/new-rules-to-prioritise-recruiting-care-workers-in-england</w:t>
      </w:r>
      <w:r>
        <w:fldChar w:fldCharType="end"/>
      </w:r>
      <w:r w:rsidRPr="00BB5F31">
        <w:rPr>
          <w:rFonts w:ascii="Calibri" w:hAnsi="Calibri" w:cs="Calibri"/>
          <w:sz w:val="16"/>
          <w:szCs w:val="16"/>
        </w:rPr>
        <w:t xml:space="preserve"> </w:t>
      </w:r>
    </w:p>
  </w:endnote>
  <w:endnote w:id="11">
    <w:p w:rsidR="008D5D2D" w:rsidRPr="00BB5F31" w:rsidP="00BB5F31">
      <w:pPr>
        <w:pStyle w:val="EndnoteText"/>
        <w:jc w:val="both"/>
        <w:rPr>
          <w:rFonts w:ascii="Calibri" w:hAnsi="Calibri" w:cs="Calibri"/>
          <w:sz w:val="16"/>
          <w:szCs w:val="16"/>
        </w:rPr>
      </w:pPr>
      <w:r w:rsidRPr="00BB5F31">
        <w:rPr>
          <w:rStyle w:val="EndnoteReference"/>
          <w:rFonts w:ascii="Calibri" w:hAnsi="Calibri" w:cs="Calibri"/>
          <w:sz w:val="16"/>
          <w:szCs w:val="16"/>
        </w:rPr>
        <w:endnoteRef/>
      </w:r>
      <w:r w:rsidRPr="00BB5F31">
        <w:rPr>
          <w:rFonts w:ascii="Calibri" w:hAnsi="Calibri" w:cs="Calibri"/>
          <w:sz w:val="16"/>
          <w:szCs w:val="16"/>
        </w:rPr>
        <w:t xml:space="preserve"> Stacey, “</w:t>
      </w:r>
      <w:r>
        <w:fldChar w:fldCharType="begin"/>
      </w:r>
      <w:r>
        <w:instrText xml:space="preserve"> HYPERLINK "https://www.theguardian.com/society/article/2024/aug/19/sixfold-rise-in-foreign-care-workers-in-uk-complaining-of-exploitation" </w:instrText>
      </w:r>
      <w:r>
        <w:fldChar w:fldCharType="separate"/>
      </w:r>
      <w:r w:rsidRPr="00BB5F31">
        <w:rPr>
          <w:rStyle w:val="Hyperlink"/>
          <w:rFonts w:ascii="Calibri" w:hAnsi="Calibri" w:cs="Calibri"/>
          <w:sz w:val="16"/>
          <w:szCs w:val="16"/>
        </w:rPr>
        <w:t>Sixfold rise in foreign care workers in UK complaining of exploitation</w:t>
      </w:r>
      <w:r>
        <w:fldChar w:fldCharType="end"/>
      </w:r>
      <w:r w:rsidRPr="00BB5F31">
        <w:rPr>
          <w:rFonts w:ascii="Calibri" w:hAnsi="Calibri" w:cs="Calibri"/>
          <w:sz w:val="16"/>
          <w:szCs w:val="16"/>
        </w:rPr>
        <w:t>”, The Guardian, published 19 August 2024; UNISON, “</w:t>
      </w:r>
      <w:r>
        <w:fldChar w:fldCharType="begin"/>
      </w:r>
      <w:r>
        <w:instrText xml:space="preserve"> HYPERLINK "https://www.unison.org.uk/content/uploads/2025/02/Migrant-care-worker-report-2025.pdf" </w:instrText>
      </w:r>
      <w:r>
        <w:fldChar w:fldCharType="separate"/>
      </w:r>
      <w:r w:rsidRPr="00BB5F31">
        <w:rPr>
          <w:rStyle w:val="Hyperlink"/>
          <w:rFonts w:ascii="Calibri" w:hAnsi="Calibri" w:cs="Calibri"/>
          <w:sz w:val="16"/>
          <w:szCs w:val="16"/>
        </w:rPr>
        <w:t>Caring at a Cost: A survey of migrant care staff working in the UK</w:t>
      </w:r>
      <w:r>
        <w:fldChar w:fldCharType="end"/>
      </w:r>
      <w:r w:rsidRPr="00BB5F31">
        <w:rPr>
          <w:rFonts w:ascii="Calibri" w:hAnsi="Calibri" w:cs="Calibri"/>
          <w:sz w:val="16"/>
          <w:szCs w:val="16"/>
        </w:rPr>
        <w:t>”, published 11 February 2025.</w:t>
      </w:r>
    </w:p>
  </w:endnote>
  <w:endnote w:id="12">
    <w:p w:rsidR="008D5D2D" w:rsidRPr="00BB5F31" w:rsidP="00BB5F31">
      <w:pPr>
        <w:spacing w:line="240" w:lineRule="auto"/>
        <w:jc w:val="both"/>
        <w:rPr>
          <w:rFonts w:ascii="Calibri" w:hAnsi="Calibri" w:cs="Calibri"/>
          <w:sz w:val="16"/>
          <w:szCs w:val="16"/>
        </w:rPr>
      </w:pPr>
      <w:r w:rsidRPr="00BB5F31">
        <w:rPr>
          <w:rFonts w:ascii="Calibri" w:hAnsi="Calibri" w:cs="Calibri"/>
          <w:sz w:val="16"/>
          <w:szCs w:val="16"/>
          <w:vertAlign w:val="superscript"/>
        </w:rPr>
        <w:endnoteRef/>
      </w:r>
      <w:r w:rsidRPr="00BB5F31">
        <w:rPr>
          <w:rFonts w:ascii="Calibri" w:hAnsi="Calibri" w:cs="Calibri"/>
          <w:sz w:val="16"/>
          <w:szCs w:val="16"/>
        </w:rPr>
        <w:t xml:space="preserve"> Home Office, </w:t>
      </w:r>
      <w:r>
        <w:fldChar w:fldCharType="begin"/>
      </w:r>
      <w:r>
        <w:instrText xml:space="preserve"> HYPERLINK "https://homeofficemedia.blog.gov.uk/2024/05/23/reducing-net-migration-factsheet-december-2023/" </w:instrText>
      </w:r>
      <w:r>
        <w:fldChar w:fldCharType="separate"/>
      </w:r>
      <w:r w:rsidRPr="00BB5F31">
        <w:rPr>
          <w:rStyle w:val="Hyperlink"/>
          <w:rFonts w:ascii="Calibri" w:hAnsi="Calibri" w:cs="Calibri"/>
          <w:color w:val="1155CC"/>
          <w:sz w:val="16"/>
          <w:szCs w:val="16"/>
        </w:rPr>
        <w:t>Reducing Net Migration Factsheet</w:t>
      </w:r>
      <w:r>
        <w:fldChar w:fldCharType="end"/>
      </w:r>
      <w:r w:rsidRPr="00BB5F31">
        <w:rPr>
          <w:rFonts w:ascii="Calibri" w:hAnsi="Calibri" w:cs="Calibri"/>
          <w:sz w:val="16"/>
          <w:szCs w:val="16"/>
        </w:rPr>
        <w:t>, 23 May 2024.</w:t>
      </w:r>
    </w:p>
  </w:endnote>
  <w:endnote w:id="13">
    <w:p w:rsidR="008D5D2D" w:rsidRPr="00BB5F31" w:rsidP="00BB5F31">
      <w:pPr>
        <w:spacing w:line="240" w:lineRule="auto"/>
        <w:jc w:val="both"/>
        <w:rPr>
          <w:rFonts w:ascii="Calibri" w:hAnsi="Calibri" w:cs="Calibri"/>
          <w:sz w:val="16"/>
          <w:szCs w:val="16"/>
        </w:rPr>
      </w:pPr>
      <w:r w:rsidRPr="00BB5F31">
        <w:rPr>
          <w:rFonts w:ascii="Calibri" w:hAnsi="Calibri" w:cs="Calibri"/>
          <w:sz w:val="16"/>
          <w:szCs w:val="16"/>
          <w:vertAlign w:val="superscript"/>
        </w:rPr>
        <w:endnoteRef/>
      </w:r>
      <w:r w:rsidRPr="00BB5F31">
        <w:rPr>
          <w:rFonts w:ascii="Calibri" w:hAnsi="Calibri" w:cs="Calibri"/>
          <w:sz w:val="16"/>
          <w:szCs w:val="16"/>
        </w:rPr>
        <w:t xml:space="preserve"> Department of Health &amp; Social Care, </w:t>
      </w:r>
      <w:r>
        <w:fldChar w:fldCharType="begin"/>
      </w:r>
      <w:r>
        <w:instrText xml:space="preserve"> HYPERLINK "https://www.gov.uk/government/publications/international-recruitment-fund-for-the-adult-social-care-sector-2024-to-2025/international-recruitment-fund-for-the-adult-social-care-sector-2024-to-2025-guidance-for-local-authorities" </w:instrText>
      </w:r>
      <w:r>
        <w:fldChar w:fldCharType="separate"/>
      </w:r>
      <w:r w:rsidRPr="00BB5F31">
        <w:rPr>
          <w:rStyle w:val="Hyperlink"/>
          <w:rFonts w:ascii="Calibri" w:hAnsi="Calibri" w:cs="Calibri"/>
          <w:color w:val="1155CC"/>
          <w:sz w:val="16"/>
          <w:szCs w:val="16"/>
        </w:rPr>
        <w:t>International recruitment fund for the adult social care sector 2024 to 2025: guidance for local authorities</w:t>
      </w:r>
      <w:r>
        <w:fldChar w:fldCharType="end"/>
      </w:r>
      <w:r w:rsidRPr="00BB5F31">
        <w:rPr>
          <w:rFonts w:ascii="Calibri" w:hAnsi="Calibri" w:cs="Calibri"/>
          <w:sz w:val="16"/>
          <w:szCs w:val="16"/>
        </w:rPr>
        <w:t>, 9 May 2024.</w:t>
      </w:r>
    </w:p>
  </w:endnote>
  <w:endnote w:id="14">
    <w:p w:rsidR="008D5D2D" w:rsidRPr="00BB5F31" w:rsidP="00BB5F31">
      <w:pPr>
        <w:pStyle w:val="EndnoteText"/>
        <w:jc w:val="both"/>
        <w:rPr>
          <w:rFonts w:ascii="Calibri" w:hAnsi="Calibri" w:cs="Calibri"/>
          <w:sz w:val="16"/>
          <w:szCs w:val="16"/>
        </w:rPr>
      </w:pPr>
      <w:r w:rsidRPr="00BB5F31">
        <w:rPr>
          <w:rStyle w:val="EndnoteReference"/>
          <w:rFonts w:ascii="Calibri" w:hAnsi="Calibri" w:cs="Calibri"/>
          <w:sz w:val="16"/>
          <w:szCs w:val="16"/>
        </w:rPr>
        <w:endnoteRef/>
      </w:r>
      <w:r w:rsidRPr="00BB5F31">
        <w:rPr>
          <w:rFonts w:ascii="Calibri" w:hAnsi="Calibri" w:cs="Calibri"/>
          <w:sz w:val="16"/>
          <w:szCs w:val="16"/>
        </w:rPr>
        <w:t xml:space="preserve"> </w:t>
      </w:r>
      <w:r w:rsidRPr="00BB5F31">
        <w:rPr>
          <w:rFonts w:ascii="Calibri" w:hAnsi="Calibri" w:cs="Calibri"/>
          <w:sz w:val="16"/>
          <w:szCs w:val="16"/>
        </w:rPr>
        <w:t>Savitski</w:t>
      </w:r>
      <w:r w:rsidRPr="00BB5F31">
        <w:rPr>
          <w:rFonts w:ascii="Calibri" w:hAnsi="Calibri" w:cs="Calibri"/>
          <w:sz w:val="16"/>
          <w:szCs w:val="16"/>
        </w:rPr>
        <w:t xml:space="preserve"> &amp; </w:t>
      </w:r>
      <w:r w:rsidRPr="00BB5F31">
        <w:rPr>
          <w:rFonts w:ascii="Calibri" w:hAnsi="Calibri" w:cs="Calibri"/>
          <w:sz w:val="16"/>
          <w:szCs w:val="16"/>
        </w:rPr>
        <w:t>Vicol</w:t>
      </w:r>
      <w:r w:rsidRPr="00BB5F31">
        <w:rPr>
          <w:rFonts w:ascii="Calibri" w:hAnsi="Calibri" w:cs="Calibri"/>
          <w:sz w:val="16"/>
          <w:szCs w:val="16"/>
        </w:rPr>
        <w:t>, “</w:t>
      </w:r>
      <w:r>
        <w:fldChar w:fldCharType="begin"/>
      </w:r>
      <w:r>
        <w:instrText xml:space="preserve"> HYPERLINK "https://www.workrightscentre.org/publications/2024/drop-in-visas-for-carers-indicates-tougher-home-office-action-on-sponsors-but-insufficient-protection-for-migrants-and-the-care-sector/" </w:instrText>
      </w:r>
      <w:r>
        <w:fldChar w:fldCharType="separate"/>
      </w:r>
      <w:r w:rsidRPr="00BB5F31">
        <w:rPr>
          <w:rStyle w:val="Hyperlink"/>
          <w:rFonts w:ascii="Calibri" w:hAnsi="Calibri" w:cs="Calibri"/>
          <w:sz w:val="16"/>
          <w:szCs w:val="16"/>
        </w:rPr>
        <w:t>Drop in visas for carers indicates tougher Home Office action on sponsors, but insufficient protection for migrants and the care sector”,</w:t>
      </w:r>
      <w:r>
        <w:fldChar w:fldCharType="end"/>
      </w:r>
      <w:r w:rsidRPr="00BB5F31">
        <w:rPr>
          <w:rFonts w:ascii="Calibri" w:hAnsi="Calibri" w:cs="Calibri"/>
          <w:sz w:val="16"/>
          <w:szCs w:val="16"/>
        </w:rPr>
        <w:t xml:space="preserve"> Work Rights Centre, published 28 November 2024.</w:t>
      </w:r>
    </w:p>
  </w:endnote>
  <w:endnote w:id="15">
    <w:p w:rsidR="008D5D2D" w:rsidRPr="00BB5F31" w:rsidP="00BB5F31">
      <w:pPr>
        <w:pStyle w:val="EndnoteText"/>
        <w:jc w:val="both"/>
        <w:rPr>
          <w:rFonts w:ascii="Calibri" w:hAnsi="Calibri" w:cs="Calibri"/>
          <w:sz w:val="16"/>
          <w:szCs w:val="16"/>
        </w:rPr>
      </w:pPr>
      <w:r w:rsidRPr="00BB5F31">
        <w:rPr>
          <w:rStyle w:val="EndnoteReference"/>
          <w:rFonts w:ascii="Calibri" w:hAnsi="Calibri" w:cs="Calibri"/>
          <w:sz w:val="16"/>
          <w:szCs w:val="16"/>
        </w:rPr>
        <w:endnoteRef/>
      </w:r>
      <w:r w:rsidRPr="00BB5F31">
        <w:rPr>
          <w:rFonts w:ascii="Calibri" w:hAnsi="Calibri" w:cs="Calibri"/>
          <w:sz w:val="16"/>
          <w:szCs w:val="16"/>
        </w:rPr>
        <w:t xml:space="preserve"> </w:t>
      </w:r>
      <w:r w:rsidRPr="00BB5F31">
        <w:rPr>
          <w:rFonts w:ascii="Calibri" w:hAnsi="Calibri" w:cs="Calibri"/>
          <w:sz w:val="16"/>
          <w:szCs w:val="16"/>
        </w:rPr>
        <w:fldChar w:fldCharType="begin"/>
      </w:r>
      <w:r w:rsidRPr="00BB5F31">
        <w:rPr>
          <w:rFonts w:ascii="Calibri" w:hAnsi="Calibri" w:cs="Calibri"/>
          <w:sz w:val="16"/>
          <w:szCs w:val="16"/>
        </w:rPr>
        <w:instrText xml:space="preserve"> ADDIN ZOTERO_ITEM CSL_CITATION {"citationID":"B2su6axp","properties":{"formattedCitation":"Home Office, \\uc0\\u8216{}New Rules to Prioritise Recruiting Care Workers in England\\uc0\\u8217{}, GOV.UK, 2025, https://www.gov.uk/government/news/new-rules-to-prioritise-recruiting-care-workers-in-england.","plainCitation":"Home Office, ‘New Rules to Prioritise Recruiting Care Workers in England’, GOV.UK, 2025, https://www.gov.uk/government/news/new-rules-to-prioritise-recruiting-care-workers-in-england.","noteIndex":19},"citationItems":[{"id":6898,"uris":["http://zotero.org/groups/2384976/items/LBGW9SM4"],"itemData":{"id":6898,"type":"webpage","abstract":"Employers will be required to prioritise recruiting international care workers already in England before recruiting from overseas.","container-title":"GOV.UK","language":"en","title":"New rules to prioritise recruiting care workers in England","URL":"https://www.gov.uk/government/news/new-rules-to-prioritise-recruiting-care-workers-in-england","author":[{"family":"Home Office","given":""}],"accessed":{"date-parts":[["2025",3,13]]},"issued":{"date-parts":[["2025"]]}}}],"schema":"https://github.com/citation-style-language/schema/raw/master/csl-citation.json"} </w:instrText>
      </w:r>
      <w:r w:rsidRPr="00BB5F31">
        <w:rPr>
          <w:rFonts w:ascii="Calibri" w:hAnsi="Calibri" w:cs="Calibri"/>
          <w:sz w:val="16"/>
          <w:szCs w:val="16"/>
        </w:rPr>
        <w:fldChar w:fldCharType="separate"/>
      </w:r>
      <w:r w:rsidRPr="00BB5F31">
        <w:rPr>
          <w:rFonts w:ascii="Calibri" w:hAnsi="Calibri" w:cs="Calibri"/>
          <w:sz w:val="16"/>
          <w:szCs w:val="16"/>
        </w:rPr>
        <w:t>Home Office, ‘New Rules to Prioritise Recruiting Care Workers in England’, GOV.UK, 2025, https://www.gov.uk/government/news/new-rules-to-prioritise-recruiting-care-workers-in-england.</w:t>
      </w:r>
      <w:r w:rsidRPr="00BB5F31">
        <w:rPr>
          <w:rFonts w:ascii="Calibri" w:hAnsi="Calibri" w:cs="Calibri"/>
          <w:sz w:val="16"/>
          <w:szCs w:val="16"/>
        </w:rPr>
        <w:fldChar w:fldCharType="end"/>
      </w:r>
    </w:p>
  </w:endnote>
  <w:endnote w:id="16">
    <w:p w:rsidR="008D5D2D" w:rsidRPr="00BB5F31" w:rsidP="00BB5F31">
      <w:pPr>
        <w:pStyle w:val="EndnoteText"/>
        <w:jc w:val="both"/>
        <w:rPr>
          <w:rFonts w:ascii="Calibri" w:hAnsi="Calibri" w:cs="Calibri"/>
          <w:sz w:val="16"/>
          <w:szCs w:val="16"/>
        </w:rPr>
      </w:pPr>
      <w:r w:rsidRPr="00BB5F31">
        <w:rPr>
          <w:rStyle w:val="EndnoteReference"/>
          <w:rFonts w:ascii="Calibri" w:hAnsi="Calibri" w:cs="Calibri"/>
          <w:sz w:val="16"/>
          <w:szCs w:val="16"/>
        </w:rPr>
        <w:endnoteRef/>
      </w:r>
      <w:r w:rsidRPr="00BB5F31">
        <w:rPr>
          <w:rFonts w:ascii="Calibri" w:hAnsi="Calibri" w:cs="Calibri"/>
          <w:sz w:val="16"/>
          <w:szCs w:val="16"/>
        </w:rPr>
        <w:t xml:space="preserve"> Home Office, “</w:t>
      </w:r>
      <w:r>
        <w:fldChar w:fldCharType="begin"/>
      </w:r>
      <w:r>
        <w:instrText xml:space="preserve"> HYPERLINK "https://www.gov.uk/government/news/rogue-employers-will-be-banned-from-hiring-overseas-workers" </w:instrText>
      </w:r>
      <w:r>
        <w:fldChar w:fldCharType="separate"/>
      </w:r>
      <w:r w:rsidRPr="00BB5F31">
        <w:rPr>
          <w:rStyle w:val="Hyperlink"/>
          <w:rFonts w:ascii="Calibri" w:hAnsi="Calibri" w:cs="Calibri"/>
          <w:sz w:val="16"/>
          <w:szCs w:val="16"/>
        </w:rPr>
        <w:t>Rogue employers will be banned from hiring overseas workers</w:t>
      </w:r>
      <w:r>
        <w:fldChar w:fldCharType="end"/>
      </w:r>
      <w:r w:rsidRPr="00BB5F31">
        <w:rPr>
          <w:rFonts w:ascii="Calibri" w:hAnsi="Calibri" w:cs="Calibri"/>
          <w:sz w:val="16"/>
          <w:szCs w:val="16"/>
        </w:rPr>
        <w:t>”, 28 November 2024</w:t>
      </w:r>
    </w:p>
  </w:endnote>
  <w:endnote w:id="17">
    <w:p w:rsidR="008D5D2D" w:rsidRPr="00BB5F31" w:rsidP="00BB5F31">
      <w:pPr>
        <w:pStyle w:val="EndnoteText"/>
        <w:jc w:val="both"/>
        <w:rPr>
          <w:rFonts w:ascii="Calibri" w:hAnsi="Calibri" w:cs="Calibri"/>
          <w:sz w:val="16"/>
          <w:szCs w:val="16"/>
        </w:rPr>
      </w:pPr>
      <w:r w:rsidRPr="00BB5F31">
        <w:rPr>
          <w:rStyle w:val="EndnoteReference"/>
          <w:rFonts w:ascii="Calibri" w:hAnsi="Calibri" w:cs="Calibri"/>
          <w:sz w:val="16"/>
          <w:szCs w:val="16"/>
        </w:rPr>
        <w:endnoteRef/>
      </w:r>
      <w:r w:rsidRPr="00BB5F31">
        <w:rPr>
          <w:rFonts w:ascii="Calibri" w:hAnsi="Calibri" w:cs="Calibri"/>
          <w:sz w:val="16"/>
          <w:szCs w:val="16"/>
        </w:rPr>
        <w:t xml:space="preserve"> Ibid.</w:t>
      </w:r>
    </w:p>
  </w:endnote>
  <w:endnote w:id="18">
    <w:p w:rsidR="008D5D2D" w:rsidRPr="00BB5F31" w:rsidP="00BB5F31">
      <w:pPr>
        <w:pStyle w:val="EndnoteText"/>
        <w:jc w:val="both"/>
        <w:rPr>
          <w:rFonts w:ascii="Calibri" w:hAnsi="Calibri" w:cs="Calibri"/>
          <w:sz w:val="16"/>
          <w:szCs w:val="16"/>
        </w:rPr>
      </w:pPr>
      <w:r w:rsidRPr="00BB5F31">
        <w:rPr>
          <w:rStyle w:val="EndnoteReference"/>
          <w:rFonts w:ascii="Calibri" w:hAnsi="Calibri" w:cs="Calibri"/>
          <w:sz w:val="16"/>
          <w:szCs w:val="16"/>
        </w:rPr>
        <w:endnoteRef/>
      </w:r>
      <w:r w:rsidRPr="00BB5F31">
        <w:rPr>
          <w:rFonts w:ascii="Calibri" w:hAnsi="Calibri" w:cs="Calibri"/>
          <w:sz w:val="16"/>
          <w:szCs w:val="16"/>
        </w:rPr>
        <w:t xml:space="preserve"> </w:t>
      </w:r>
      <w:r w:rsidRPr="00BB5F31">
        <w:rPr>
          <w:rFonts w:ascii="Calibri" w:hAnsi="Calibri" w:cs="Calibri"/>
          <w:sz w:val="16"/>
          <w:szCs w:val="16"/>
        </w:rPr>
        <w:fldChar w:fldCharType="begin"/>
      </w:r>
      <w:r w:rsidRPr="00BB5F31">
        <w:rPr>
          <w:rFonts w:ascii="Calibri" w:hAnsi="Calibri" w:cs="Calibri"/>
          <w:sz w:val="16"/>
          <w:szCs w:val="16"/>
        </w:rPr>
        <w:instrText xml:space="preserve"> ADDIN ZOTERO_ITEM CSL_CITATION {"citationID":"qBQkDHcs","properties":{"formattedCitation":"Home Office, \\uc0\\u8216{}Employer\\uc0\\u8217{}s Guide to Right to Work Checks\\uc0\\u8217{}, 2025, 37, https://assets.publishing.service.gov.uk/media/67ab80271a116437c7ed8921/WORKING_COPY_-_Post_23_09_2024_Guidance_Right_to_work_checks_-_an_employer_s_guide.pdf.","plainCitation":"Home Office, ‘Employer’s Guide to Right to Work Checks’, 2025, 37, https://assets.publishing.service.gov.uk/media/67ab80271a116437c7ed8921/WORKING_COPY_-_Post_23_09_2024_Guidance_Right_to_work_checks_-_an_employer_s_guide.pdf.","noteIndex":22},"citationItems":[{"id":6893,"uris":["http://zotero.org/groups/2384976/items/9RAMDDMN"],"itemData":{"id":6893,"type":"webpage","title":"Employer’s guide to right to work checks","URL":"https://assets.publishing.service.gov.uk/media/67ab80271a116437c7ed8921/WORKING_COPY_-_Post_23_09_2024_Guidance_Right_to_work_checks_-_an_employer_s_guide.pdf","author":[{"family":"Home Office","given":""}],"accessed":{"date-parts":[["2025",2,27]]},"issued":{"date-parts":[["2025"]]}},"locator":"37","label":"page"}],"schema":"https://github.com/citation-style-language/schema/raw/master/csl-citation.json"} </w:instrText>
      </w:r>
      <w:r w:rsidRPr="00BB5F31">
        <w:rPr>
          <w:rFonts w:ascii="Calibri" w:hAnsi="Calibri" w:cs="Calibri"/>
          <w:sz w:val="16"/>
          <w:szCs w:val="16"/>
        </w:rPr>
        <w:fldChar w:fldCharType="separate"/>
      </w:r>
      <w:r w:rsidRPr="00BB5F31">
        <w:rPr>
          <w:rFonts w:ascii="Calibri" w:hAnsi="Calibri" w:cs="Calibri"/>
          <w:sz w:val="16"/>
          <w:szCs w:val="16"/>
        </w:rPr>
        <w:t>Home Office, ‘Employer’s Guide to Right to Work Checks’, 2025, 37, https://assets.publishing.service.gov.uk/media/67ab80271a116437c7ed8921/WORKING_COPY_-_Post_23_09_2024_Guidance_Right_to_work_checks_-_an_employer_s_guide.pdf.</w:t>
      </w:r>
      <w:r w:rsidRPr="00BB5F31">
        <w:rPr>
          <w:rFonts w:ascii="Calibri" w:hAnsi="Calibri" w:cs="Calibri"/>
          <w:sz w:val="16"/>
          <w:szCs w:val="16"/>
        </w:rPr>
        <w:fldChar w:fldCharType="end"/>
      </w:r>
    </w:p>
  </w:endnote>
  <w:endnote w:id="19">
    <w:p w:rsidR="008D5D2D" w:rsidRPr="00BB5F31" w:rsidP="00BB5F31">
      <w:pPr>
        <w:pStyle w:val="EndnoteText"/>
        <w:rPr>
          <w:rFonts w:ascii="Calibri" w:hAnsi="Calibri" w:cs="Calibri"/>
          <w:sz w:val="16"/>
          <w:szCs w:val="16"/>
        </w:rPr>
      </w:pPr>
      <w:r w:rsidRPr="00BB5F31">
        <w:rPr>
          <w:rStyle w:val="EndnoteReference"/>
          <w:rFonts w:ascii="Calibri" w:hAnsi="Calibri" w:cs="Calibri"/>
          <w:sz w:val="16"/>
          <w:szCs w:val="16"/>
        </w:rPr>
        <w:endnoteRef/>
      </w:r>
      <w:r w:rsidRPr="00BB5F31">
        <w:rPr>
          <w:rFonts w:ascii="Calibri" w:hAnsi="Calibri" w:cs="Calibri"/>
          <w:sz w:val="16"/>
          <w:szCs w:val="16"/>
        </w:rPr>
        <w:t xml:space="preserve"> Work Rights Centre, </w:t>
      </w:r>
      <w:r>
        <w:fldChar w:fldCharType="begin"/>
      </w:r>
      <w:r>
        <w:instrText xml:space="preserve"> HYPERLINK "https://committees.parliament.uk/publications/47273/documents/245047/default/" </w:instrText>
      </w:r>
      <w:r>
        <w:fldChar w:fldCharType="separate"/>
      </w:r>
      <w:r w:rsidRPr="00BB5F31">
        <w:rPr>
          <w:rStyle w:val="Hyperlink"/>
          <w:rFonts w:ascii="Calibri" w:hAnsi="Calibri" w:cs="Calibri"/>
          <w:sz w:val="16"/>
          <w:szCs w:val="16"/>
        </w:rPr>
        <w:t>Written evidence to the Secondary Legislation Scrutiny Committee</w:t>
      </w:r>
      <w:r>
        <w:fldChar w:fldCharType="end"/>
      </w:r>
      <w:r w:rsidRPr="00BB5F31">
        <w:rPr>
          <w:rFonts w:ascii="Calibri" w:hAnsi="Calibri" w:cs="Calibri"/>
          <w:sz w:val="16"/>
          <w:szCs w:val="16"/>
        </w:rPr>
        <w:t>, published 27 March 2025.</w:t>
      </w:r>
    </w:p>
  </w:endnote>
  <w:endnote w:id="20">
    <w:p w:rsidR="008D5D2D" w:rsidRPr="00BB5F31" w:rsidP="00BB5F31">
      <w:pPr>
        <w:spacing w:line="240" w:lineRule="auto"/>
        <w:jc w:val="both"/>
        <w:rPr>
          <w:rFonts w:ascii="Calibri" w:hAnsi="Calibri" w:cs="Calibri"/>
          <w:sz w:val="16"/>
          <w:szCs w:val="16"/>
        </w:rPr>
      </w:pPr>
      <w:r w:rsidRPr="00BB5F31">
        <w:rPr>
          <w:rFonts w:ascii="Calibri" w:hAnsi="Calibri" w:cs="Calibri"/>
          <w:sz w:val="16"/>
          <w:szCs w:val="16"/>
          <w:vertAlign w:val="superscript"/>
        </w:rPr>
        <w:endnoteRef/>
      </w:r>
      <w:r w:rsidRPr="00BB5F31">
        <w:rPr>
          <w:rFonts w:ascii="Calibri" w:hAnsi="Calibri" w:cs="Calibri"/>
          <w:sz w:val="16"/>
          <w:szCs w:val="16"/>
        </w:rPr>
        <w:t xml:space="preserve"> </w:t>
      </w:r>
      <w:r w:rsidRPr="00BB5F31">
        <w:rPr>
          <w:rFonts w:ascii="Calibri" w:hAnsi="Calibri" w:cs="Calibri"/>
          <w:sz w:val="16"/>
          <w:szCs w:val="16"/>
        </w:rPr>
        <w:t>Mantouvalou</w:t>
      </w:r>
      <w:r w:rsidRPr="00BB5F31">
        <w:rPr>
          <w:rFonts w:ascii="Calibri" w:hAnsi="Calibri" w:cs="Calibri"/>
          <w:sz w:val="16"/>
          <w:szCs w:val="16"/>
        </w:rPr>
        <w:t>, “</w:t>
      </w:r>
      <w:r>
        <w:fldChar w:fldCharType="begin"/>
      </w:r>
      <w:r>
        <w:instrText xml:space="preserve"> HYPERLINK "https://discovery.ucl.ac.uk/id/eprint/10108304/3/Mantouvalou_Structural%20Injustice%20and%20the%20Human%20Rights%20of%20Workers_AAM.pdf" </w:instrText>
      </w:r>
      <w:r>
        <w:fldChar w:fldCharType="separate"/>
      </w:r>
      <w:r w:rsidRPr="00BB5F31">
        <w:rPr>
          <w:rStyle w:val="Hyperlink"/>
          <w:rFonts w:ascii="Calibri" w:hAnsi="Calibri" w:cs="Calibri"/>
          <w:color w:val="1155CC"/>
          <w:sz w:val="16"/>
          <w:szCs w:val="16"/>
        </w:rPr>
        <w:t>Structural Injustice and the Human Rights of Workers</w:t>
      </w:r>
      <w:r>
        <w:fldChar w:fldCharType="end"/>
      </w:r>
      <w:r w:rsidRPr="00BB5F31">
        <w:rPr>
          <w:rFonts w:ascii="Calibri" w:hAnsi="Calibri" w:cs="Calibri"/>
          <w:sz w:val="16"/>
          <w:szCs w:val="16"/>
        </w:rPr>
        <w:t>”, Current Legal Problems, Volume 73, Issue 1, 2020, Pages 59–87.</w:t>
      </w:r>
    </w:p>
  </w:endnote>
  <w:endnote w:id="21">
    <w:p w:rsidR="008D5D2D" w:rsidRPr="00BB5F31" w:rsidP="00BB5F31">
      <w:pPr>
        <w:spacing w:line="240" w:lineRule="auto"/>
        <w:jc w:val="both"/>
        <w:rPr>
          <w:rFonts w:ascii="Calibri" w:hAnsi="Calibri" w:cs="Calibri"/>
          <w:sz w:val="16"/>
          <w:szCs w:val="16"/>
        </w:rPr>
      </w:pPr>
      <w:r w:rsidRPr="00BB5F31">
        <w:rPr>
          <w:rFonts w:ascii="Calibri" w:hAnsi="Calibri" w:cs="Calibri"/>
          <w:sz w:val="16"/>
          <w:szCs w:val="16"/>
          <w:vertAlign w:val="superscript"/>
        </w:rPr>
        <w:endnoteRef/>
      </w:r>
      <w:r w:rsidRPr="00BB5F31">
        <w:rPr>
          <w:rFonts w:ascii="Calibri" w:hAnsi="Calibri" w:cs="Calibri"/>
          <w:sz w:val="16"/>
          <w:szCs w:val="16"/>
        </w:rPr>
        <w:t xml:space="preserve"> United Nations (General Assembly): “</w:t>
      </w:r>
      <w:r>
        <w:fldChar w:fldCharType="begin"/>
      </w:r>
      <w:r>
        <w:instrText xml:space="preserve"> HYPERLINK "https://www.ohchr.org/en/instruments-mechanisms/instruments/international-covenant-economic-social-and-cultural-rights" </w:instrText>
      </w:r>
      <w:r>
        <w:fldChar w:fldCharType="separate"/>
      </w:r>
      <w:r w:rsidRPr="00BB5F31">
        <w:rPr>
          <w:rStyle w:val="Hyperlink"/>
          <w:rFonts w:ascii="Calibri" w:hAnsi="Calibri" w:cs="Calibri"/>
          <w:color w:val="1155CC"/>
          <w:sz w:val="16"/>
          <w:szCs w:val="16"/>
        </w:rPr>
        <w:t>International Covenant on Economic, Social, and Cultural Rights</w:t>
      </w:r>
      <w:r>
        <w:fldChar w:fldCharType="end"/>
      </w:r>
      <w:r w:rsidRPr="00BB5F31">
        <w:rPr>
          <w:rFonts w:ascii="Calibri" w:hAnsi="Calibri" w:cs="Calibri"/>
          <w:sz w:val="16"/>
          <w:szCs w:val="16"/>
        </w:rPr>
        <w:t>,” Treaty Series, vol. 993, p. 3, Dec. 1966</w:t>
      </w:r>
    </w:p>
  </w:endnote>
  <w:endnote w:id="22">
    <w:p w:rsidR="008D5D2D" w:rsidRPr="00BB5F31" w:rsidP="00BB5F31">
      <w:pPr>
        <w:spacing w:line="240" w:lineRule="auto"/>
        <w:jc w:val="both"/>
        <w:rPr>
          <w:rFonts w:ascii="Calibri" w:hAnsi="Calibri" w:cs="Calibri"/>
          <w:sz w:val="16"/>
          <w:szCs w:val="16"/>
        </w:rPr>
      </w:pPr>
      <w:r w:rsidRPr="00BB5F31">
        <w:rPr>
          <w:rFonts w:ascii="Calibri" w:hAnsi="Calibri" w:cs="Calibri"/>
          <w:sz w:val="16"/>
          <w:szCs w:val="16"/>
          <w:vertAlign w:val="superscript"/>
        </w:rPr>
        <w:endnoteRef/>
      </w:r>
      <w:r w:rsidRPr="00BB5F31">
        <w:rPr>
          <w:rFonts w:ascii="Calibri" w:hAnsi="Calibri" w:cs="Calibri"/>
          <w:sz w:val="16"/>
          <w:szCs w:val="16"/>
        </w:rPr>
        <w:t xml:space="preserve"> International Labour Organisation, </w:t>
      </w:r>
      <w:r>
        <w:fldChar w:fldCharType="begin"/>
      </w:r>
      <w:r>
        <w:instrText xml:space="preserve"> HYPERLINK "https://www.ilo.org/publications/ilo-indicators-forced-labour" </w:instrText>
      </w:r>
      <w:r>
        <w:fldChar w:fldCharType="separate"/>
      </w:r>
      <w:r w:rsidRPr="00BB5F31">
        <w:rPr>
          <w:rStyle w:val="Hyperlink"/>
          <w:rFonts w:ascii="Calibri" w:hAnsi="Calibri" w:cs="Calibri"/>
          <w:color w:val="1155CC"/>
          <w:sz w:val="16"/>
          <w:szCs w:val="16"/>
        </w:rPr>
        <w:t>ILO indicators of forced labour</w:t>
      </w:r>
      <w:r>
        <w:fldChar w:fldCharType="end"/>
      </w:r>
      <w:r w:rsidRPr="00BB5F31">
        <w:rPr>
          <w:rFonts w:ascii="Calibri" w:hAnsi="Calibri" w:cs="Calibri"/>
          <w:sz w:val="16"/>
          <w:szCs w:val="16"/>
        </w:rPr>
        <w:t xml:space="preserve">, 1 October 2012 </w:t>
      </w:r>
    </w:p>
  </w:endnote>
  <w:endnote w:id="23">
    <w:p w:rsidR="008D5D2D" w:rsidRPr="00BB5F31" w:rsidP="00BB5F31">
      <w:pPr>
        <w:pStyle w:val="EndnoteText"/>
        <w:jc w:val="both"/>
        <w:rPr>
          <w:rFonts w:ascii="Calibri" w:hAnsi="Calibri" w:cs="Calibri"/>
          <w:sz w:val="16"/>
          <w:szCs w:val="16"/>
        </w:rPr>
      </w:pPr>
      <w:r w:rsidRPr="00BB5F31">
        <w:rPr>
          <w:rStyle w:val="EndnoteReference"/>
          <w:rFonts w:ascii="Calibri" w:hAnsi="Calibri" w:cs="Calibri"/>
          <w:sz w:val="16"/>
          <w:szCs w:val="16"/>
        </w:rPr>
        <w:endnoteRef/>
      </w:r>
      <w:r w:rsidRPr="00BB5F31">
        <w:rPr>
          <w:rFonts w:ascii="Calibri" w:hAnsi="Calibri" w:cs="Calibri"/>
          <w:sz w:val="16"/>
          <w:szCs w:val="16"/>
        </w:rPr>
        <w:t xml:space="preserve"> International Labour Organisation Forced Labour Convention 1930 (No.29), Art. 2</w:t>
      </w:r>
    </w:p>
  </w:endnote>
  <w:endnote w:id="24">
    <w:p w:rsidR="008D5D2D" w:rsidRPr="00BB5F31" w:rsidP="00BB5F31">
      <w:pPr>
        <w:spacing w:line="240" w:lineRule="auto"/>
        <w:jc w:val="both"/>
        <w:rPr>
          <w:rFonts w:ascii="Calibri" w:hAnsi="Calibri" w:cs="Calibri"/>
          <w:sz w:val="16"/>
          <w:szCs w:val="16"/>
        </w:rPr>
      </w:pPr>
      <w:r w:rsidRPr="00BB5F31">
        <w:rPr>
          <w:rFonts w:ascii="Calibri" w:hAnsi="Calibri" w:cs="Calibri"/>
          <w:sz w:val="16"/>
          <w:szCs w:val="16"/>
          <w:vertAlign w:val="superscript"/>
        </w:rPr>
        <w:endnoteRef/>
      </w:r>
      <w:r w:rsidRPr="00BB5F31">
        <w:rPr>
          <w:rFonts w:ascii="Calibri" w:hAnsi="Calibri" w:cs="Calibri"/>
          <w:sz w:val="16"/>
          <w:szCs w:val="16"/>
        </w:rPr>
        <w:t xml:space="preserve"> </w:t>
      </w:r>
      <w:r w:rsidRPr="00BB5F31">
        <w:rPr>
          <w:rFonts w:ascii="Calibri" w:hAnsi="Calibri" w:cs="Calibri"/>
          <w:sz w:val="16"/>
          <w:szCs w:val="16"/>
        </w:rPr>
        <w:t>Niezna</w:t>
      </w:r>
      <w:r w:rsidRPr="00BB5F31">
        <w:rPr>
          <w:rFonts w:ascii="Calibri" w:hAnsi="Calibri" w:cs="Calibri"/>
          <w:sz w:val="16"/>
          <w:szCs w:val="16"/>
        </w:rPr>
        <w:t xml:space="preserve"> M. </w:t>
      </w:r>
      <w:r>
        <w:fldChar w:fldCharType="begin"/>
      </w:r>
      <w:r>
        <w:instrText xml:space="preserve"> HYPERLINK "https://onlinelibrary.wiley.com/doi/10.1111/jols.12366" </w:instrText>
      </w:r>
      <w:r>
        <w:fldChar w:fldCharType="separate"/>
      </w:r>
      <w:r w:rsidRPr="00BB5F31">
        <w:rPr>
          <w:rStyle w:val="Hyperlink"/>
          <w:rFonts w:ascii="Calibri" w:hAnsi="Calibri" w:cs="Calibri"/>
          <w:color w:val="1155CC"/>
          <w:sz w:val="16"/>
          <w:szCs w:val="16"/>
        </w:rPr>
        <w:t>Paper chains: tied visas, migration policies, and legal coercion</w:t>
      </w:r>
      <w:r>
        <w:fldChar w:fldCharType="end"/>
      </w:r>
      <w:r w:rsidRPr="00BB5F31">
        <w:rPr>
          <w:rFonts w:ascii="Calibri" w:hAnsi="Calibri" w:cs="Calibri"/>
          <w:sz w:val="16"/>
          <w:szCs w:val="16"/>
        </w:rPr>
        <w:t>. J Law Soc. 2022; 49:</w:t>
      </w:r>
    </w:p>
  </w:endnote>
  <w:endnote w:id="25">
    <w:p w:rsidR="008D5D2D" w:rsidRPr="00BB5F31" w:rsidP="00BB5F31">
      <w:pPr>
        <w:pStyle w:val="EndnoteText"/>
        <w:jc w:val="both"/>
        <w:rPr>
          <w:rFonts w:ascii="Calibri" w:hAnsi="Calibri" w:cs="Calibri"/>
          <w:sz w:val="16"/>
          <w:szCs w:val="16"/>
        </w:rPr>
      </w:pPr>
      <w:r w:rsidRPr="00BB5F31">
        <w:rPr>
          <w:rStyle w:val="EndnoteReference"/>
          <w:rFonts w:ascii="Calibri" w:hAnsi="Calibri" w:cs="Calibri"/>
          <w:sz w:val="16"/>
          <w:szCs w:val="16"/>
        </w:rPr>
        <w:endnoteRef/>
      </w:r>
      <w:r w:rsidRPr="00BB5F31">
        <w:rPr>
          <w:rFonts w:ascii="Calibri" w:hAnsi="Calibri" w:cs="Calibri"/>
          <w:sz w:val="16"/>
          <w:szCs w:val="16"/>
        </w:rPr>
        <w:t xml:space="preserve"> Unseen, “</w:t>
      </w:r>
      <w:r>
        <w:fldChar w:fldCharType="begin"/>
      </w:r>
      <w:r>
        <w:instrText xml:space="preserve"> HYPERLINK "https://www.unseenuk.org/how-to-tackle-exploitation-of-migrant-care-workers-in-uk/" </w:instrText>
      </w:r>
      <w:r>
        <w:fldChar w:fldCharType="separate"/>
      </w:r>
      <w:r w:rsidRPr="00BB5F31">
        <w:rPr>
          <w:rStyle w:val="Hyperlink"/>
          <w:rFonts w:ascii="Calibri" w:hAnsi="Calibri" w:cs="Calibri"/>
          <w:sz w:val="16"/>
          <w:szCs w:val="16"/>
        </w:rPr>
        <w:t>Migrant care workers in the UK: how to tackle their exploitation</w:t>
      </w:r>
      <w:r>
        <w:fldChar w:fldCharType="end"/>
      </w:r>
      <w:r w:rsidRPr="00BB5F31">
        <w:rPr>
          <w:rFonts w:ascii="Calibri" w:hAnsi="Calibri" w:cs="Calibri"/>
          <w:sz w:val="16"/>
          <w:szCs w:val="16"/>
        </w:rPr>
        <w:t>”, 6 June 2024</w:t>
      </w:r>
    </w:p>
  </w:endnote>
  <w:endnote w:id="26">
    <w:p w:rsidR="008D5D2D" w:rsidRPr="00BB5F31" w:rsidP="00BB5F31">
      <w:pPr>
        <w:spacing w:line="240" w:lineRule="auto"/>
        <w:jc w:val="both"/>
        <w:rPr>
          <w:rFonts w:ascii="Calibri" w:hAnsi="Calibri" w:cs="Calibri"/>
          <w:sz w:val="16"/>
          <w:szCs w:val="16"/>
        </w:rPr>
      </w:pPr>
      <w:r w:rsidRPr="00BB5F31">
        <w:rPr>
          <w:rFonts w:ascii="Calibri" w:hAnsi="Calibri" w:cs="Calibri"/>
          <w:sz w:val="16"/>
          <w:szCs w:val="16"/>
          <w:vertAlign w:val="superscript"/>
        </w:rPr>
        <w:endnoteRef/>
      </w:r>
      <w:r w:rsidRPr="00BB5F31">
        <w:rPr>
          <w:rFonts w:ascii="Calibri" w:hAnsi="Calibri" w:cs="Calibri"/>
          <w:sz w:val="16"/>
          <w:szCs w:val="16"/>
        </w:rPr>
        <w:t xml:space="preserve"> </w:t>
      </w:r>
      <w:r w:rsidRPr="00BB5F31">
        <w:rPr>
          <w:rFonts w:ascii="Calibri" w:hAnsi="Calibri" w:cs="Calibri"/>
          <w:sz w:val="16"/>
          <w:szCs w:val="16"/>
        </w:rPr>
        <w:t>Niezna</w:t>
      </w:r>
      <w:r w:rsidRPr="00BB5F31">
        <w:rPr>
          <w:rFonts w:ascii="Calibri" w:hAnsi="Calibri" w:cs="Calibri"/>
          <w:sz w:val="16"/>
          <w:szCs w:val="16"/>
        </w:rPr>
        <w:t xml:space="preserve"> M. </w:t>
      </w:r>
      <w:r>
        <w:fldChar w:fldCharType="begin"/>
      </w:r>
      <w:r>
        <w:instrText xml:space="preserve"> HYPERLINK "https://onlinelibrary.wiley.com/doi/10.1111/jols.12366" </w:instrText>
      </w:r>
      <w:r>
        <w:fldChar w:fldCharType="separate"/>
      </w:r>
      <w:r w:rsidRPr="00BB5F31">
        <w:rPr>
          <w:rStyle w:val="Hyperlink"/>
          <w:rFonts w:ascii="Calibri" w:hAnsi="Calibri" w:cs="Calibri"/>
          <w:color w:val="1155CC"/>
          <w:sz w:val="16"/>
          <w:szCs w:val="16"/>
        </w:rPr>
        <w:t>Paper chains: tied visas, migration policies, and legal coercion</w:t>
      </w:r>
      <w:r>
        <w:fldChar w:fldCharType="end"/>
      </w:r>
      <w:r w:rsidRPr="00BB5F31">
        <w:rPr>
          <w:rFonts w:ascii="Calibri" w:hAnsi="Calibri" w:cs="Calibri"/>
          <w:sz w:val="16"/>
          <w:szCs w:val="16"/>
        </w:rPr>
        <w:t>. J Law Soc. 2022; 49:</w:t>
      </w:r>
    </w:p>
  </w:endnote>
  <w:endnote w:id="27">
    <w:p w:rsidR="008D5D2D" w:rsidRPr="00BB5F31" w:rsidP="00BB5F31">
      <w:pPr>
        <w:pStyle w:val="EndnoteText"/>
        <w:jc w:val="both"/>
        <w:rPr>
          <w:rFonts w:ascii="Calibri" w:hAnsi="Calibri" w:cs="Calibri"/>
          <w:sz w:val="16"/>
          <w:szCs w:val="16"/>
        </w:rPr>
      </w:pPr>
      <w:r w:rsidRPr="00BB5F31">
        <w:rPr>
          <w:rStyle w:val="EndnoteReference"/>
          <w:rFonts w:ascii="Calibri" w:hAnsi="Calibri" w:cs="Calibri"/>
          <w:sz w:val="16"/>
          <w:szCs w:val="16"/>
        </w:rPr>
        <w:endnoteRef/>
      </w:r>
      <w:r w:rsidRPr="00BB5F31">
        <w:rPr>
          <w:rFonts w:ascii="Calibri" w:hAnsi="Calibri" w:cs="Calibri"/>
          <w:sz w:val="16"/>
          <w:szCs w:val="16"/>
        </w:rPr>
        <w:t xml:space="preserve"> </w:t>
      </w:r>
      <w:r w:rsidRPr="00BB5F31">
        <w:rPr>
          <w:rFonts w:ascii="Calibri" w:hAnsi="Calibri" w:cs="Calibri"/>
          <w:sz w:val="16"/>
          <w:szCs w:val="16"/>
        </w:rPr>
        <w:fldChar w:fldCharType="begin"/>
      </w:r>
      <w:r w:rsidRPr="00BB5F31">
        <w:rPr>
          <w:rFonts w:ascii="Calibri" w:hAnsi="Calibri" w:cs="Calibri"/>
          <w:sz w:val="16"/>
          <w:szCs w:val="16"/>
        </w:rPr>
        <w:instrText xml:space="preserve"> ADDIN ZOTERO_ITEM CSL_CITATION {"citationID":"krPLYknr","properties":{"formattedCitation":"Thomas Gammeltoft-Hansen and Ninna Sorensen Nyberg, {\\i{}The Migration Industry and the Commercialization of International Migration} (London: Routledge, 2013).","plainCitation":"Thomas Gammeltoft-Hansen and Ninna Sorensen Nyberg, The Migration Industry and the Commercialization of International Migration (London: Routledge, 2013).","noteIndex":43},"citationItems":[{"id":1222,"uris":["http://zotero.org/users/4206155/items/C42AY7JK"],"itemData":{"id":1222,"type":"book","event-place":"London","publisher":"Routledge","publisher-place":"London","source":"Google Scholar","title":"The migration industry and the commercialization of international migration","author":[{"family":"Gammeltoft-Hansen","given":"Thomas"},{"family":"Sorensen Nyberg","given":"Ninna"}],"accessed":{"date-parts":[["2017",10,10]]},"issued":{"date-parts":[["2013"]]}}}],"schema":"https://github.com/citation-style-language/schema/raw/master/csl-citation.json"} </w:instrText>
      </w:r>
      <w:r w:rsidRPr="00BB5F31">
        <w:rPr>
          <w:rFonts w:ascii="Calibri" w:hAnsi="Calibri" w:cs="Calibri"/>
          <w:sz w:val="16"/>
          <w:szCs w:val="16"/>
        </w:rPr>
        <w:fldChar w:fldCharType="separate"/>
      </w:r>
      <w:r w:rsidRPr="00BB5F31">
        <w:rPr>
          <w:rFonts w:ascii="Calibri" w:hAnsi="Calibri" w:cs="Calibri"/>
          <w:sz w:val="16"/>
          <w:szCs w:val="16"/>
        </w:rPr>
        <w:t xml:space="preserve">Thomas </w:t>
      </w:r>
      <w:r w:rsidRPr="00BB5F31">
        <w:rPr>
          <w:rFonts w:ascii="Calibri" w:hAnsi="Calibri" w:cs="Calibri"/>
          <w:sz w:val="16"/>
          <w:szCs w:val="16"/>
        </w:rPr>
        <w:t>Gammeltoft</w:t>
      </w:r>
      <w:r w:rsidRPr="00BB5F31">
        <w:rPr>
          <w:rFonts w:ascii="Calibri" w:hAnsi="Calibri" w:cs="Calibri"/>
          <w:sz w:val="16"/>
          <w:szCs w:val="16"/>
        </w:rPr>
        <w:t xml:space="preserve">-Hansen and </w:t>
      </w:r>
      <w:r w:rsidRPr="00BB5F31">
        <w:rPr>
          <w:rFonts w:ascii="Calibri" w:hAnsi="Calibri" w:cs="Calibri"/>
          <w:sz w:val="16"/>
          <w:szCs w:val="16"/>
        </w:rPr>
        <w:t>Ninna</w:t>
      </w:r>
      <w:r w:rsidRPr="00BB5F31">
        <w:rPr>
          <w:rFonts w:ascii="Calibri" w:hAnsi="Calibri" w:cs="Calibri"/>
          <w:sz w:val="16"/>
          <w:szCs w:val="16"/>
        </w:rPr>
        <w:t xml:space="preserve"> Sorensen Nyberg, </w:t>
      </w:r>
      <w:r w:rsidRPr="00BB5F31">
        <w:rPr>
          <w:rFonts w:ascii="Calibri" w:hAnsi="Calibri" w:cs="Calibri"/>
          <w:i/>
          <w:iCs/>
          <w:sz w:val="16"/>
          <w:szCs w:val="16"/>
        </w:rPr>
        <w:t>The Migration Industry and the Commercialization of International Migration</w:t>
      </w:r>
      <w:r w:rsidRPr="00BB5F31">
        <w:rPr>
          <w:rFonts w:ascii="Calibri" w:hAnsi="Calibri" w:cs="Calibri"/>
          <w:sz w:val="16"/>
          <w:szCs w:val="16"/>
        </w:rPr>
        <w:t xml:space="preserve"> (London: Routledge, 2013).</w:t>
      </w:r>
      <w:r w:rsidRPr="00BB5F31">
        <w:rPr>
          <w:rFonts w:ascii="Calibri" w:hAnsi="Calibri" w:cs="Calibri"/>
          <w:sz w:val="16"/>
          <w:szCs w:val="16"/>
        </w:rPr>
        <w:fldChar w:fldCharType="end"/>
      </w:r>
    </w:p>
  </w:endnote>
  <w:endnote w:id="28">
    <w:p w:rsidR="008D5D2D" w:rsidRPr="00BB5F31" w:rsidP="00BB5F31">
      <w:pPr>
        <w:pStyle w:val="EndnoteText"/>
        <w:jc w:val="both"/>
        <w:rPr>
          <w:rFonts w:ascii="Calibri" w:hAnsi="Calibri" w:cs="Calibri"/>
          <w:sz w:val="16"/>
          <w:szCs w:val="16"/>
        </w:rPr>
      </w:pPr>
      <w:r w:rsidRPr="00BB5F31">
        <w:rPr>
          <w:rStyle w:val="EndnoteReference"/>
          <w:rFonts w:ascii="Calibri" w:hAnsi="Calibri" w:cs="Calibri"/>
          <w:sz w:val="16"/>
          <w:szCs w:val="16"/>
        </w:rPr>
        <w:endnoteRef/>
      </w:r>
      <w:r w:rsidRPr="00BB5F31">
        <w:rPr>
          <w:rFonts w:ascii="Calibri" w:hAnsi="Calibri" w:cs="Calibri"/>
          <w:sz w:val="16"/>
          <w:szCs w:val="16"/>
        </w:rPr>
        <w:t xml:space="preserve"> </w:t>
      </w:r>
      <w:r w:rsidRPr="00BB5F31">
        <w:rPr>
          <w:rFonts w:ascii="Calibri" w:hAnsi="Calibri" w:cs="Calibri"/>
          <w:sz w:val="16"/>
          <w:szCs w:val="16"/>
        </w:rPr>
        <w:t>Sehic</w:t>
      </w:r>
      <w:r w:rsidRPr="00BB5F31">
        <w:rPr>
          <w:rFonts w:ascii="Calibri" w:hAnsi="Calibri" w:cs="Calibri"/>
          <w:sz w:val="16"/>
          <w:szCs w:val="16"/>
        </w:rPr>
        <w:t xml:space="preserve">, A., </w:t>
      </w:r>
      <w:r w:rsidRPr="00BB5F31">
        <w:rPr>
          <w:rFonts w:ascii="Calibri" w:hAnsi="Calibri" w:cs="Calibri"/>
          <w:sz w:val="16"/>
          <w:szCs w:val="16"/>
        </w:rPr>
        <w:t>Vicol</w:t>
      </w:r>
      <w:r w:rsidRPr="00BB5F31">
        <w:rPr>
          <w:rFonts w:ascii="Calibri" w:hAnsi="Calibri" w:cs="Calibri"/>
          <w:sz w:val="16"/>
          <w:szCs w:val="16"/>
        </w:rPr>
        <w:t xml:space="preserve">, D., </w:t>
      </w:r>
      <w:r w:rsidRPr="00BB5F31">
        <w:rPr>
          <w:rFonts w:ascii="Calibri" w:hAnsi="Calibri" w:cs="Calibri"/>
          <w:sz w:val="16"/>
          <w:szCs w:val="16"/>
        </w:rPr>
        <w:t>Savitski</w:t>
      </w:r>
      <w:r w:rsidRPr="00BB5F31">
        <w:rPr>
          <w:rFonts w:ascii="Calibri" w:hAnsi="Calibri" w:cs="Calibri"/>
          <w:sz w:val="16"/>
          <w:szCs w:val="16"/>
        </w:rPr>
        <w:t xml:space="preserve">, A. (2024) </w:t>
      </w:r>
      <w:r>
        <w:fldChar w:fldCharType="begin"/>
      </w:r>
      <w:r>
        <w:instrText xml:space="preserve"> HYPERLINK "https://www.workrightscentre.org/media/rr1hklek/the-forgotten-third-migrant-care-workers-views-on-the-care-sector.pdf" </w:instrText>
      </w:r>
      <w:r>
        <w:fldChar w:fldCharType="separate"/>
      </w:r>
      <w:r w:rsidRPr="00BB5F31">
        <w:rPr>
          <w:rStyle w:val="Hyperlink"/>
          <w:rFonts w:ascii="Calibri" w:hAnsi="Calibri" w:cs="Calibri"/>
          <w:sz w:val="16"/>
          <w:szCs w:val="16"/>
        </w:rPr>
        <w:t>The forgotten third: migrant care workers’ views on improving conditions in England’s adult social care sector</w:t>
      </w:r>
      <w:r>
        <w:fldChar w:fldCharType="end"/>
      </w:r>
      <w:r w:rsidRPr="00BB5F31">
        <w:rPr>
          <w:rFonts w:ascii="Calibri" w:hAnsi="Calibri" w:cs="Calibri"/>
          <w:sz w:val="16"/>
          <w:szCs w:val="16"/>
        </w:rPr>
        <w:t xml:space="preserve">, Work Rights Centre; Thiemann, Inga &amp; </w:t>
      </w:r>
      <w:r w:rsidRPr="00BB5F31">
        <w:rPr>
          <w:rFonts w:ascii="Calibri" w:hAnsi="Calibri" w:cs="Calibri"/>
          <w:sz w:val="16"/>
          <w:szCs w:val="16"/>
        </w:rPr>
        <w:t>Polomarkakis</w:t>
      </w:r>
      <w:r w:rsidRPr="00BB5F31">
        <w:rPr>
          <w:rFonts w:ascii="Calibri" w:hAnsi="Calibri" w:cs="Calibri"/>
          <w:sz w:val="16"/>
          <w:szCs w:val="16"/>
        </w:rPr>
        <w:t xml:space="preserve">, Konstantinos &amp; </w:t>
      </w:r>
      <w:r w:rsidRPr="00BB5F31">
        <w:rPr>
          <w:rFonts w:ascii="Calibri" w:hAnsi="Calibri" w:cs="Calibri"/>
          <w:sz w:val="16"/>
          <w:szCs w:val="16"/>
        </w:rPr>
        <w:t>Sedacca</w:t>
      </w:r>
      <w:r w:rsidRPr="00BB5F31">
        <w:rPr>
          <w:rFonts w:ascii="Calibri" w:hAnsi="Calibri" w:cs="Calibri"/>
          <w:sz w:val="16"/>
          <w:szCs w:val="16"/>
        </w:rPr>
        <w:t>, Natalie &amp; Dias-</w:t>
      </w:r>
      <w:r w:rsidRPr="00BB5F31">
        <w:rPr>
          <w:rFonts w:ascii="Calibri" w:hAnsi="Calibri" w:cs="Calibri"/>
          <w:sz w:val="16"/>
          <w:szCs w:val="16"/>
        </w:rPr>
        <w:t>Abey</w:t>
      </w:r>
      <w:r w:rsidRPr="00BB5F31">
        <w:rPr>
          <w:rFonts w:ascii="Calibri" w:hAnsi="Calibri" w:cs="Calibri"/>
          <w:sz w:val="16"/>
          <w:szCs w:val="16"/>
        </w:rPr>
        <w:t xml:space="preserve">, Manoj &amp; Jiang, Joyce &amp; Boswell, Caitlin &amp; Fisher, Oliver &amp; Cueva, Susan &amp; Miranda, Patty &amp; </w:t>
      </w:r>
      <w:r w:rsidRPr="00BB5F31">
        <w:rPr>
          <w:rFonts w:ascii="Calibri" w:hAnsi="Calibri" w:cs="Calibri"/>
          <w:sz w:val="16"/>
          <w:szCs w:val="16"/>
        </w:rPr>
        <w:t>Silitonga</w:t>
      </w:r>
      <w:r w:rsidRPr="00BB5F31">
        <w:rPr>
          <w:rFonts w:ascii="Calibri" w:hAnsi="Calibri" w:cs="Calibri"/>
          <w:sz w:val="16"/>
          <w:szCs w:val="16"/>
        </w:rPr>
        <w:t xml:space="preserve">, Nova &amp; Hayashi, Mariko &amp; </w:t>
      </w:r>
      <w:r w:rsidRPr="00BB5F31">
        <w:rPr>
          <w:rFonts w:ascii="Calibri" w:hAnsi="Calibri" w:cs="Calibri"/>
          <w:sz w:val="16"/>
          <w:szCs w:val="16"/>
        </w:rPr>
        <w:t>Priyatna</w:t>
      </w:r>
      <w:r w:rsidRPr="00BB5F31">
        <w:rPr>
          <w:rFonts w:ascii="Calibri" w:hAnsi="Calibri" w:cs="Calibri"/>
          <w:sz w:val="16"/>
          <w:szCs w:val="16"/>
        </w:rPr>
        <w:t xml:space="preserve">, </w:t>
      </w:r>
      <w:r w:rsidRPr="00BB5F31">
        <w:rPr>
          <w:rFonts w:ascii="Calibri" w:hAnsi="Calibri" w:cs="Calibri"/>
          <w:sz w:val="16"/>
          <w:szCs w:val="16"/>
        </w:rPr>
        <w:t>Endang</w:t>
      </w:r>
      <w:r w:rsidRPr="00BB5F31">
        <w:rPr>
          <w:rFonts w:ascii="Calibri" w:hAnsi="Calibri" w:cs="Calibri"/>
          <w:sz w:val="16"/>
          <w:szCs w:val="16"/>
        </w:rPr>
        <w:t xml:space="preserve">, </w:t>
      </w:r>
      <w:r>
        <w:fldChar w:fldCharType="begin"/>
      </w:r>
      <w:r>
        <w:instrText xml:space="preserve"> HYPERLINK "https://files.modernslaverypec.org/production/assets/downloads/Visas-full-report.pdf?dm=1736268046" </w:instrText>
      </w:r>
      <w:r>
        <w:fldChar w:fldCharType="separate"/>
      </w:r>
      <w:r w:rsidRPr="00BB5F31">
        <w:rPr>
          <w:rStyle w:val="Hyperlink"/>
          <w:rFonts w:ascii="Calibri" w:hAnsi="Calibri" w:cs="Calibri"/>
          <w:sz w:val="16"/>
          <w:szCs w:val="16"/>
        </w:rPr>
        <w:t>UK agriculture and care visas - worker exploitation and obstacles to redress.</w:t>
      </w:r>
      <w:r>
        <w:fldChar w:fldCharType="end"/>
      </w:r>
      <w:r w:rsidRPr="00BB5F31">
        <w:rPr>
          <w:rFonts w:ascii="Calibri" w:hAnsi="Calibri" w:cs="Calibri"/>
          <w:sz w:val="16"/>
          <w:szCs w:val="16"/>
        </w:rPr>
        <w:t>, 11 March 2024</w:t>
      </w:r>
    </w:p>
  </w:endnote>
  <w:endnote w:id="29">
    <w:p w:rsidR="008D5D2D" w:rsidRPr="00BB5F31" w:rsidP="00BB5F31">
      <w:pPr>
        <w:spacing w:line="240" w:lineRule="auto"/>
        <w:jc w:val="both"/>
        <w:rPr>
          <w:rFonts w:ascii="Calibri" w:hAnsi="Calibri" w:cs="Calibri"/>
          <w:sz w:val="16"/>
          <w:szCs w:val="16"/>
        </w:rPr>
      </w:pPr>
      <w:r w:rsidRPr="00BB5F31">
        <w:rPr>
          <w:rFonts w:ascii="Calibri" w:hAnsi="Calibri" w:cs="Calibri"/>
          <w:sz w:val="16"/>
          <w:szCs w:val="16"/>
          <w:vertAlign w:val="superscript"/>
        </w:rPr>
        <w:endnoteRef/>
      </w:r>
      <w:r w:rsidRPr="00BB5F31">
        <w:rPr>
          <w:rFonts w:ascii="Calibri" w:hAnsi="Calibri" w:cs="Calibri"/>
          <w:sz w:val="16"/>
          <w:szCs w:val="16"/>
        </w:rPr>
        <w:t xml:space="preserve"> Ibid.</w:t>
      </w:r>
    </w:p>
    <w:p w:rsidR="008D5D2D" w:rsidP="008D5D2D">
      <w:pPr>
        <w:spacing w:line="240" w:lineRule="auto"/>
        <w:jc w:val="both"/>
        <w:rPr>
          <w:rFonts w:ascii="Roboto" w:hAnsi="Roboto" w:cs="Raavi"/>
        </w:rPr>
      </w:pPr>
    </w:p>
    <w:p w:rsidR="008D5D2D" w:rsidRPr="00BB5F31" w:rsidP="008D5D2D">
      <w:pPr>
        <w:spacing w:line="240" w:lineRule="auto"/>
        <w:jc w:val="both"/>
        <w:rPr>
          <w:rFonts w:ascii="Calibri" w:hAnsi="Calibri" w:cs="Calibri"/>
          <w:sz w:val="24"/>
          <w:szCs w:val="24"/>
        </w:rPr>
      </w:pPr>
      <w:r w:rsidRPr="00BB5F31">
        <w:rPr>
          <w:rFonts w:ascii="Calibri" w:hAnsi="Calibri" w:cs="Calibri"/>
          <w:sz w:val="24"/>
          <w:szCs w:val="24"/>
        </w:rPr>
        <w:t xml:space="preserve">April 2025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Raavi">
    <w:panose1 w:val="02000500000000000000"/>
    <w:charset w:val="00"/>
    <w:family w:val="swiss"/>
    <w:pitch w:val="variable"/>
    <w:sig w:usb0="0002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F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F3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F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D5D2D" w:rsidP="008D5D2D">
      <w:pPr>
        <w:spacing w:line="240" w:lineRule="auto"/>
      </w:pPr>
      <w:r>
        <w:separator/>
      </w:r>
    </w:p>
  </w:footnote>
  <w:footnote w:type="continuationSeparator" w:id="1">
    <w:p w:rsidR="008D5D2D" w:rsidP="008D5D2D">
      <w:pPr>
        <w:spacing w:line="240" w:lineRule="auto"/>
      </w:pPr>
      <w:r>
        <w:continuationSeparator/>
      </w:r>
    </w:p>
  </w:footnote>
  <w:footnote w:id="2">
    <w:p w:rsidR="008D5D2D" w:rsidRPr="00E827FD" w:rsidP="008D5D2D">
      <w:pPr>
        <w:pStyle w:val="FootnoteText"/>
        <w:rPr>
          <w:rFonts w:ascii="Roboto" w:hAnsi="Roboto"/>
          <w:lang w:val="en-US"/>
        </w:rPr>
      </w:pPr>
      <w:r w:rsidRPr="00E827FD">
        <w:rPr>
          <w:rStyle w:val="FootnoteReference"/>
          <w:rFonts w:ascii="Roboto" w:hAnsi="Roboto"/>
        </w:rPr>
        <w:footnoteRef/>
      </w:r>
      <w:r w:rsidRPr="00E827FD">
        <w:rPr>
          <w:rFonts w:ascii="Roboto" w:hAnsi="Roboto"/>
        </w:rPr>
        <w:t xml:space="preserve"> For example, the application fee for someone applying to update their Skilled Worker visa from inside the UK can be as high as £1,636 per person (if they will be in the UK for more than three years). Other charges apply, notably the Immigration Health Surcharge (usually £1,035).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F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F31" w:rsidRPr="00BB5F31" w:rsidP="00BB5F31">
    <w:pPr>
      <w:pStyle w:val="Header"/>
      <w:jc w:val="center"/>
      <w:rPr>
        <w:rFonts w:ascii="Calibri" w:hAnsi="Calibri" w:cs="Calibri"/>
        <w:b/>
        <w:bCs/>
        <w:sz w:val="28"/>
        <w:szCs w:val="28"/>
      </w:rPr>
    </w:pPr>
    <w:r w:rsidRPr="00BB5F31">
      <w:rPr>
        <w:rFonts w:ascii="Calibri" w:hAnsi="Calibri" w:cs="Calibri"/>
        <w:b/>
        <w:bCs/>
        <w:sz w:val="28"/>
        <w:szCs w:val="28"/>
      </w:rPr>
      <w:t>Written evidence submitted by Work Rights Centre (IMM0003)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F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7596161"/>
    <w:multiLevelType w:val="hybridMultilevel"/>
    <w:tmpl w:val="21F64E2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22C773A1"/>
    <w:multiLevelType w:val="hybridMultilevel"/>
    <w:tmpl w:val="9BB63BB4"/>
    <w:lvl w:ilvl="0">
      <w:start w:val="1"/>
      <w:numFmt w:val="decimal"/>
      <w:lvlText w:val="%1."/>
      <w:lvlJc w:val="left"/>
      <w:pPr>
        <w:ind w:left="360" w:hanging="360"/>
      </w:pPr>
      <w:rPr>
        <w:rFonts w:hint="default"/>
        <w:b w:val="0"/>
        <w:bCs w:val="0"/>
        <w:sz w:val="24"/>
        <w:szCs w:val="24"/>
      </w:rPr>
    </w:lvl>
    <w:lvl w:ilvl="1">
      <w:start w:val="1"/>
      <w:numFmt w:val="lowerLetter"/>
      <w:lvlText w:val="%2."/>
      <w:lvlJc w:val="left"/>
      <w:pPr>
        <w:ind w:left="644"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spelling="clean" w:grammar="clean"/>
  <w:revisionView w:comments="1" w:formatting="1" w:inkAnnotations="0" w:insDel="1" w:markup="1"/>
  <w:doNotTrackMoves/>
  <w:defaultTabStop w:val="720"/>
  <w:characterSpacingControl w:val="doNotCompress"/>
  <w:footnotePr>
    <w:footnote w:id="0"/>
    <w:footnote w:id="1"/>
  </w:footnotePr>
  <w:endnotePr>
    <w:numFmt w:val="decimal"/>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Theme="minorHAnsi" w:cs="Calibri"/>
        <w:color w:val="000000" w:themeColor="text1"/>
        <w:kern w:val="2"/>
        <w:sz w:val="22"/>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5D2D"/>
    <w:pPr>
      <w:spacing w:after="0" w:line="276" w:lineRule="auto"/>
    </w:pPr>
    <w:rPr>
      <w:rFonts w:ascii="Arial" w:eastAsia="Arial" w:hAnsi="Arial" w:cs="Arial"/>
      <w:color w:val="auto"/>
      <w:kern w:val="0"/>
      <w:szCs w:val="22"/>
      <w:lang w:eastAsia="en-GB"/>
    </w:rPr>
  </w:style>
  <w:style w:type="paragraph" w:styleId="Heading1">
    <w:name w:val="heading 1"/>
    <w:basedOn w:val="Normal"/>
    <w:next w:val="Normal"/>
    <w:link w:val="Heading1Char"/>
    <w:uiPriority w:val="9"/>
    <w:qFormat/>
    <w:rsid w:val="008D5D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5D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5D2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5D2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D5D2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D5D2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D5D2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D5D2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D5D2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D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5D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5D2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5D2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D5D2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D5D2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D5D2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D5D2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D5D2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D5D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5D2D"/>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8D5D2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5D2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D5D2D"/>
    <w:pPr>
      <w:spacing w:before="160"/>
      <w:jc w:val="center"/>
    </w:pPr>
    <w:rPr>
      <w:i/>
      <w:iCs/>
      <w:color w:val="404040" w:themeColor="text1" w:themeTint="BF"/>
    </w:rPr>
  </w:style>
  <w:style w:type="character" w:customStyle="1" w:styleId="QuoteChar">
    <w:name w:val="Quote Char"/>
    <w:basedOn w:val="DefaultParagraphFont"/>
    <w:link w:val="Quote"/>
    <w:uiPriority w:val="29"/>
    <w:rsid w:val="008D5D2D"/>
    <w:rPr>
      <w:i/>
      <w:iCs/>
      <w:color w:val="404040" w:themeColor="text1" w:themeTint="BF"/>
    </w:rPr>
  </w:style>
  <w:style w:type="paragraph" w:styleId="ListParagraph">
    <w:name w:val="List Paragraph"/>
    <w:basedOn w:val="Normal"/>
    <w:uiPriority w:val="34"/>
    <w:qFormat/>
    <w:rsid w:val="008D5D2D"/>
    <w:pPr>
      <w:ind w:left="720"/>
      <w:contextualSpacing/>
    </w:pPr>
  </w:style>
  <w:style w:type="character" w:styleId="IntenseEmphasis">
    <w:name w:val="Intense Emphasis"/>
    <w:basedOn w:val="DefaultParagraphFont"/>
    <w:uiPriority w:val="21"/>
    <w:qFormat/>
    <w:rsid w:val="008D5D2D"/>
    <w:rPr>
      <w:i/>
      <w:iCs/>
      <w:color w:val="0F4761" w:themeColor="accent1" w:themeShade="BF"/>
    </w:rPr>
  </w:style>
  <w:style w:type="paragraph" w:styleId="IntenseQuote">
    <w:name w:val="Intense Quote"/>
    <w:basedOn w:val="Normal"/>
    <w:next w:val="Normal"/>
    <w:link w:val="IntenseQuoteChar"/>
    <w:uiPriority w:val="30"/>
    <w:qFormat/>
    <w:rsid w:val="008D5D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5D2D"/>
    <w:rPr>
      <w:i/>
      <w:iCs/>
      <w:color w:val="0F4761" w:themeColor="accent1" w:themeShade="BF"/>
    </w:rPr>
  </w:style>
  <w:style w:type="character" w:styleId="IntenseReference">
    <w:name w:val="Intense Reference"/>
    <w:basedOn w:val="DefaultParagraphFont"/>
    <w:uiPriority w:val="32"/>
    <w:qFormat/>
    <w:rsid w:val="008D5D2D"/>
    <w:rPr>
      <w:b/>
      <w:bCs/>
      <w:smallCaps/>
      <w:color w:val="0F4761" w:themeColor="accent1" w:themeShade="BF"/>
      <w:spacing w:val="5"/>
    </w:rPr>
  </w:style>
  <w:style w:type="paragraph" w:styleId="TOC1">
    <w:name w:val="toc 1"/>
    <w:basedOn w:val="Normal"/>
    <w:next w:val="Normal"/>
    <w:autoRedefine/>
    <w:uiPriority w:val="39"/>
    <w:unhideWhenUsed/>
    <w:rsid w:val="008D5D2D"/>
    <w:pPr>
      <w:spacing w:after="100"/>
    </w:pPr>
  </w:style>
  <w:style w:type="character" w:styleId="Hyperlink">
    <w:name w:val="Hyperlink"/>
    <w:basedOn w:val="DefaultParagraphFont"/>
    <w:uiPriority w:val="99"/>
    <w:unhideWhenUsed/>
    <w:rsid w:val="008D5D2D"/>
    <w:rPr>
      <w:color w:val="467886" w:themeColor="hyperlink"/>
      <w:u w:val="single"/>
    </w:rPr>
  </w:style>
  <w:style w:type="paragraph" w:styleId="TOCHeading">
    <w:name w:val="TOC Heading"/>
    <w:basedOn w:val="Heading1"/>
    <w:next w:val="Normal"/>
    <w:uiPriority w:val="39"/>
    <w:unhideWhenUsed/>
    <w:qFormat/>
    <w:rsid w:val="008D5D2D"/>
    <w:pPr>
      <w:spacing w:before="240" w:after="0"/>
      <w:outlineLvl w:val="9"/>
    </w:pPr>
    <w:rPr>
      <w:sz w:val="32"/>
      <w:szCs w:val="32"/>
      <w:lang w:val="en-US"/>
    </w:rPr>
  </w:style>
  <w:style w:type="paragraph" w:styleId="TOC2">
    <w:name w:val="toc 2"/>
    <w:basedOn w:val="Normal"/>
    <w:next w:val="Normal"/>
    <w:autoRedefine/>
    <w:uiPriority w:val="39"/>
    <w:unhideWhenUsed/>
    <w:rsid w:val="008D5D2D"/>
    <w:pPr>
      <w:spacing w:after="100"/>
      <w:ind w:left="220"/>
    </w:pPr>
  </w:style>
  <w:style w:type="paragraph" w:styleId="FootnoteText">
    <w:name w:val="footnote text"/>
    <w:basedOn w:val="Normal"/>
    <w:link w:val="FootnoteTextChar"/>
    <w:uiPriority w:val="99"/>
    <w:semiHidden/>
    <w:unhideWhenUsed/>
    <w:rsid w:val="008D5D2D"/>
    <w:pPr>
      <w:spacing w:line="240" w:lineRule="auto"/>
    </w:pPr>
    <w:rPr>
      <w:sz w:val="20"/>
      <w:szCs w:val="20"/>
    </w:rPr>
  </w:style>
  <w:style w:type="character" w:customStyle="1" w:styleId="FootnoteTextChar">
    <w:name w:val="Footnote Text Char"/>
    <w:basedOn w:val="DefaultParagraphFont"/>
    <w:link w:val="FootnoteText"/>
    <w:uiPriority w:val="99"/>
    <w:semiHidden/>
    <w:rsid w:val="008D5D2D"/>
    <w:rPr>
      <w:rFonts w:ascii="Arial" w:eastAsia="Arial" w:hAnsi="Arial" w:cs="Arial"/>
      <w:color w:val="auto"/>
      <w:kern w:val="0"/>
      <w:sz w:val="20"/>
      <w:szCs w:val="20"/>
      <w:lang w:eastAsia="en-GB"/>
    </w:rPr>
  </w:style>
  <w:style w:type="character" w:styleId="FootnoteReference">
    <w:name w:val="footnote reference"/>
    <w:basedOn w:val="DefaultParagraphFont"/>
    <w:uiPriority w:val="99"/>
    <w:semiHidden/>
    <w:unhideWhenUsed/>
    <w:rsid w:val="008D5D2D"/>
    <w:rPr>
      <w:vertAlign w:val="superscript"/>
    </w:rPr>
  </w:style>
  <w:style w:type="paragraph" w:styleId="EndnoteText">
    <w:name w:val="endnote text"/>
    <w:basedOn w:val="Normal"/>
    <w:link w:val="EndnoteTextChar"/>
    <w:uiPriority w:val="99"/>
    <w:semiHidden/>
    <w:unhideWhenUsed/>
    <w:rsid w:val="008D5D2D"/>
    <w:pPr>
      <w:spacing w:line="240" w:lineRule="auto"/>
    </w:pPr>
    <w:rPr>
      <w:sz w:val="20"/>
      <w:szCs w:val="20"/>
    </w:rPr>
  </w:style>
  <w:style w:type="character" w:customStyle="1" w:styleId="EndnoteTextChar">
    <w:name w:val="Endnote Text Char"/>
    <w:basedOn w:val="DefaultParagraphFont"/>
    <w:link w:val="EndnoteText"/>
    <w:uiPriority w:val="99"/>
    <w:semiHidden/>
    <w:rsid w:val="008D5D2D"/>
    <w:rPr>
      <w:rFonts w:ascii="Arial" w:eastAsia="Arial" w:hAnsi="Arial" w:cs="Arial"/>
      <w:color w:val="auto"/>
      <w:kern w:val="0"/>
      <w:sz w:val="20"/>
      <w:szCs w:val="20"/>
      <w:lang w:eastAsia="en-GB"/>
    </w:rPr>
  </w:style>
  <w:style w:type="character" w:styleId="EndnoteReference">
    <w:name w:val="endnote reference"/>
    <w:basedOn w:val="DefaultParagraphFont"/>
    <w:uiPriority w:val="99"/>
    <w:semiHidden/>
    <w:unhideWhenUsed/>
    <w:rsid w:val="008D5D2D"/>
    <w:rPr>
      <w:vertAlign w:val="superscript"/>
    </w:rPr>
  </w:style>
  <w:style w:type="paragraph" w:styleId="Header">
    <w:name w:val="header"/>
    <w:basedOn w:val="Normal"/>
    <w:link w:val="HeaderChar"/>
    <w:uiPriority w:val="99"/>
    <w:unhideWhenUsed/>
    <w:rsid w:val="00BB5F31"/>
    <w:pPr>
      <w:tabs>
        <w:tab w:val="center" w:pos="4513"/>
        <w:tab w:val="right" w:pos="9026"/>
      </w:tabs>
      <w:spacing w:line="240" w:lineRule="auto"/>
    </w:pPr>
  </w:style>
  <w:style w:type="character" w:customStyle="1" w:styleId="HeaderChar">
    <w:name w:val="Header Char"/>
    <w:basedOn w:val="DefaultParagraphFont"/>
    <w:link w:val="Header"/>
    <w:uiPriority w:val="99"/>
    <w:rsid w:val="00BB5F31"/>
    <w:rPr>
      <w:rFonts w:ascii="Arial" w:eastAsia="Arial" w:hAnsi="Arial" w:cs="Arial"/>
      <w:color w:val="auto"/>
      <w:kern w:val="0"/>
      <w:szCs w:val="22"/>
      <w:lang w:eastAsia="en-GB"/>
    </w:rPr>
  </w:style>
  <w:style w:type="paragraph" w:styleId="Footer">
    <w:name w:val="footer"/>
    <w:basedOn w:val="Normal"/>
    <w:link w:val="FooterChar"/>
    <w:uiPriority w:val="99"/>
    <w:unhideWhenUsed/>
    <w:rsid w:val="00BB5F31"/>
    <w:pPr>
      <w:tabs>
        <w:tab w:val="center" w:pos="4513"/>
        <w:tab w:val="right" w:pos="9026"/>
      </w:tabs>
      <w:spacing w:line="240" w:lineRule="auto"/>
    </w:pPr>
  </w:style>
  <w:style w:type="character" w:customStyle="1" w:styleId="FooterChar">
    <w:name w:val="Footer Char"/>
    <w:basedOn w:val="DefaultParagraphFont"/>
    <w:link w:val="Footer"/>
    <w:uiPriority w:val="99"/>
    <w:rsid w:val="00BB5F31"/>
    <w:rPr>
      <w:rFonts w:ascii="Arial" w:eastAsia="Arial" w:hAnsi="Arial" w:cs="Arial"/>
      <w:color w:val="auto"/>
      <w:kern w:val="0"/>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