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272E8" w:rsidRPr="006272E8" w:rsidP="00BD38C4">
      <w:pPr>
        <w:spacing w:before="240" w:after="240" w:line="480" w:lineRule="auto"/>
        <w:jc w:val="center"/>
        <w:rPr>
          <w:rFonts w:ascii="Calibri" w:hAnsi="Calibri" w:cs="Calibri"/>
          <w:b/>
          <w:bCs/>
        </w:rPr>
      </w:pPr>
      <w:r w:rsidRPr="006272E8">
        <w:rPr>
          <w:rFonts w:ascii="Calibri" w:hAnsi="Calibri" w:cs="Calibri"/>
          <w:b/>
          <w:bCs/>
        </w:rPr>
        <w:t>WRITTEN SUBMISSION BY</w:t>
      </w:r>
      <w:r w:rsidRPr="006272E8">
        <w:rPr>
          <w:rFonts w:ascii="Calibri" w:hAnsi="Calibri" w:cs="Calibri"/>
          <w:b/>
          <w:bCs/>
        </w:rPr>
        <w:t xml:space="preserve"> MEDICAL JUSTICE AND BAIL FOR IMMIGRATION DETAINEES</w:t>
      </w:r>
    </w:p>
    <w:p w:rsidR="006272E8" w:rsidRPr="006272E8" w:rsidP="00BD38C4">
      <w:pPr>
        <w:spacing w:before="240" w:after="240" w:line="480" w:lineRule="auto"/>
        <w:jc w:val="center"/>
        <w:rPr>
          <w:rFonts w:ascii="Calibri" w:hAnsi="Calibri" w:cs="Calibri"/>
          <w:b/>
          <w:bCs/>
        </w:rPr>
      </w:pPr>
      <w:r w:rsidRPr="006272E8">
        <w:rPr>
          <w:rFonts w:ascii="Calibri" w:hAnsi="Calibri" w:cs="Calibri"/>
          <w:b/>
          <w:bCs/>
        </w:rPr>
        <w:t>(BSAI0033)</w:t>
      </w:r>
    </w:p>
    <w:p w:rsidR="006272E8" w:rsidRPr="006272E8" w:rsidP="00832341">
      <w:pPr>
        <w:spacing w:before="240" w:after="240" w:line="480" w:lineRule="auto"/>
        <w:jc w:val="both"/>
        <w:rPr>
          <w:rFonts w:ascii="Calibri" w:hAnsi="Calibri" w:cs="Calibri"/>
          <w:b/>
          <w:bCs/>
        </w:rPr>
      </w:pPr>
      <w:r w:rsidRPr="006272E8">
        <w:rPr>
          <w:rFonts w:ascii="Calibri" w:hAnsi="Calibri" w:cs="Calibri"/>
          <w:b/>
          <w:bCs/>
        </w:rPr>
        <w:t>Introduction</w:t>
      </w:r>
    </w:p>
    <w:p w:rsidR="006272E8" w:rsidRPr="006272E8" w:rsidP="00832341">
      <w:pPr>
        <w:spacing w:before="240" w:after="240" w:line="480" w:lineRule="auto"/>
        <w:jc w:val="both"/>
        <w:rPr>
          <w:rFonts w:ascii="Calibri" w:hAnsi="Calibri" w:cs="Calibri"/>
        </w:rPr>
      </w:pPr>
      <w:r w:rsidRPr="006272E8">
        <w:rPr>
          <w:rFonts w:ascii="Calibri" w:hAnsi="Calibri" w:cs="Calibri"/>
        </w:rPr>
        <w:t>1.</w:t>
      </w:r>
      <w:r w:rsidRPr="006272E8">
        <w:rPr>
          <w:rFonts w:ascii="Calibri" w:hAnsi="Calibri" w:cs="Calibri"/>
        </w:rPr>
        <w:tab/>
      </w:r>
      <w:r w:rsidRPr="006272E8">
        <w:rPr>
          <w:rFonts w:ascii="Calibri" w:hAnsi="Calibri" w:cs="Calibri"/>
        </w:rPr>
        <w:t>Th</w:t>
      </w:r>
      <w:r w:rsidRPr="006272E8">
        <w:rPr>
          <w:rFonts w:ascii="Calibri" w:hAnsi="Calibri" w:cs="Calibri"/>
        </w:rPr>
        <w:t>is</w:t>
      </w:r>
      <w:r w:rsidRPr="006272E8">
        <w:rPr>
          <w:rFonts w:ascii="Calibri" w:hAnsi="Calibri" w:cs="Calibri"/>
        </w:rPr>
        <w:t xml:space="preserve"> submission address</w:t>
      </w:r>
      <w:r w:rsidRPr="006272E8">
        <w:rPr>
          <w:rFonts w:ascii="Calibri" w:hAnsi="Calibri" w:cs="Calibri"/>
        </w:rPr>
        <w:t>es</w:t>
      </w:r>
      <w:r w:rsidRPr="006272E8">
        <w:rPr>
          <w:rFonts w:ascii="Calibri" w:hAnsi="Calibri" w:cs="Calibri"/>
        </w:rPr>
        <w:t xml:space="preserve"> Question 4(a) of the J</w:t>
      </w:r>
      <w:r w:rsidRPr="006272E8">
        <w:rPr>
          <w:rFonts w:ascii="Calibri" w:hAnsi="Calibri" w:cs="Calibri"/>
        </w:rPr>
        <w:t xml:space="preserve">oint </w:t>
      </w:r>
      <w:r w:rsidRPr="006272E8">
        <w:rPr>
          <w:rFonts w:ascii="Calibri" w:hAnsi="Calibri" w:cs="Calibri"/>
        </w:rPr>
        <w:t>C</w:t>
      </w:r>
      <w:r w:rsidRPr="006272E8">
        <w:rPr>
          <w:rFonts w:ascii="Calibri" w:hAnsi="Calibri" w:cs="Calibri"/>
        </w:rPr>
        <w:t xml:space="preserve">ommittee on </w:t>
      </w:r>
      <w:r w:rsidRPr="006272E8">
        <w:rPr>
          <w:rFonts w:ascii="Calibri" w:hAnsi="Calibri" w:cs="Calibri"/>
        </w:rPr>
        <w:t>H</w:t>
      </w:r>
      <w:r w:rsidRPr="006272E8">
        <w:rPr>
          <w:rFonts w:ascii="Calibri" w:hAnsi="Calibri" w:cs="Calibri"/>
        </w:rPr>
        <w:t xml:space="preserve">uman </w:t>
      </w:r>
      <w:r w:rsidRPr="006272E8">
        <w:rPr>
          <w:rFonts w:ascii="Calibri" w:hAnsi="Calibri" w:cs="Calibri"/>
        </w:rPr>
        <w:t>R</w:t>
      </w:r>
      <w:r w:rsidRPr="006272E8">
        <w:rPr>
          <w:rFonts w:ascii="Calibri" w:hAnsi="Calibri" w:cs="Calibri"/>
        </w:rPr>
        <w:t>ight</w:t>
      </w:r>
      <w:r w:rsidRPr="006272E8">
        <w:rPr>
          <w:rFonts w:ascii="Calibri" w:hAnsi="Calibri" w:cs="Calibri"/>
        </w:rPr>
        <w:t>s</w:t>
      </w:r>
      <w:r w:rsidRPr="006272E8">
        <w:rPr>
          <w:rFonts w:ascii="Calibri" w:hAnsi="Calibri" w:cs="Calibri"/>
        </w:rPr>
        <w:t>’</w:t>
      </w:r>
      <w:r w:rsidRPr="006272E8">
        <w:rPr>
          <w:rFonts w:ascii="Calibri" w:hAnsi="Calibri" w:cs="Calibri"/>
        </w:rPr>
        <w:t xml:space="preserve"> </w:t>
      </w:r>
      <w:r w:rsidRPr="006272E8">
        <w:rPr>
          <w:rFonts w:ascii="Calibri" w:hAnsi="Calibri" w:cs="Calibri"/>
        </w:rPr>
        <w:t xml:space="preserve">(JCHR) </w:t>
      </w:r>
      <w:r w:rsidRPr="006272E8">
        <w:rPr>
          <w:rFonts w:ascii="Calibri" w:hAnsi="Calibri" w:cs="Calibri"/>
        </w:rPr>
        <w:t>call for evidence</w:t>
      </w:r>
      <w:r w:rsidRPr="006272E8">
        <w:rPr>
          <w:rFonts w:ascii="Calibri" w:hAnsi="Calibri" w:cs="Calibri"/>
        </w:rPr>
        <w:t xml:space="preserve"> on the Border Security, Asylum and Immigration Bill</w:t>
      </w:r>
      <w:r w:rsidRPr="006272E8">
        <w:rPr>
          <w:rFonts w:ascii="Calibri" w:hAnsi="Calibri" w:cs="Calibri"/>
        </w:rPr>
        <w:t>, namely: “</w:t>
      </w:r>
      <w:r w:rsidRPr="006272E8">
        <w:rPr>
          <w:rFonts w:ascii="Calibri" w:hAnsi="Calibri" w:cs="Calibri"/>
          <w:b/>
          <w:bCs/>
        </w:rPr>
        <w:t>The Bill will repeal the majority of the Illegal Migration Act 2023 (IMA</w:t>
      </w:r>
      <w:r w:rsidRPr="006272E8">
        <w:rPr>
          <w:rFonts w:ascii="Calibri" w:hAnsi="Calibri" w:cs="Calibri"/>
          <w:b/>
          <w:bCs/>
        </w:rPr>
        <w:t>), but</w:t>
      </w:r>
      <w:r w:rsidRPr="006272E8">
        <w:rPr>
          <w:rFonts w:ascii="Calibri" w:hAnsi="Calibri" w:cs="Calibri"/>
          <w:b/>
          <w:bCs/>
        </w:rPr>
        <w:t xml:space="preserve"> will retain various provisions. Is the retention of </w:t>
      </w:r>
      <w:r w:rsidRPr="006272E8">
        <w:rPr>
          <w:rFonts w:ascii="Calibri" w:hAnsi="Calibri" w:cs="Calibri"/>
          <w:b/>
          <w:bCs/>
        </w:rPr>
        <w:t>S</w:t>
      </w:r>
      <w:r w:rsidRPr="006272E8">
        <w:rPr>
          <w:rFonts w:ascii="Calibri" w:hAnsi="Calibri" w:cs="Calibri"/>
          <w:b/>
          <w:bCs/>
        </w:rPr>
        <w:t xml:space="preserve">ection 12 IMA compatible with the requirements of Article 5 ECHR, previously guaranteed by the common law application of the </w:t>
      </w:r>
      <w:r w:rsidRPr="006272E8">
        <w:rPr>
          <w:rFonts w:ascii="Calibri" w:hAnsi="Calibri" w:cs="Calibri"/>
          <w:b/>
          <w:bCs/>
          <w:i/>
          <w:iCs/>
        </w:rPr>
        <w:t>Hardial Singh</w:t>
      </w:r>
      <w:r w:rsidRPr="006272E8">
        <w:rPr>
          <w:rFonts w:ascii="Calibri" w:hAnsi="Calibri" w:cs="Calibri"/>
          <w:b/>
          <w:bCs/>
        </w:rPr>
        <w:t xml:space="preserve"> principles?</w:t>
      </w:r>
      <w:r w:rsidRPr="006272E8">
        <w:rPr>
          <w:rFonts w:ascii="Calibri" w:hAnsi="Calibri" w:cs="Calibri"/>
          <w:b/>
          <w:bCs/>
        </w:rPr>
        <w:t>”</w:t>
      </w:r>
    </w:p>
    <w:p w:rsidR="006272E8" w:rsidRPr="006272E8" w:rsidP="00832341">
      <w:pPr>
        <w:spacing w:before="240" w:after="240" w:line="480" w:lineRule="auto"/>
        <w:jc w:val="both"/>
        <w:rPr>
          <w:rFonts w:ascii="Calibri" w:hAnsi="Calibri" w:cs="Calibri"/>
        </w:rPr>
      </w:pPr>
      <w:r w:rsidRPr="006272E8">
        <w:rPr>
          <w:rFonts w:ascii="Calibri" w:hAnsi="Calibri" w:cs="Calibri"/>
        </w:rPr>
        <w:t>2.</w:t>
      </w:r>
      <w:r w:rsidRPr="006272E8">
        <w:rPr>
          <w:rFonts w:ascii="Calibri" w:hAnsi="Calibri" w:cs="Calibri"/>
        </w:rPr>
        <w:tab/>
      </w:r>
      <w:r w:rsidRPr="006272E8">
        <w:rPr>
          <w:rFonts w:ascii="Calibri" w:hAnsi="Calibri" w:cs="Calibri"/>
        </w:rPr>
        <w:t>Medical Justice</w:t>
      </w:r>
      <w:r>
        <w:rPr>
          <w:rStyle w:val="FootnoteReference"/>
          <w:rFonts w:ascii="Calibri" w:hAnsi="Calibri" w:cs="Calibri"/>
        </w:rPr>
        <w:footnoteReference w:id="2"/>
      </w:r>
      <w:r w:rsidRPr="006272E8">
        <w:rPr>
          <w:rFonts w:ascii="Calibri" w:hAnsi="Calibri" w:cs="Calibri"/>
        </w:rPr>
        <w:t xml:space="preserve"> (“MJ”)</w:t>
      </w:r>
      <w:r w:rsidRPr="006272E8">
        <w:rPr>
          <w:rFonts w:ascii="Calibri" w:hAnsi="Calibri" w:cs="Calibri"/>
        </w:rPr>
        <w:t xml:space="preserve"> and Bail for Immigration Detainees</w:t>
      </w:r>
      <w:r>
        <w:rPr>
          <w:rStyle w:val="FootnoteReference"/>
          <w:rFonts w:ascii="Calibri" w:hAnsi="Calibri" w:cs="Calibri"/>
        </w:rPr>
        <w:footnoteReference w:id="3"/>
      </w:r>
      <w:r w:rsidRPr="006272E8">
        <w:rPr>
          <w:rFonts w:ascii="Calibri" w:hAnsi="Calibri" w:cs="Calibri"/>
        </w:rPr>
        <w:t xml:space="preserve"> (“BID”)</w:t>
      </w:r>
      <w:r w:rsidRPr="006272E8">
        <w:rPr>
          <w:rFonts w:ascii="Calibri" w:hAnsi="Calibri" w:cs="Calibri"/>
        </w:rPr>
        <w:t xml:space="preserve"> have campaigned for many years on these issues and have produced </w:t>
      </w:r>
      <w:r w:rsidRPr="006272E8">
        <w:rPr>
          <w:rFonts w:ascii="Calibri" w:hAnsi="Calibri" w:cs="Calibri"/>
        </w:rPr>
        <w:t>this</w:t>
      </w:r>
      <w:r w:rsidRPr="006272E8">
        <w:rPr>
          <w:rFonts w:ascii="Calibri" w:hAnsi="Calibri" w:cs="Calibri"/>
        </w:rPr>
        <w:t xml:space="preserve"> </w:t>
      </w:r>
      <w:r w:rsidRPr="006272E8">
        <w:rPr>
          <w:rFonts w:ascii="Calibri" w:hAnsi="Calibri" w:cs="Calibri"/>
        </w:rPr>
        <w:t>joint submission to assist the JCHR with how Section 12 of the I</w:t>
      </w:r>
      <w:r w:rsidRPr="006272E8">
        <w:rPr>
          <w:rFonts w:ascii="Calibri" w:hAnsi="Calibri" w:cs="Calibri"/>
        </w:rPr>
        <w:t xml:space="preserve">llegal Migration Act 2023 (“Section 12”) has worked in practice and provide our view on whether it should </w:t>
      </w:r>
      <w:r w:rsidRPr="006272E8">
        <w:rPr>
          <w:rFonts w:ascii="Calibri" w:hAnsi="Calibri" w:cs="Calibri"/>
        </w:rPr>
        <w:t xml:space="preserve">be </w:t>
      </w:r>
      <w:r w:rsidRPr="006272E8">
        <w:rPr>
          <w:rFonts w:ascii="Calibri" w:hAnsi="Calibri" w:cs="Calibri"/>
        </w:rPr>
        <w:t>repealed</w:t>
      </w:r>
      <w:r w:rsidRPr="006272E8">
        <w:rPr>
          <w:rFonts w:ascii="Calibri" w:hAnsi="Calibri" w:cs="Calibri"/>
        </w:rPr>
        <w:t>.</w:t>
      </w:r>
    </w:p>
    <w:p w:rsidR="006272E8" w:rsidRPr="006272E8" w:rsidP="00832341">
      <w:pPr>
        <w:spacing w:before="240" w:after="240" w:line="480" w:lineRule="auto"/>
        <w:jc w:val="both"/>
        <w:rPr>
          <w:rFonts w:ascii="Calibri" w:hAnsi="Calibri" w:cs="Calibri"/>
        </w:rPr>
      </w:pPr>
      <w:r w:rsidRPr="006272E8">
        <w:rPr>
          <w:rFonts w:ascii="Calibri" w:hAnsi="Calibri" w:cs="Calibri"/>
        </w:rPr>
        <w:t>3.</w:t>
      </w:r>
      <w:r w:rsidRPr="006272E8">
        <w:rPr>
          <w:rFonts w:ascii="Calibri" w:hAnsi="Calibri" w:cs="Calibri"/>
        </w:rPr>
        <w:tab/>
      </w:r>
      <w:r w:rsidRPr="006272E8">
        <w:rPr>
          <w:rFonts w:ascii="Calibri" w:hAnsi="Calibri" w:cs="Calibri"/>
        </w:rPr>
        <w:t xml:space="preserve">In summary, our position is </w:t>
      </w:r>
      <w:r w:rsidRPr="006272E8">
        <w:rPr>
          <w:rFonts w:ascii="Calibri" w:hAnsi="Calibri" w:cs="Calibri"/>
        </w:rPr>
        <w:t xml:space="preserve">that </w:t>
      </w:r>
      <w:r w:rsidRPr="006272E8">
        <w:rPr>
          <w:rFonts w:ascii="Calibri" w:hAnsi="Calibri" w:cs="Calibri"/>
        </w:rPr>
        <w:t xml:space="preserve">while </w:t>
      </w:r>
      <w:r w:rsidRPr="006272E8">
        <w:rPr>
          <w:rFonts w:ascii="Calibri" w:hAnsi="Calibri" w:cs="Calibri"/>
        </w:rPr>
        <w:t xml:space="preserve">Section 12 </w:t>
      </w:r>
      <w:r w:rsidRPr="006272E8">
        <w:rPr>
          <w:rFonts w:ascii="Calibri" w:hAnsi="Calibri" w:cs="Calibri"/>
        </w:rPr>
        <w:t>has yet</w:t>
      </w:r>
      <w:r w:rsidRPr="006272E8">
        <w:rPr>
          <w:rFonts w:ascii="Calibri" w:hAnsi="Calibri" w:cs="Calibri"/>
        </w:rPr>
        <w:t xml:space="preserve"> to be the subject of detailed judicial examination, there </w:t>
      </w:r>
      <w:r w:rsidRPr="006272E8">
        <w:rPr>
          <w:rFonts w:ascii="Calibri" w:hAnsi="Calibri" w:cs="Calibri"/>
        </w:rPr>
        <w:t xml:space="preserve">are </w:t>
      </w:r>
      <w:r w:rsidRPr="006272E8">
        <w:rPr>
          <w:rFonts w:ascii="Calibri" w:hAnsi="Calibri" w:cs="Calibri"/>
        </w:rPr>
        <w:t xml:space="preserve">in reality </w:t>
      </w:r>
      <w:r w:rsidRPr="006272E8">
        <w:rPr>
          <w:rFonts w:ascii="Calibri" w:hAnsi="Calibri" w:cs="Calibri"/>
        </w:rPr>
        <w:t>only</w:t>
      </w:r>
      <w:r w:rsidRPr="006272E8">
        <w:rPr>
          <w:rFonts w:ascii="Calibri" w:hAnsi="Calibri" w:cs="Calibri"/>
        </w:rPr>
        <w:t xml:space="preserve"> two possibilities: (i) that the provision is contrary to Articl</w:t>
      </w:r>
      <w:r w:rsidRPr="006272E8">
        <w:rPr>
          <w:rFonts w:ascii="Calibri" w:hAnsi="Calibri" w:cs="Calibri"/>
        </w:rPr>
        <w:t>e</w:t>
      </w:r>
      <w:r w:rsidRPr="006272E8">
        <w:rPr>
          <w:rFonts w:ascii="Calibri" w:hAnsi="Calibri" w:cs="Calibri"/>
        </w:rPr>
        <w:t xml:space="preserve"> 5</w:t>
      </w:r>
      <w:r w:rsidRPr="006272E8">
        <w:rPr>
          <w:rFonts w:ascii="Calibri" w:hAnsi="Calibri" w:cs="Calibri"/>
        </w:rPr>
        <w:t xml:space="preserve"> ECHR; </w:t>
      </w:r>
      <w:r w:rsidRPr="006272E8">
        <w:rPr>
          <w:rFonts w:ascii="Calibri" w:hAnsi="Calibri" w:cs="Calibri"/>
        </w:rPr>
        <w:t>or</w:t>
      </w:r>
      <w:r w:rsidRPr="006272E8">
        <w:rPr>
          <w:rFonts w:ascii="Calibri" w:hAnsi="Calibri" w:cs="Calibri"/>
        </w:rPr>
        <w:t xml:space="preserve"> (ii) that the provision has no effect at all. To date</w:t>
      </w:r>
      <w:r w:rsidRPr="006272E8">
        <w:rPr>
          <w:rFonts w:ascii="Calibri" w:hAnsi="Calibri" w:cs="Calibri"/>
        </w:rPr>
        <w:t xml:space="preserve">, the Home Office </w:t>
      </w:r>
      <w:r w:rsidRPr="006272E8">
        <w:rPr>
          <w:rFonts w:ascii="Calibri" w:hAnsi="Calibri" w:cs="Calibri"/>
        </w:rPr>
        <w:t>appear</w:t>
      </w:r>
      <w:r w:rsidRPr="006272E8">
        <w:rPr>
          <w:rFonts w:ascii="Calibri" w:hAnsi="Calibri" w:cs="Calibri"/>
        </w:rPr>
        <w:t>s</w:t>
      </w:r>
      <w:r w:rsidRPr="006272E8">
        <w:rPr>
          <w:rFonts w:ascii="Calibri" w:hAnsi="Calibri" w:cs="Calibri"/>
        </w:rPr>
        <w:t xml:space="preserve"> </w:t>
      </w:r>
      <w:r w:rsidRPr="006272E8">
        <w:rPr>
          <w:rFonts w:ascii="Calibri" w:hAnsi="Calibri" w:cs="Calibri"/>
        </w:rPr>
        <w:t xml:space="preserve">to have accepted in </w:t>
      </w:r>
      <w:r w:rsidRPr="006272E8">
        <w:rPr>
          <w:rFonts w:ascii="Calibri" w:hAnsi="Calibri" w:cs="Calibri"/>
        </w:rPr>
        <w:t xml:space="preserve">its </w:t>
      </w:r>
      <w:r w:rsidRPr="006272E8">
        <w:rPr>
          <w:rFonts w:ascii="Calibri" w:hAnsi="Calibri" w:cs="Calibri"/>
        </w:rPr>
        <w:t xml:space="preserve">policy documents that Section 12 does not expand the power to detain beyond what is already authorised by Article 5 ECHR and the department has </w:t>
      </w:r>
      <w:r w:rsidRPr="006272E8">
        <w:rPr>
          <w:rFonts w:ascii="Calibri" w:hAnsi="Calibri" w:cs="Calibri"/>
        </w:rPr>
        <w:t xml:space="preserve">appeared </w:t>
      </w:r>
      <w:r w:rsidRPr="006272E8">
        <w:rPr>
          <w:rFonts w:ascii="Calibri" w:hAnsi="Calibri" w:cs="Calibri"/>
        </w:rPr>
        <w:t>unenthusiastic</w:t>
      </w:r>
      <w:r w:rsidRPr="006272E8">
        <w:rPr>
          <w:rFonts w:ascii="Calibri" w:hAnsi="Calibri" w:cs="Calibri"/>
        </w:rPr>
        <w:t xml:space="preserve"> </w:t>
      </w:r>
      <w:r w:rsidRPr="006272E8">
        <w:rPr>
          <w:rFonts w:ascii="Calibri" w:hAnsi="Calibri" w:cs="Calibri"/>
        </w:rPr>
        <w:t>about</w:t>
      </w:r>
      <w:r w:rsidRPr="006272E8">
        <w:rPr>
          <w:rFonts w:ascii="Calibri" w:hAnsi="Calibri" w:cs="Calibri"/>
        </w:rPr>
        <w:t xml:space="preserve"> rely</w:t>
      </w:r>
      <w:r w:rsidRPr="006272E8">
        <w:rPr>
          <w:rFonts w:ascii="Calibri" w:hAnsi="Calibri" w:cs="Calibri"/>
        </w:rPr>
        <w:t>ing</w:t>
      </w:r>
      <w:r w:rsidRPr="006272E8">
        <w:rPr>
          <w:rFonts w:ascii="Calibri" w:hAnsi="Calibri" w:cs="Calibri"/>
        </w:rPr>
        <w:t xml:space="preserve"> on it when defending unlawful detention claims</w:t>
      </w:r>
      <w:r w:rsidRPr="006272E8">
        <w:rPr>
          <w:rFonts w:ascii="Calibri" w:hAnsi="Calibri" w:cs="Calibri"/>
        </w:rPr>
        <w:t xml:space="preserve">. Nonetheless, we consider that Section 12 should be repealed because, even </w:t>
      </w:r>
      <w:r w:rsidRPr="006272E8">
        <w:rPr>
          <w:rFonts w:ascii="Calibri" w:hAnsi="Calibri" w:cs="Calibri"/>
        </w:rPr>
        <w:t xml:space="preserve">if </w:t>
      </w:r>
      <w:r w:rsidRPr="006272E8">
        <w:rPr>
          <w:rFonts w:ascii="Calibri" w:hAnsi="Calibri" w:cs="Calibri"/>
        </w:rPr>
        <w:t xml:space="preserve">the Home Office does not </w:t>
      </w:r>
      <w:r w:rsidRPr="006272E8">
        <w:rPr>
          <w:rFonts w:ascii="Calibri" w:hAnsi="Calibri" w:cs="Calibri"/>
        </w:rPr>
        <w:t xml:space="preserve">currently </w:t>
      </w:r>
      <w:r w:rsidRPr="006272E8">
        <w:rPr>
          <w:rFonts w:ascii="Calibri" w:hAnsi="Calibri" w:cs="Calibri"/>
        </w:rPr>
        <w:t>r</w:t>
      </w:r>
      <w:r w:rsidRPr="006272E8">
        <w:rPr>
          <w:rFonts w:ascii="Calibri" w:hAnsi="Calibri" w:cs="Calibri"/>
        </w:rPr>
        <w:t xml:space="preserve">ely on it, it is causing </w:t>
      </w:r>
      <w:r w:rsidRPr="006272E8">
        <w:rPr>
          <w:rFonts w:ascii="Calibri" w:hAnsi="Calibri" w:cs="Calibri"/>
        </w:rPr>
        <w:t xml:space="preserve">significant </w:t>
      </w:r>
      <w:r w:rsidRPr="006272E8">
        <w:rPr>
          <w:rFonts w:ascii="Calibri" w:hAnsi="Calibri" w:cs="Calibri"/>
        </w:rPr>
        <w:t>uncertainty about the law.</w:t>
      </w:r>
      <w:r w:rsidRPr="006272E8">
        <w:rPr>
          <w:rFonts w:ascii="Calibri" w:hAnsi="Calibri" w:cs="Calibri"/>
        </w:rPr>
        <w:t xml:space="preserve"> Moreover, if it were relied </w:t>
      </w:r>
      <w:r w:rsidRPr="006272E8">
        <w:rPr>
          <w:rFonts w:ascii="Calibri" w:hAnsi="Calibri" w:cs="Calibri"/>
        </w:rPr>
        <w:t>up</w:t>
      </w:r>
      <w:r w:rsidRPr="006272E8">
        <w:rPr>
          <w:rFonts w:ascii="Calibri" w:hAnsi="Calibri" w:cs="Calibri"/>
        </w:rPr>
        <w:t xml:space="preserve">on and had the effect that is contended for it in the Explanatory Notes to </w:t>
      </w:r>
      <w:r w:rsidRPr="006272E8">
        <w:rPr>
          <w:rFonts w:ascii="Calibri" w:hAnsi="Calibri" w:cs="Calibri"/>
        </w:rPr>
        <w:t>the Act, it would be clearly incompatible with Article 5 ECHR.</w:t>
      </w:r>
    </w:p>
    <w:p w:rsidR="006272E8" w:rsidRPr="006272E8" w:rsidP="00832341">
      <w:pPr>
        <w:spacing w:before="240" w:after="240" w:line="480" w:lineRule="auto"/>
        <w:jc w:val="both"/>
        <w:rPr>
          <w:rFonts w:ascii="Calibri" w:hAnsi="Calibri" w:cs="Calibri"/>
          <w:b/>
          <w:bCs/>
        </w:rPr>
      </w:pPr>
      <w:r w:rsidRPr="006272E8">
        <w:rPr>
          <w:rFonts w:ascii="Calibri" w:hAnsi="Calibri" w:cs="Calibri"/>
          <w:b/>
          <w:bCs/>
        </w:rPr>
        <w:t xml:space="preserve">Background </w:t>
      </w:r>
      <w:r w:rsidRPr="006272E8">
        <w:rPr>
          <w:rFonts w:ascii="Calibri" w:hAnsi="Calibri" w:cs="Calibri"/>
        </w:rPr>
        <w:t>–</w:t>
      </w:r>
      <w:r w:rsidRPr="006272E8">
        <w:rPr>
          <w:rFonts w:ascii="Calibri" w:hAnsi="Calibri" w:cs="Calibri"/>
          <w:b/>
          <w:bCs/>
        </w:rPr>
        <w:t xml:space="preserve"> Immigration Detention powers and the </w:t>
      </w:r>
      <w:r w:rsidRPr="006272E8">
        <w:rPr>
          <w:rFonts w:ascii="Calibri" w:hAnsi="Calibri" w:cs="Calibri"/>
          <w:b/>
          <w:bCs/>
          <w:i/>
          <w:iCs/>
        </w:rPr>
        <w:t>Hardial Singh</w:t>
      </w:r>
      <w:r w:rsidRPr="006272E8">
        <w:rPr>
          <w:rFonts w:ascii="Calibri" w:hAnsi="Calibri" w:cs="Calibri"/>
          <w:b/>
          <w:bCs/>
        </w:rPr>
        <w:t xml:space="preserve"> principles</w:t>
      </w:r>
    </w:p>
    <w:p w:rsidR="006272E8" w:rsidRPr="006272E8" w:rsidP="00832341">
      <w:pPr>
        <w:spacing w:before="240" w:after="240" w:line="480" w:lineRule="auto"/>
        <w:jc w:val="both"/>
        <w:rPr>
          <w:rFonts w:ascii="Calibri" w:hAnsi="Calibri" w:cs="Calibri"/>
        </w:rPr>
      </w:pPr>
      <w:r w:rsidRPr="006272E8">
        <w:rPr>
          <w:rFonts w:ascii="Calibri" w:hAnsi="Calibri" w:cs="Calibri"/>
        </w:rPr>
        <w:t>4.</w:t>
      </w:r>
      <w:r w:rsidRPr="006272E8">
        <w:rPr>
          <w:rFonts w:ascii="Calibri" w:hAnsi="Calibri" w:cs="Calibri"/>
        </w:rPr>
        <w:tab/>
      </w:r>
      <w:r w:rsidRPr="006272E8">
        <w:rPr>
          <w:rFonts w:ascii="Calibri" w:hAnsi="Calibri" w:cs="Calibri"/>
        </w:rPr>
        <w:t>The government has</w:t>
      </w:r>
      <w:r w:rsidRPr="006272E8">
        <w:rPr>
          <w:rFonts w:ascii="Calibri" w:hAnsi="Calibri" w:cs="Calibri"/>
        </w:rPr>
        <w:t>, in theory,</w:t>
      </w:r>
      <w:r w:rsidRPr="006272E8">
        <w:rPr>
          <w:rFonts w:ascii="Calibri" w:hAnsi="Calibri" w:cs="Calibri"/>
        </w:rPr>
        <w:t xml:space="preserve"> the power to detain</w:t>
      </w:r>
      <w:r w:rsidRPr="006272E8">
        <w:rPr>
          <w:rFonts w:ascii="Calibri" w:hAnsi="Calibri" w:cs="Calibri"/>
        </w:rPr>
        <w:t xml:space="preserve"> people</w:t>
      </w:r>
      <w:r w:rsidRPr="006272E8">
        <w:rPr>
          <w:rFonts w:ascii="Calibri" w:hAnsi="Calibri" w:cs="Calibri"/>
        </w:rPr>
        <w:t>,</w:t>
      </w:r>
      <w:r w:rsidRPr="006272E8">
        <w:rPr>
          <w:rFonts w:ascii="Calibri" w:hAnsi="Calibri" w:cs="Calibri"/>
        </w:rPr>
        <w:t xml:space="preserve"> </w:t>
      </w:r>
      <w:r w:rsidRPr="006272E8">
        <w:rPr>
          <w:rFonts w:ascii="Calibri" w:hAnsi="Calibri" w:cs="Calibri"/>
        </w:rPr>
        <w:t xml:space="preserve">for an indefinite period, </w:t>
      </w:r>
      <w:r w:rsidRPr="006272E8">
        <w:rPr>
          <w:rFonts w:ascii="Calibri" w:hAnsi="Calibri" w:cs="Calibri"/>
        </w:rPr>
        <w:t xml:space="preserve">pending </w:t>
      </w:r>
      <w:r w:rsidRPr="006272E8">
        <w:rPr>
          <w:rFonts w:ascii="Calibri" w:hAnsi="Calibri" w:cs="Calibri"/>
        </w:rPr>
        <w:t xml:space="preserve">their </w:t>
      </w:r>
      <w:r w:rsidRPr="006272E8">
        <w:rPr>
          <w:rFonts w:ascii="Calibri" w:hAnsi="Calibri" w:cs="Calibri"/>
        </w:rPr>
        <w:t>deportation and removal from the UK</w:t>
      </w:r>
      <w:r w:rsidRPr="006272E8">
        <w:rPr>
          <w:rFonts w:ascii="Calibri" w:hAnsi="Calibri" w:cs="Calibri"/>
        </w:rPr>
        <w:t>.</w:t>
      </w:r>
      <w:r>
        <w:rPr>
          <w:rStyle w:val="FootnoteReference"/>
          <w:rFonts w:ascii="Calibri" w:hAnsi="Calibri" w:cs="Calibri"/>
        </w:rPr>
        <w:footnoteReference w:id="4"/>
      </w:r>
      <w:r w:rsidRPr="006272E8">
        <w:rPr>
          <w:rFonts w:ascii="Calibri" w:hAnsi="Calibri" w:cs="Calibri"/>
        </w:rPr>
        <w:t xml:space="preserve"> </w:t>
      </w:r>
      <w:r w:rsidRPr="006272E8">
        <w:rPr>
          <w:rFonts w:ascii="Calibri" w:hAnsi="Calibri" w:cs="Calibri"/>
        </w:rPr>
        <w:t>Save as regards to detention of children</w:t>
      </w:r>
      <w:r w:rsidRPr="006272E8">
        <w:rPr>
          <w:rFonts w:ascii="Calibri" w:hAnsi="Calibri" w:cs="Calibri"/>
        </w:rPr>
        <w:t xml:space="preserve"> and pregnant women</w:t>
      </w:r>
      <w:r w:rsidRPr="006272E8">
        <w:rPr>
          <w:rFonts w:ascii="Calibri" w:hAnsi="Calibri" w:cs="Calibri"/>
        </w:rPr>
        <w:t>, t</w:t>
      </w:r>
      <w:r w:rsidRPr="006272E8">
        <w:rPr>
          <w:rFonts w:ascii="Calibri" w:hAnsi="Calibri" w:cs="Calibri"/>
        </w:rPr>
        <w:t xml:space="preserve">here are no </w:t>
      </w:r>
      <w:r w:rsidRPr="006272E8">
        <w:rPr>
          <w:rFonts w:ascii="Calibri" w:hAnsi="Calibri" w:cs="Calibri"/>
        </w:rPr>
        <w:t xml:space="preserve">express </w:t>
      </w:r>
      <w:r w:rsidRPr="006272E8">
        <w:rPr>
          <w:rFonts w:ascii="Calibri" w:hAnsi="Calibri" w:cs="Calibri"/>
        </w:rPr>
        <w:t xml:space="preserve">statutory </w:t>
      </w:r>
      <w:r w:rsidRPr="006272E8">
        <w:rPr>
          <w:rFonts w:ascii="Calibri" w:hAnsi="Calibri" w:cs="Calibri"/>
        </w:rPr>
        <w:t xml:space="preserve">limits </w:t>
      </w:r>
      <w:r w:rsidRPr="006272E8">
        <w:rPr>
          <w:rFonts w:ascii="Calibri" w:hAnsi="Calibri" w:cs="Calibri"/>
        </w:rPr>
        <w:t xml:space="preserve">on </w:t>
      </w:r>
      <w:r w:rsidRPr="006272E8">
        <w:rPr>
          <w:rFonts w:ascii="Calibri" w:hAnsi="Calibri" w:cs="Calibri"/>
        </w:rPr>
        <w:t xml:space="preserve">the exercise of </w:t>
      </w:r>
      <w:r w:rsidRPr="006272E8">
        <w:rPr>
          <w:rFonts w:ascii="Calibri" w:hAnsi="Calibri" w:cs="Calibri"/>
        </w:rPr>
        <w:t>immigration detention power</w:t>
      </w:r>
      <w:r w:rsidRPr="006272E8">
        <w:rPr>
          <w:rFonts w:ascii="Calibri" w:hAnsi="Calibri" w:cs="Calibri"/>
        </w:rPr>
        <w:t>s</w:t>
      </w:r>
      <w:r w:rsidRPr="006272E8">
        <w:rPr>
          <w:rFonts w:ascii="Calibri" w:hAnsi="Calibri" w:cs="Calibri"/>
        </w:rPr>
        <w:t xml:space="preserve">, by contrast </w:t>
      </w:r>
      <w:r w:rsidRPr="006272E8">
        <w:rPr>
          <w:rFonts w:ascii="Calibri" w:hAnsi="Calibri" w:cs="Calibri"/>
        </w:rPr>
        <w:t>with</w:t>
      </w:r>
      <w:r w:rsidRPr="006272E8">
        <w:rPr>
          <w:rFonts w:ascii="Calibri" w:hAnsi="Calibri" w:cs="Calibri"/>
        </w:rPr>
        <w:t xml:space="preserve"> the demanding requirements imposed on </w:t>
      </w:r>
      <w:r w:rsidRPr="006272E8">
        <w:rPr>
          <w:rFonts w:ascii="Calibri" w:hAnsi="Calibri" w:cs="Calibri"/>
        </w:rPr>
        <w:t xml:space="preserve">other administrative powers of detention such as </w:t>
      </w:r>
      <w:r w:rsidRPr="006272E8">
        <w:rPr>
          <w:rFonts w:ascii="Calibri" w:hAnsi="Calibri" w:cs="Calibri"/>
        </w:rPr>
        <w:t>police detention (under the Police and Criminal Evidence Act 1984), mental health detention (under the Mental Health Act 1983) and the detention of adults lacking mental capacity (under the Mental Capacity Act 2005).</w:t>
      </w:r>
    </w:p>
    <w:p w:rsidR="006272E8" w:rsidRPr="006272E8" w:rsidP="00832341">
      <w:pPr>
        <w:spacing w:before="240" w:after="240" w:line="480" w:lineRule="auto"/>
        <w:jc w:val="both"/>
        <w:rPr>
          <w:rFonts w:ascii="Calibri" w:hAnsi="Calibri" w:cs="Calibri"/>
        </w:rPr>
      </w:pPr>
      <w:r w:rsidRPr="006272E8">
        <w:rPr>
          <w:rFonts w:ascii="Calibri" w:hAnsi="Calibri" w:cs="Calibri"/>
        </w:rPr>
        <w:t>5.</w:t>
      </w:r>
      <w:r w:rsidRPr="006272E8">
        <w:rPr>
          <w:rFonts w:ascii="Calibri" w:hAnsi="Calibri" w:cs="Calibri"/>
        </w:rPr>
        <w:tab/>
      </w:r>
      <w:r w:rsidRPr="006272E8">
        <w:rPr>
          <w:rFonts w:ascii="Calibri" w:hAnsi="Calibri" w:cs="Calibri"/>
        </w:rPr>
        <w:t xml:space="preserve">In the absence of any explicit statutory limitations on the power to detain, the </w:t>
      </w:r>
      <w:r w:rsidRPr="006272E8">
        <w:rPr>
          <w:rFonts w:ascii="Calibri" w:hAnsi="Calibri" w:cs="Calibri"/>
        </w:rPr>
        <w:t>c</w:t>
      </w:r>
      <w:r w:rsidRPr="006272E8">
        <w:rPr>
          <w:rFonts w:ascii="Calibri" w:hAnsi="Calibri" w:cs="Calibri"/>
        </w:rPr>
        <w:t xml:space="preserve">ourts have implied </w:t>
      </w:r>
      <w:r w:rsidRPr="006272E8">
        <w:rPr>
          <w:rFonts w:ascii="Calibri" w:hAnsi="Calibri" w:cs="Calibri"/>
        </w:rPr>
        <w:t xml:space="preserve">four </w:t>
      </w:r>
      <w:r w:rsidRPr="006272E8">
        <w:rPr>
          <w:rFonts w:ascii="Calibri" w:hAnsi="Calibri" w:cs="Calibri"/>
        </w:rPr>
        <w:t xml:space="preserve">restrictions on the power to detain. These are known as the </w:t>
      </w:r>
      <w:r w:rsidRPr="006272E8">
        <w:rPr>
          <w:rFonts w:ascii="Calibri" w:hAnsi="Calibri" w:cs="Calibri"/>
          <w:i/>
          <w:iCs/>
        </w:rPr>
        <w:t>Hardial Singh</w:t>
      </w:r>
      <w:r w:rsidRPr="006272E8">
        <w:rPr>
          <w:rFonts w:ascii="Calibri" w:hAnsi="Calibri" w:cs="Calibri"/>
        </w:rPr>
        <w:t xml:space="preserve"> principles </w:t>
      </w:r>
      <w:r w:rsidRPr="006272E8">
        <w:rPr>
          <w:rFonts w:ascii="Calibri" w:hAnsi="Calibri" w:cs="Calibri"/>
        </w:rPr>
        <w:t>after</w:t>
      </w:r>
      <w:r w:rsidRPr="006272E8">
        <w:rPr>
          <w:rFonts w:ascii="Calibri" w:hAnsi="Calibri" w:cs="Calibri"/>
        </w:rPr>
        <w:t xml:space="preserve"> the </w:t>
      </w:r>
      <w:r w:rsidRPr="006272E8">
        <w:rPr>
          <w:rFonts w:ascii="Calibri" w:hAnsi="Calibri" w:cs="Calibri"/>
        </w:rPr>
        <w:t xml:space="preserve">leading </w:t>
      </w:r>
      <w:r w:rsidRPr="006272E8">
        <w:rPr>
          <w:rFonts w:ascii="Calibri" w:hAnsi="Calibri" w:cs="Calibri"/>
        </w:rPr>
        <w:t>case</w:t>
      </w:r>
      <w:r w:rsidRPr="006272E8">
        <w:rPr>
          <w:rFonts w:ascii="Calibri" w:hAnsi="Calibri" w:cs="Calibri"/>
        </w:rPr>
        <w:t xml:space="preserve"> in which Lord Woolf (then a High Court judge and now a member of the House of Lords and previously a member of the JCHR) determined that immigration detention powers are subject to</w:t>
      </w:r>
      <w:r w:rsidRPr="006272E8">
        <w:rPr>
          <w:rFonts w:ascii="Calibri" w:hAnsi="Calibri" w:cs="Calibri"/>
          <w:u w:val="single"/>
        </w:rPr>
        <w:t xml:space="preserve"> implied </w:t>
      </w:r>
      <w:r w:rsidRPr="006272E8">
        <w:rPr>
          <w:rFonts w:ascii="Calibri" w:hAnsi="Calibri" w:cs="Calibri"/>
        </w:rPr>
        <w:t>limitations.</w:t>
      </w:r>
      <w:r>
        <w:rPr>
          <w:rStyle w:val="FootnoteReference"/>
          <w:rFonts w:ascii="Calibri" w:hAnsi="Calibri" w:cs="Calibri"/>
        </w:rPr>
        <w:footnoteReference w:id="5"/>
      </w:r>
      <w:r w:rsidRPr="006272E8">
        <w:rPr>
          <w:rFonts w:ascii="Calibri" w:hAnsi="Calibri" w:cs="Calibri"/>
        </w:rPr>
        <w:t xml:space="preserve"> The most important of the </w:t>
      </w:r>
      <w:r w:rsidRPr="006272E8">
        <w:rPr>
          <w:rFonts w:ascii="Calibri" w:hAnsi="Calibri" w:cs="Calibri"/>
          <w:i/>
          <w:iCs/>
        </w:rPr>
        <w:t>Hardial Singh</w:t>
      </w:r>
      <w:r w:rsidRPr="006272E8">
        <w:rPr>
          <w:rFonts w:ascii="Calibri" w:hAnsi="Calibri" w:cs="Calibri"/>
        </w:rPr>
        <w:t xml:space="preserve"> principles is</w:t>
      </w:r>
      <w:r w:rsidRPr="006272E8">
        <w:rPr>
          <w:rFonts w:ascii="Calibri" w:hAnsi="Calibri" w:cs="Calibri"/>
        </w:rPr>
        <w:t xml:space="preserve"> arguably</w:t>
      </w:r>
      <w:r w:rsidRPr="006272E8">
        <w:rPr>
          <w:rFonts w:ascii="Calibri" w:hAnsi="Calibri" w:cs="Calibri"/>
        </w:rPr>
        <w:t xml:space="preserve"> </w:t>
      </w:r>
      <w:r w:rsidRPr="006272E8">
        <w:rPr>
          <w:rFonts w:ascii="Calibri" w:hAnsi="Calibri" w:cs="Calibri"/>
          <w:i/>
          <w:iCs/>
        </w:rPr>
        <w:t>Hardial Singh</w:t>
      </w:r>
      <w:r w:rsidRPr="006272E8">
        <w:rPr>
          <w:rFonts w:ascii="Calibri" w:hAnsi="Calibri" w:cs="Calibri"/>
        </w:rPr>
        <w:t xml:space="preserve"> 3, which requires that the Home Office must release someone if</w:t>
      </w:r>
      <w:r w:rsidRPr="006272E8">
        <w:rPr>
          <w:rFonts w:ascii="Calibri" w:hAnsi="Calibri" w:cs="Calibri"/>
        </w:rPr>
        <w:t xml:space="preserve"> and when</w:t>
      </w:r>
      <w:r w:rsidRPr="006272E8">
        <w:rPr>
          <w:rFonts w:ascii="Calibri" w:hAnsi="Calibri" w:cs="Calibri"/>
        </w:rPr>
        <w:t xml:space="preserve"> it becomes apparent that it will not be possible to remove or deport the detaine</w:t>
      </w:r>
      <w:r w:rsidRPr="006272E8">
        <w:rPr>
          <w:rFonts w:ascii="Calibri" w:hAnsi="Calibri" w:cs="Calibri"/>
        </w:rPr>
        <w:t>d person</w:t>
      </w:r>
      <w:r w:rsidRPr="006272E8">
        <w:rPr>
          <w:rFonts w:ascii="Calibri" w:hAnsi="Calibri" w:cs="Calibri"/>
        </w:rPr>
        <w:t xml:space="preserve"> within a </w:t>
      </w:r>
      <w:r w:rsidRPr="006272E8">
        <w:rPr>
          <w:rFonts w:ascii="Calibri" w:hAnsi="Calibri" w:cs="Calibri"/>
        </w:rPr>
        <w:t>reasonable period</w:t>
      </w:r>
      <w:r w:rsidRPr="006272E8">
        <w:rPr>
          <w:rFonts w:ascii="Calibri" w:hAnsi="Calibri" w:cs="Calibri"/>
        </w:rPr>
        <w:t>.</w:t>
      </w:r>
    </w:p>
    <w:p w:rsidR="006272E8" w:rsidRPr="006272E8" w:rsidP="00832341">
      <w:pPr>
        <w:spacing w:before="240" w:after="240" w:line="480" w:lineRule="auto"/>
        <w:jc w:val="both"/>
        <w:rPr>
          <w:rFonts w:ascii="Calibri" w:hAnsi="Calibri" w:cs="Calibri"/>
          <w:b/>
          <w:bCs/>
        </w:rPr>
      </w:pPr>
      <w:r w:rsidRPr="006272E8">
        <w:rPr>
          <w:rFonts w:ascii="Calibri" w:hAnsi="Calibri" w:cs="Calibri"/>
          <w:b/>
          <w:bCs/>
        </w:rPr>
        <w:t>The Court as Primary Decision-Maker</w:t>
      </w:r>
    </w:p>
    <w:p w:rsidR="006272E8" w:rsidRPr="006272E8" w:rsidP="00832341">
      <w:pPr>
        <w:spacing w:before="240" w:after="240" w:line="480" w:lineRule="auto"/>
        <w:jc w:val="both"/>
        <w:rPr>
          <w:rFonts w:ascii="Calibri" w:hAnsi="Calibri" w:cs="Calibri"/>
        </w:rPr>
      </w:pPr>
      <w:r w:rsidRPr="006272E8">
        <w:rPr>
          <w:rFonts w:ascii="Calibri" w:hAnsi="Calibri" w:cs="Calibri"/>
        </w:rPr>
        <w:t>6.</w:t>
      </w:r>
      <w:r w:rsidRPr="006272E8">
        <w:rPr>
          <w:rFonts w:ascii="Calibri" w:hAnsi="Calibri" w:cs="Calibri"/>
        </w:rPr>
        <w:tab/>
        <w:t>Following the</w:t>
      </w:r>
      <w:r w:rsidRPr="006272E8">
        <w:rPr>
          <w:rFonts w:ascii="Calibri" w:hAnsi="Calibri" w:cs="Calibri"/>
          <w:i/>
          <w:iCs/>
        </w:rPr>
        <w:t xml:space="preserve"> Hardial Singh</w:t>
      </w:r>
      <w:r w:rsidRPr="006272E8">
        <w:rPr>
          <w:rFonts w:ascii="Calibri" w:hAnsi="Calibri" w:cs="Calibri"/>
        </w:rPr>
        <w:t xml:space="preserve"> case, </w:t>
      </w:r>
      <w:r w:rsidRPr="006272E8">
        <w:rPr>
          <w:rFonts w:ascii="Calibri" w:hAnsi="Calibri" w:cs="Calibri"/>
        </w:rPr>
        <w:t>judge</w:t>
      </w:r>
      <w:r w:rsidRPr="006272E8">
        <w:rPr>
          <w:rFonts w:ascii="Calibri" w:hAnsi="Calibri" w:cs="Calibri"/>
        </w:rPr>
        <w:t>s</w:t>
      </w:r>
      <w:r w:rsidRPr="006272E8">
        <w:rPr>
          <w:rFonts w:ascii="Calibri" w:hAnsi="Calibri" w:cs="Calibri"/>
        </w:rPr>
        <w:t xml:space="preserve"> in the Administrative Court have</w:t>
      </w:r>
      <w:r w:rsidRPr="006272E8">
        <w:rPr>
          <w:rFonts w:ascii="Calibri" w:hAnsi="Calibri" w:cs="Calibri"/>
        </w:rPr>
        <w:t xml:space="preserve"> reviewed the legality of detention by applying the </w:t>
      </w:r>
      <w:r w:rsidRPr="006272E8">
        <w:rPr>
          <w:rFonts w:ascii="Calibri" w:hAnsi="Calibri" w:cs="Calibri"/>
          <w:i/>
          <w:iCs/>
        </w:rPr>
        <w:t>Hardial Singh</w:t>
      </w:r>
      <w:r w:rsidRPr="006272E8">
        <w:rPr>
          <w:rFonts w:ascii="Calibri" w:hAnsi="Calibri" w:cs="Calibri"/>
        </w:rPr>
        <w:t xml:space="preserve"> principles and </w:t>
      </w:r>
      <w:r w:rsidRPr="006272E8">
        <w:rPr>
          <w:rFonts w:ascii="Calibri" w:hAnsi="Calibri" w:cs="Calibri"/>
        </w:rPr>
        <w:t xml:space="preserve">in each case </w:t>
      </w:r>
      <w:r w:rsidRPr="006272E8">
        <w:rPr>
          <w:rFonts w:ascii="Calibri" w:hAnsi="Calibri" w:cs="Calibri"/>
        </w:rPr>
        <w:t xml:space="preserve">decided for </w:t>
      </w:r>
      <w:r w:rsidRPr="006272E8">
        <w:rPr>
          <w:rFonts w:ascii="Calibri" w:hAnsi="Calibri" w:cs="Calibri"/>
        </w:rPr>
        <w:t xml:space="preserve">themselves </w:t>
      </w:r>
      <w:r w:rsidRPr="006272E8">
        <w:rPr>
          <w:rFonts w:ascii="Calibri" w:hAnsi="Calibri" w:cs="Calibri"/>
        </w:rPr>
        <w:t>whether or not those principles had been breached.</w:t>
      </w:r>
      <w:r>
        <w:rPr>
          <w:rStyle w:val="FootnoteReference"/>
          <w:rFonts w:ascii="Calibri" w:hAnsi="Calibri" w:cs="Calibri"/>
        </w:rPr>
        <w:footnoteReference w:id="6"/>
      </w:r>
      <w:r w:rsidRPr="006272E8">
        <w:rPr>
          <w:rFonts w:ascii="Calibri" w:hAnsi="Calibri" w:cs="Calibri"/>
        </w:rPr>
        <w:t xml:space="preserve"> In a later case before the Court of Appeal, the </w:t>
      </w:r>
      <w:r w:rsidRPr="006272E8">
        <w:rPr>
          <w:rFonts w:ascii="Calibri" w:hAnsi="Calibri" w:cs="Calibri"/>
        </w:rPr>
        <w:t xml:space="preserve">Home </w:t>
      </w:r>
      <w:r w:rsidRPr="006272E8">
        <w:rPr>
          <w:rFonts w:ascii="Calibri" w:hAnsi="Calibri" w:cs="Calibri"/>
        </w:rPr>
        <w:t xml:space="preserve">Secretary </w:t>
      </w:r>
      <w:r w:rsidRPr="006272E8">
        <w:rPr>
          <w:rFonts w:ascii="Calibri" w:hAnsi="Calibri" w:cs="Calibri"/>
        </w:rPr>
        <w:t xml:space="preserve">argued that </w:t>
      </w:r>
      <w:r w:rsidRPr="006272E8">
        <w:rPr>
          <w:rFonts w:ascii="Calibri" w:hAnsi="Calibri" w:cs="Calibri"/>
        </w:rPr>
        <w:t xml:space="preserve">in fact the Court should limit itself to reviewing the decision taken by the </w:t>
      </w:r>
      <w:r w:rsidRPr="006272E8">
        <w:rPr>
          <w:rFonts w:ascii="Calibri" w:hAnsi="Calibri" w:cs="Calibri"/>
        </w:rPr>
        <w:t xml:space="preserve">Home </w:t>
      </w:r>
      <w:r w:rsidRPr="006272E8">
        <w:rPr>
          <w:rFonts w:ascii="Calibri" w:hAnsi="Calibri" w:cs="Calibri"/>
        </w:rPr>
        <w:t xml:space="preserve">Secretary on </w:t>
      </w:r>
      <w:r w:rsidRPr="006272E8">
        <w:rPr>
          <w:rFonts w:ascii="Calibri" w:hAnsi="Calibri" w:cs="Calibri"/>
          <w:i/>
          <w:iCs/>
        </w:rPr>
        <w:t>Wednesbury</w:t>
      </w:r>
      <w:r w:rsidRPr="006272E8">
        <w:rPr>
          <w:rFonts w:ascii="Calibri" w:hAnsi="Calibri" w:cs="Calibri"/>
        </w:rPr>
        <w:t xml:space="preserve"> grounds</w:t>
      </w:r>
      <w:r w:rsidRPr="006272E8">
        <w:rPr>
          <w:rFonts w:ascii="Calibri" w:hAnsi="Calibri" w:cs="Calibri"/>
        </w:rPr>
        <w:t xml:space="preserve"> i.e. whether the Home Office had taken a reasonable decision regarding whether the reasonable period of detention had expired. However, the Court</w:t>
      </w:r>
      <w:r w:rsidRPr="006272E8">
        <w:rPr>
          <w:rFonts w:ascii="Calibri" w:hAnsi="Calibri" w:cs="Calibri"/>
        </w:rPr>
        <w:t xml:space="preserve"> of Appeal</w:t>
      </w:r>
      <w:r w:rsidRPr="006272E8">
        <w:rPr>
          <w:rFonts w:ascii="Calibri" w:hAnsi="Calibri" w:cs="Calibri"/>
        </w:rPr>
        <w:t xml:space="preserve"> determined that it was for </w:t>
      </w:r>
      <w:r w:rsidRPr="006272E8">
        <w:rPr>
          <w:rFonts w:ascii="Calibri" w:hAnsi="Calibri" w:cs="Calibri"/>
        </w:rPr>
        <w:t>a c</w:t>
      </w:r>
      <w:r w:rsidRPr="006272E8">
        <w:rPr>
          <w:rFonts w:ascii="Calibri" w:hAnsi="Calibri" w:cs="Calibri"/>
        </w:rPr>
        <w:t>ourt to determine for itself whether the principles had been breached.</w:t>
      </w:r>
      <w:r>
        <w:rPr>
          <w:rStyle w:val="FootnoteReference"/>
          <w:rFonts w:ascii="Calibri" w:hAnsi="Calibri" w:cs="Calibri"/>
        </w:rPr>
        <w:footnoteReference w:id="7"/>
      </w:r>
    </w:p>
    <w:p w:rsidR="006272E8" w:rsidRPr="006272E8" w:rsidP="00832341">
      <w:pPr>
        <w:spacing w:before="240" w:after="240" w:line="480" w:lineRule="auto"/>
        <w:jc w:val="both"/>
        <w:rPr>
          <w:rFonts w:ascii="Calibri" w:hAnsi="Calibri" w:cs="Calibri"/>
        </w:rPr>
      </w:pPr>
      <w:r w:rsidRPr="006272E8">
        <w:rPr>
          <w:rFonts w:ascii="Calibri" w:hAnsi="Calibri" w:cs="Calibri"/>
        </w:rPr>
        <w:t>7.</w:t>
      </w:r>
      <w:r w:rsidRPr="006272E8">
        <w:rPr>
          <w:rFonts w:ascii="Calibri" w:hAnsi="Calibri" w:cs="Calibri"/>
        </w:rPr>
        <w:tab/>
        <w:t>That distinction is important</w:t>
      </w:r>
      <w:r w:rsidRPr="006272E8">
        <w:rPr>
          <w:rFonts w:ascii="Calibri" w:hAnsi="Calibri" w:cs="Calibri"/>
        </w:rPr>
        <w:t xml:space="preserve"> for both common law legality </w:t>
      </w:r>
      <w:r w:rsidRPr="006272E8">
        <w:rPr>
          <w:rFonts w:ascii="Calibri" w:hAnsi="Calibri" w:cs="Calibri"/>
          <w:u w:val="single"/>
        </w:rPr>
        <w:t>and Article 5</w:t>
      </w:r>
      <w:r w:rsidRPr="006272E8">
        <w:rPr>
          <w:rFonts w:ascii="Calibri" w:hAnsi="Calibri" w:cs="Calibri"/>
        </w:rPr>
        <w:t xml:space="preserve">. </w:t>
      </w:r>
      <w:r w:rsidRPr="006272E8">
        <w:rPr>
          <w:rFonts w:ascii="Calibri" w:hAnsi="Calibri" w:cs="Calibri"/>
        </w:rPr>
        <w:t xml:space="preserve">If the </w:t>
      </w:r>
      <w:r w:rsidRPr="006272E8">
        <w:rPr>
          <w:rFonts w:ascii="Calibri" w:hAnsi="Calibri" w:cs="Calibri"/>
        </w:rPr>
        <w:t>c</w:t>
      </w:r>
      <w:r w:rsidRPr="006272E8">
        <w:rPr>
          <w:rFonts w:ascii="Calibri" w:hAnsi="Calibri" w:cs="Calibri"/>
        </w:rPr>
        <w:t xml:space="preserve">ourt’s job is merely to </w:t>
      </w:r>
      <w:r w:rsidRPr="006272E8">
        <w:rPr>
          <w:rFonts w:ascii="Calibri" w:hAnsi="Calibri" w:cs="Calibri"/>
          <w:u w:val="single"/>
        </w:rPr>
        <w:t>review</w:t>
      </w:r>
      <w:r w:rsidRPr="006272E8">
        <w:rPr>
          <w:rFonts w:ascii="Calibri" w:hAnsi="Calibri" w:cs="Calibri"/>
        </w:rPr>
        <w:t xml:space="preserve"> the decisions taken by the Home Office, then there might </w:t>
      </w:r>
      <w:r w:rsidRPr="006272E8">
        <w:rPr>
          <w:rFonts w:ascii="Calibri" w:hAnsi="Calibri" w:cs="Calibri"/>
        </w:rPr>
        <w:t xml:space="preserve">theoretically </w:t>
      </w:r>
      <w:r w:rsidRPr="006272E8">
        <w:rPr>
          <w:rFonts w:ascii="Calibri" w:hAnsi="Calibri" w:cs="Calibri"/>
        </w:rPr>
        <w:t xml:space="preserve">be situations where </w:t>
      </w:r>
      <w:r w:rsidRPr="006272E8">
        <w:rPr>
          <w:rFonts w:ascii="Calibri" w:hAnsi="Calibri" w:cs="Calibri"/>
        </w:rPr>
        <w:t xml:space="preserve">the </w:t>
      </w:r>
      <w:r w:rsidRPr="006272E8">
        <w:rPr>
          <w:rFonts w:ascii="Calibri" w:hAnsi="Calibri" w:cs="Calibri"/>
        </w:rPr>
        <w:t>c</w:t>
      </w:r>
      <w:r w:rsidRPr="006272E8">
        <w:rPr>
          <w:rFonts w:ascii="Calibri" w:hAnsi="Calibri" w:cs="Calibri"/>
        </w:rPr>
        <w:t xml:space="preserve">ourt </w:t>
      </w:r>
      <w:r w:rsidRPr="006272E8">
        <w:rPr>
          <w:rFonts w:ascii="Calibri" w:hAnsi="Calibri" w:cs="Calibri"/>
        </w:rPr>
        <w:t>considers</w:t>
      </w:r>
      <w:r w:rsidRPr="006272E8">
        <w:rPr>
          <w:rFonts w:ascii="Calibri" w:hAnsi="Calibri" w:cs="Calibri"/>
        </w:rPr>
        <w:t xml:space="preserve"> that the detention is unreasonable </w:t>
      </w:r>
      <w:r w:rsidRPr="006272E8">
        <w:rPr>
          <w:rFonts w:ascii="Calibri" w:hAnsi="Calibri" w:cs="Calibri"/>
        </w:rPr>
        <w:t xml:space="preserve">but it cannot find the detention to be unlawful because the Home Office has taken a reasonable decision </w:t>
      </w:r>
      <w:r w:rsidRPr="006272E8">
        <w:rPr>
          <w:rFonts w:ascii="Calibri" w:hAnsi="Calibri" w:cs="Calibri"/>
        </w:rPr>
        <w:t>about it</w:t>
      </w:r>
      <w:r w:rsidRPr="006272E8">
        <w:rPr>
          <w:rFonts w:ascii="Calibri" w:hAnsi="Calibri" w:cs="Calibri"/>
        </w:rPr>
        <w:t xml:space="preserve"> which cannot be challenged on public law grounds</w:t>
      </w:r>
      <w:r w:rsidRPr="006272E8">
        <w:rPr>
          <w:rFonts w:ascii="Calibri" w:hAnsi="Calibri" w:cs="Calibri"/>
        </w:rPr>
        <w:t xml:space="preserve"> (i.e. taken account of all the relevant facts and not reached an irrational conclusion).</w:t>
      </w:r>
      <w:r>
        <w:rPr>
          <w:rStyle w:val="FootnoteReference"/>
          <w:rFonts w:ascii="Calibri" w:hAnsi="Calibri" w:cs="Calibri"/>
        </w:rPr>
        <w:footnoteReference w:id="8"/>
      </w:r>
      <w:r w:rsidRPr="006272E8">
        <w:rPr>
          <w:rFonts w:ascii="Calibri" w:hAnsi="Calibri" w:cs="Calibri"/>
        </w:rPr>
        <w:t xml:space="preserve"> </w:t>
      </w:r>
      <w:r w:rsidRPr="006272E8">
        <w:rPr>
          <w:rFonts w:ascii="Calibri" w:hAnsi="Calibri" w:cs="Calibri"/>
        </w:rPr>
        <w:t>That would mean that the court was deprived of its obligation to consider independently of the Home Office whether detention is justified and necessary.</w:t>
      </w:r>
    </w:p>
    <w:p w:rsidR="006272E8" w:rsidRPr="006272E8" w:rsidP="00832341">
      <w:pPr>
        <w:spacing w:before="240" w:after="240" w:line="480" w:lineRule="auto"/>
        <w:jc w:val="both"/>
        <w:rPr>
          <w:rFonts w:ascii="Calibri" w:hAnsi="Calibri" w:cs="Calibri"/>
        </w:rPr>
      </w:pPr>
      <w:r w:rsidRPr="006272E8">
        <w:rPr>
          <w:rFonts w:ascii="Calibri" w:hAnsi="Calibri" w:cs="Calibri"/>
        </w:rPr>
        <w:t xml:space="preserve">Indeed, it is </w:t>
      </w:r>
      <w:r w:rsidRPr="006272E8">
        <w:rPr>
          <w:rFonts w:ascii="Calibri" w:hAnsi="Calibri" w:cs="Calibri"/>
        </w:rPr>
        <w:t xml:space="preserve">therefore </w:t>
      </w:r>
      <w:r w:rsidRPr="006272E8">
        <w:rPr>
          <w:rFonts w:ascii="Calibri" w:hAnsi="Calibri" w:cs="Calibri"/>
        </w:rPr>
        <w:t xml:space="preserve">unsurprising that the </w:t>
      </w:r>
      <w:r w:rsidRPr="006272E8">
        <w:rPr>
          <w:rFonts w:ascii="Calibri" w:hAnsi="Calibri" w:cs="Calibri"/>
        </w:rPr>
        <w:t>ECtHR</w:t>
      </w:r>
      <w:r w:rsidRPr="006272E8">
        <w:rPr>
          <w:rFonts w:ascii="Calibri" w:hAnsi="Calibri" w:cs="Calibri"/>
        </w:rPr>
        <w:t xml:space="preserve"> agreed with the previous Government’s arguments </w:t>
      </w:r>
      <w:r w:rsidRPr="006272E8">
        <w:rPr>
          <w:rFonts w:ascii="Calibri" w:hAnsi="Calibri" w:cs="Calibri"/>
        </w:rPr>
        <w:t xml:space="preserve">in the case of </w:t>
      </w:r>
      <w:r w:rsidRPr="006272E8">
        <w:rPr>
          <w:rFonts w:ascii="Calibri" w:hAnsi="Calibri" w:cs="Calibri"/>
          <w:i/>
          <w:iCs/>
        </w:rPr>
        <w:t>J.N. v</w:t>
      </w:r>
      <w:r w:rsidRPr="006272E8">
        <w:rPr>
          <w:rFonts w:ascii="Calibri" w:hAnsi="Calibri" w:cs="Calibri"/>
          <w:i/>
          <w:iCs/>
        </w:rPr>
        <w:t>.</w:t>
      </w:r>
      <w:r w:rsidRPr="006272E8">
        <w:rPr>
          <w:rFonts w:ascii="Calibri" w:hAnsi="Calibri" w:cs="Calibri"/>
          <w:i/>
          <w:iCs/>
        </w:rPr>
        <w:t xml:space="preserve"> </w:t>
      </w:r>
      <w:r w:rsidRPr="006272E8">
        <w:rPr>
          <w:rFonts w:ascii="Calibri" w:hAnsi="Calibri" w:cs="Calibri"/>
          <w:i/>
          <w:iCs/>
        </w:rPr>
        <w:t xml:space="preserve">the </w:t>
      </w:r>
      <w:r w:rsidRPr="006272E8">
        <w:rPr>
          <w:rFonts w:ascii="Calibri" w:hAnsi="Calibri" w:cs="Calibri"/>
          <w:i/>
          <w:iCs/>
        </w:rPr>
        <w:t>U</w:t>
      </w:r>
      <w:r w:rsidRPr="006272E8">
        <w:rPr>
          <w:rFonts w:ascii="Calibri" w:hAnsi="Calibri" w:cs="Calibri"/>
          <w:i/>
          <w:iCs/>
        </w:rPr>
        <w:t>nited Kingdom</w:t>
      </w:r>
      <w:r w:rsidRPr="006272E8">
        <w:rPr>
          <w:rFonts w:ascii="Calibri" w:hAnsi="Calibri" w:cs="Calibri"/>
        </w:rPr>
        <w:t xml:space="preserve"> </w:t>
      </w:r>
      <w:r w:rsidRPr="006272E8">
        <w:rPr>
          <w:rFonts w:ascii="Calibri" w:hAnsi="Calibri" w:cs="Calibri"/>
        </w:rPr>
        <w:t>that “</w:t>
      </w:r>
      <w:r w:rsidRPr="006272E8">
        <w:rPr>
          <w:rFonts w:ascii="Calibri" w:hAnsi="Calibri" w:cs="Calibri"/>
        </w:rPr>
        <w:t>in principle the system in the United Kingdom should not give rise to any increased risk of arbitrariness as it permits the detainee to challenge the lawfulness and Convention compliance of his ongoing detention at any time. In considering any such challenge, the domestic courts are required to consider the reasonableness of each individual period of detention”</w:t>
      </w:r>
      <w:r>
        <w:rPr>
          <w:rStyle w:val="FootnoteReference"/>
          <w:rFonts w:ascii="Calibri" w:hAnsi="Calibri" w:cs="Calibri"/>
        </w:rPr>
        <w:footnoteReference w:id="9"/>
      </w:r>
      <w:r w:rsidRPr="006272E8">
        <w:rPr>
          <w:rFonts w:ascii="Calibri" w:hAnsi="Calibri" w:cs="Calibri"/>
        </w:rPr>
        <w:t xml:space="preserve"> The fact the Government then reversed its position despite its arguments before the </w:t>
      </w:r>
      <w:r w:rsidRPr="006272E8">
        <w:rPr>
          <w:rFonts w:ascii="Calibri" w:hAnsi="Calibri" w:cs="Calibri"/>
        </w:rPr>
        <w:t>ECtHR</w:t>
      </w:r>
      <w:r w:rsidRPr="006272E8">
        <w:rPr>
          <w:rFonts w:ascii="Calibri" w:hAnsi="Calibri" w:cs="Calibri"/>
        </w:rPr>
        <w:t xml:space="preserve"> and that Court’s decision in its favour, is extremely worrying</w:t>
      </w:r>
      <w:r w:rsidRPr="006272E8">
        <w:rPr>
          <w:rFonts w:ascii="Calibri" w:hAnsi="Calibri" w:cs="Calibri"/>
        </w:rPr>
        <w:t xml:space="preserve"> to say the least</w:t>
      </w:r>
      <w:r w:rsidRPr="006272E8">
        <w:rPr>
          <w:rFonts w:ascii="Calibri" w:hAnsi="Calibri" w:cs="Calibri"/>
        </w:rPr>
        <w:t>.</w:t>
      </w:r>
    </w:p>
    <w:p w:rsidR="006272E8" w:rsidRPr="006272E8" w:rsidP="00832341">
      <w:pPr>
        <w:spacing w:before="240" w:after="240" w:line="480" w:lineRule="auto"/>
        <w:jc w:val="both"/>
        <w:rPr>
          <w:rFonts w:ascii="Calibri" w:hAnsi="Calibri" w:cs="Calibri"/>
          <w:b/>
          <w:bCs/>
        </w:rPr>
      </w:pPr>
      <w:r w:rsidRPr="006272E8">
        <w:rPr>
          <w:rFonts w:ascii="Calibri" w:hAnsi="Calibri" w:cs="Calibri"/>
          <w:b/>
          <w:bCs/>
        </w:rPr>
        <w:t>Intention</w:t>
      </w:r>
      <w:r w:rsidRPr="006272E8">
        <w:rPr>
          <w:rFonts w:ascii="Calibri" w:hAnsi="Calibri" w:cs="Calibri"/>
          <w:b/>
          <w:bCs/>
        </w:rPr>
        <w:t xml:space="preserve"> Behind Section 12</w:t>
      </w:r>
      <w:r w:rsidRPr="006272E8">
        <w:rPr>
          <w:rFonts w:ascii="Calibri" w:hAnsi="Calibri" w:cs="Calibri"/>
          <w:b/>
          <w:bCs/>
        </w:rPr>
        <w:t xml:space="preserve"> and Practical Impact</w:t>
      </w:r>
    </w:p>
    <w:p w:rsidR="006272E8" w:rsidRPr="006272E8" w:rsidP="00832341">
      <w:pPr>
        <w:spacing w:before="240" w:after="240" w:line="480" w:lineRule="auto"/>
        <w:jc w:val="both"/>
        <w:rPr>
          <w:rFonts w:ascii="Calibri" w:hAnsi="Calibri" w:cs="Calibri"/>
        </w:rPr>
      </w:pPr>
      <w:r w:rsidRPr="006272E8">
        <w:rPr>
          <w:rFonts w:ascii="Calibri" w:hAnsi="Calibri" w:cs="Calibri"/>
        </w:rPr>
        <w:t>8.</w:t>
      </w:r>
      <w:r w:rsidRPr="006272E8">
        <w:rPr>
          <w:rFonts w:ascii="Calibri" w:hAnsi="Calibri" w:cs="Calibri"/>
        </w:rPr>
        <w:tab/>
        <w:t xml:space="preserve">The </w:t>
      </w:r>
      <w:r w:rsidRPr="006272E8">
        <w:rPr>
          <w:rFonts w:ascii="Calibri" w:hAnsi="Calibri" w:cs="Calibri"/>
        </w:rPr>
        <w:t xml:space="preserve">previous </w:t>
      </w:r>
      <w:r w:rsidRPr="006272E8">
        <w:rPr>
          <w:rFonts w:ascii="Calibri" w:hAnsi="Calibri" w:cs="Calibri"/>
        </w:rPr>
        <w:t xml:space="preserve">government’s intention </w:t>
      </w:r>
      <w:r w:rsidRPr="006272E8">
        <w:rPr>
          <w:rFonts w:ascii="Calibri" w:hAnsi="Calibri" w:cs="Calibri"/>
        </w:rPr>
        <w:t xml:space="preserve">behind Section 12 was to </w:t>
      </w:r>
      <w:r w:rsidRPr="006272E8">
        <w:rPr>
          <w:rFonts w:ascii="Calibri" w:hAnsi="Calibri" w:cs="Calibri"/>
        </w:rPr>
        <w:t xml:space="preserve">seek to </w:t>
      </w:r>
      <w:r w:rsidRPr="006272E8">
        <w:rPr>
          <w:rFonts w:ascii="Calibri" w:hAnsi="Calibri" w:cs="Calibri"/>
        </w:rPr>
        <w:t xml:space="preserve">reverse the impact of that Court of Appeal case. The </w:t>
      </w:r>
      <w:r w:rsidRPr="006272E8">
        <w:rPr>
          <w:rFonts w:ascii="Calibri" w:hAnsi="Calibri" w:cs="Calibri"/>
        </w:rPr>
        <w:t xml:space="preserve">Explanatory Notes </w:t>
      </w:r>
      <w:r w:rsidRPr="006272E8">
        <w:rPr>
          <w:rFonts w:ascii="Calibri" w:hAnsi="Calibri" w:cs="Calibri"/>
        </w:rPr>
        <w:t>to Section 12 stated:</w:t>
      </w:r>
    </w:p>
    <w:p w:rsidR="006272E8" w:rsidRPr="006272E8" w:rsidP="00832341">
      <w:pPr>
        <w:spacing w:before="240" w:after="240" w:line="480" w:lineRule="auto"/>
        <w:jc w:val="both"/>
        <w:rPr>
          <w:rFonts w:ascii="Calibri" w:hAnsi="Calibri" w:cs="Calibri"/>
          <w:i/>
          <w:iCs/>
        </w:rPr>
      </w:pPr>
      <w:r w:rsidRPr="006272E8">
        <w:rPr>
          <w:rFonts w:ascii="Calibri" w:hAnsi="Calibri" w:cs="Calibri"/>
          <w:i/>
          <w:iCs/>
        </w:rPr>
        <w:t>this section also overturns the common law principle established in R(A) v SSHD [2007]</w:t>
      </w:r>
      <w:r w:rsidRPr="006272E8">
        <w:rPr>
          <w:rFonts w:ascii="Calibri" w:hAnsi="Calibri" w:cs="Calibri"/>
          <w:i/>
          <w:iCs/>
        </w:rPr>
        <w:t xml:space="preserve"> </w:t>
      </w:r>
      <w:r w:rsidRPr="006272E8">
        <w:rPr>
          <w:rFonts w:ascii="Calibri" w:hAnsi="Calibri" w:cs="Calibri"/>
          <w:i/>
          <w:iCs/>
        </w:rPr>
        <w:t xml:space="preserve">EWCA Civ 804 (and later authorities) that it is for the court to decide, for itself, whether there is a reasonable or sufficient prospect of removal within a reasonable </w:t>
      </w:r>
      <w:r w:rsidRPr="006272E8">
        <w:rPr>
          <w:rFonts w:ascii="Calibri" w:hAnsi="Calibri" w:cs="Calibri"/>
          <w:i/>
          <w:iCs/>
        </w:rPr>
        <w:t>period of time</w:t>
      </w:r>
      <w:r w:rsidRPr="006272E8">
        <w:rPr>
          <w:rFonts w:ascii="Calibri" w:hAnsi="Calibri" w:cs="Calibri"/>
          <w:i/>
          <w:iCs/>
        </w:rPr>
        <w:t>.</w:t>
      </w:r>
    </w:p>
    <w:p w:rsidR="006272E8" w:rsidRPr="006272E8" w:rsidP="00832341">
      <w:pPr>
        <w:spacing w:before="240" w:after="240" w:line="480" w:lineRule="auto"/>
        <w:jc w:val="both"/>
        <w:rPr>
          <w:rFonts w:ascii="Calibri" w:hAnsi="Calibri" w:cs="Calibri"/>
        </w:rPr>
      </w:pPr>
      <w:r w:rsidRPr="006272E8">
        <w:rPr>
          <w:rFonts w:ascii="Calibri" w:hAnsi="Calibri" w:cs="Calibri"/>
        </w:rPr>
        <w:t>9.</w:t>
      </w:r>
      <w:r w:rsidRPr="006272E8">
        <w:rPr>
          <w:rFonts w:ascii="Calibri" w:hAnsi="Calibri" w:cs="Calibri"/>
        </w:rPr>
        <w:tab/>
      </w:r>
      <w:r w:rsidRPr="006272E8">
        <w:rPr>
          <w:rFonts w:ascii="Calibri" w:hAnsi="Calibri" w:cs="Calibri"/>
        </w:rPr>
        <w:t>On the face of it, it might be thought that Section 12 extends the power</w:t>
      </w:r>
      <w:r w:rsidRPr="006272E8">
        <w:rPr>
          <w:rFonts w:ascii="Calibri" w:hAnsi="Calibri" w:cs="Calibri"/>
        </w:rPr>
        <w:t xml:space="preserve"> to detain by allowing the Home Office to detain people in situations where the </w:t>
      </w:r>
      <w:r w:rsidRPr="006272E8">
        <w:rPr>
          <w:rFonts w:ascii="Calibri" w:hAnsi="Calibri" w:cs="Calibri"/>
        </w:rPr>
        <w:t>c</w:t>
      </w:r>
      <w:r w:rsidRPr="006272E8">
        <w:rPr>
          <w:rFonts w:ascii="Calibri" w:hAnsi="Calibri" w:cs="Calibri"/>
        </w:rPr>
        <w:t xml:space="preserve">ourt </w:t>
      </w:r>
      <w:r w:rsidRPr="006272E8">
        <w:rPr>
          <w:rFonts w:ascii="Calibri" w:hAnsi="Calibri" w:cs="Calibri"/>
        </w:rPr>
        <w:t>consider</w:t>
      </w:r>
      <w:r w:rsidRPr="006272E8">
        <w:rPr>
          <w:rFonts w:ascii="Calibri" w:hAnsi="Calibri" w:cs="Calibri"/>
        </w:rPr>
        <w:t xml:space="preserve">s the detention to be </w:t>
      </w:r>
      <w:r w:rsidRPr="006272E8">
        <w:rPr>
          <w:rFonts w:ascii="Calibri" w:hAnsi="Calibri" w:cs="Calibri"/>
        </w:rPr>
        <w:t>unreasonable</w:t>
      </w:r>
      <w:r w:rsidRPr="006272E8">
        <w:rPr>
          <w:rFonts w:ascii="Calibri" w:hAnsi="Calibri" w:cs="Calibri"/>
        </w:rPr>
        <w:t xml:space="preserve"> but the Home Office</w:t>
      </w:r>
      <w:r w:rsidRPr="006272E8">
        <w:rPr>
          <w:rFonts w:ascii="Calibri" w:hAnsi="Calibri" w:cs="Calibri"/>
        </w:rPr>
        <w:t xml:space="preserve"> has a rational basis upon which to disagree</w:t>
      </w:r>
      <w:r w:rsidRPr="006272E8">
        <w:rPr>
          <w:rFonts w:ascii="Calibri" w:hAnsi="Calibri" w:cs="Calibri"/>
        </w:rPr>
        <w:t>. The possibility that</w:t>
      </w:r>
      <w:r w:rsidRPr="006272E8">
        <w:rPr>
          <w:rFonts w:ascii="Calibri" w:hAnsi="Calibri" w:cs="Calibri"/>
        </w:rPr>
        <w:t xml:space="preserve"> the</w:t>
      </w:r>
      <w:r w:rsidRPr="006272E8">
        <w:rPr>
          <w:rFonts w:ascii="Calibri" w:hAnsi="Calibri" w:cs="Calibri"/>
        </w:rPr>
        <w:t xml:space="preserve"> </w:t>
      </w:r>
      <w:r w:rsidRPr="006272E8">
        <w:rPr>
          <w:rFonts w:ascii="Calibri" w:hAnsi="Calibri" w:cs="Calibri"/>
        </w:rPr>
        <w:t xml:space="preserve">previous </w:t>
      </w:r>
      <w:r w:rsidRPr="006272E8">
        <w:rPr>
          <w:rFonts w:ascii="Calibri" w:hAnsi="Calibri" w:cs="Calibri"/>
        </w:rPr>
        <w:t xml:space="preserve">government </w:t>
      </w:r>
      <w:r w:rsidRPr="006272E8">
        <w:rPr>
          <w:rFonts w:ascii="Calibri" w:hAnsi="Calibri" w:cs="Calibri"/>
        </w:rPr>
        <w:t>introduced</w:t>
      </w:r>
      <w:r w:rsidRPr="006272E8">
        <w:rPr>
          <w:rFonts w:ascii="Calibri" w:hAnsi="Calibri" w:cs="Calibri"/>
        </w:rPr>
        <w:t xml:space="preserve"> Section 12 </w:t>
      </w:r>
      <w:r w:rsidRPr="006272E8">
        <w:rPr>
          <w:rFonts w:ascii="Calibri" w:hAnsi="Calibri" w:cs="Calibri"/>
        </w:rPr>
        <w:t xml:space="preserve">in </w:t>
      </w:r>
      <w:r w:rsidRPr="006272E8">
        <w:rPr>
          <w:rFonts w:ascii="Calibri" w:hAnsi="Calibri" w:cs="Calibri"/>
        </w:rPr>
        <w:t>an</w:t>
      </w:r>
      <w:r w:rsidRPr="006272E8">
        <w:rPr>
          <w:rFonts w:ascii="Calibri" w:hAnsi="Calibri" w:cs="Calibri"/>
        </w:rPr>
        <w:t xml:space="preserve"> attempt to</w:t>
      </w:r>
      <w:r w:rsidRPr="006272E8">
        <w:rPr>
          <w:rFonts w:ascii="Calibri" w:hAnsi="Calibri" w:cs="Calibri"/>
        </w:rPr>
        <w:t xml:space="preserve"> obtain Parliamentary authorisation </w:t>
      </w:r>
      <w:r w:rsidRPr="006272E8">
        <w:rPr>
          <w:rFonts w:ascii="Calibri" w:hAnsi="Calibri" w:cs="Calibri"/>
        </w:rPr>
        <w:t xml:space="preserve">to detain individuals </w:t>
      </w:r>
      <w:r w:rsidRPr="006272E8">
        <w:rPr>
          <w:rFonts w:ascii="Calibri" w:hAnsi="Calibri" w:cs="Calibri"/>
        </w:rPr>
        <w:t>w</w:t>
      </w:r>
      <w:r w:rsidRPr="006272E8">
        <w:rPr>
          <w:rFonts w:ascii="Calibri" w:hAnsi="Calibri" w:cs="Calibri"/>
        </w:rPr>
        <w:t xml:space="preserve">ho </w:t>
      </w:r>
      <w:r w:rsidRPr="006272E8">
        <w:rPr>
          <w:rFonts w:ascii="Calibri" w:hAnsi="Calibri" w:cs="Calibri"/>
        </w:rPr>
        <w:t xml:space="preserve">an independent court, scrutinising the justification for detention, would consider should be released is alarming. Hence the obvious </w:t>
      </w:r>
      <w:r w:rsidRPr="006272E8">
        <w:rPr>
          <w:rFonts w:ascii="Calibri" w:hAnsi="Calibri" w:cs="Calibri"/>
        </w:rPr>
        <w:t>conflict with article 5(4)</w:t>
      </w:r>
      <w:r w:rsidRPr="006272E8">
        <w:rPr>
          <w:rFonts w:ascii="Calibri" w:hAnsi="Calibri" w:cs="Calibri"/>
        </w:rPr>
        <w:t>,</w:t>
      </w:r>
      <w:r w:rsidRPr="006272E8">
        <w:rPr>
          <w:rFonts w:ascii="Calibri" w:hAnsi="Calibri" w:cs="Calibri"/>
        </w:rPr>
        <w:t xml:space="preserve"> which requires access to an independent court o</w:t>
      </w:r>
      <w:r w:rsidRPr="006272E8">
        <w:rPr>
          <w:rFonts w:ascii="Calibri" w:hAnsi="Calibri" w:cs="Calibri"/>
        </w:rPr>
        <w:t>r</w:t>
      </w:r>
      <w:r w:rsidRPr="006272E8">
        <w:rPr>
          <w:rFonts w:ascii="Calibri" w:hAnsi="Calibri" w:cs="Calibri"/>
        </w:rPr>
        <w:t xml:space="preserve"> tribunal to challenge the legality of detention including whether it is justified and necessary. </w:t>
      </w:r>
    </w:p>
    <w:p w:rsidR="006272E8" w:rsidRPr="006272E8" w:rsidP="00832341">
      <w:pPr>
        <w:spacing w:before="240" w:after="240" w:line="480" w:lineRule="auto"/>
        <w:jc w:val="both"/>
        <w:rPr>
          <w:rFonts w:ascii="Calibri" w:hAnsi="Calibri" w:cs="Calibri"/>
        </w:rPr>
      </w:pPr>
      <w:r w:rsidRPr="006272E8">
        <w:rPr>
          <w:rFonts w:ascii="Calibri" w:hAnsi="Calibri" w:cs="Calibri"/>
        </w:rPr>
        <w:t>10.</w:t>
      </w:r>
      <w:r w:rsidRPr="006272E8">
        <w:rPr>
          <w:rFonts w:ascii="Calibri" w:hAnsi="Calibri" w:cs="Calibri"/>
        </w:rPr>
        <w:tab/>
      </w:r>
      <w:r w:rsidRPr="006272E8">
        <w:rPr>
          <w:rFonts w:ascii="Calibri" w:hAnsi="Calibri" w:cs="Calibri"/>
        </w:rPr>
        <w:t xml:space="preserve">There has </w:t>
      </w:r>
      <w:r w:rsidRPr="006272E8">
        <w:rPr>
          <w:rFonts w:ascii="Calibri" w:hAnsi="Calibri" w:cs="Calibri"/>
        </w:rPr>
        <w:t xml:space="preserve">not yet been an authoritative determination </w:t>
      </w:r>
      <w:r w:rsidRPr="006272E8">
        <w:rPr>
          <w:rFonts w:ascii="Calibri" w:hAnsi="Calibri" w:cs="Calibri"/>
        </w:rPr>
        <w:t xml:space="preserve">by the </w:t>
      </w:r>
      <w:r w:rsidRPr="006272E8">
        <w:rPr>
          <w:rFonts w:ascii="Calibri" w:hAnsi="Calibri" w:cs="Calibri"/>
        </w:rPr>
        <w:t>c</w:t>
      </w:r>
      <w:r w:rsidRPr="006272E8">
        <w:rPr>
          <w:rFonts w:ascii="Calibri" w:hAnsi="Calibri" w:cs="Calibri"/>
        </w:rPr>
        <w:t xml:space="preserve">ourts </w:t>
      </w:r>
      <w:r w:rsidRPr="006272E8">
        <w:rPr>
          <w:rFonts w:ascii="Calibri" w:hAnsi="Calibri" w:cs="Calibri"/>
        </w:rPr>
        <w:t xml:space="preserve">on the interpretation of Section 12. </w:t>
      </w:r>
      <w:r w:rsidRPr="006272E8">
        <w:rPr>
          <w:rFonts w:ascii="Calibri" w:hAnsi="Calibri" w:cs="Calibri"/>
        </w:rPr>
        <w:t xml:space="preserve">In some recent applications to the High Court for release from immigration detention, the </w:t>
      </w:r>
      <w:r w:rsidRPr="006272E8">
        <w:rPr>
          <w:rFonts w:ascii="Calibri" w:hAnsi="Calibri" w:cs="Calibri"/>
        </w:rPr>
        <w:t>c</w:t>
      </w:r>
      <w:r w:rsidRPr="006272E8">
        <w:rPr>
          <w:rFonts w:ascii="Calibri" w:hAnsi="Calibri" w:cs="Calibri"/>
        </w:rPr>
        <w:t xml:space="preserve">ourt has made reference to Section 12 but </w:t>
      </w:r>
      <w:r w:rsidRPr="006272E8">
        <w:rPr>
          <w:rFonts w:ascii="Calibri" w:hAnsi="Calibri" w:cs="Calibri"/>
        </w:rPr>
        <w:t xml:space="preserve">has </w:t>
      </w:r>
      <w:r w:rsidRPr="006272E8">
        <w:rPr>
          <w:rFonts w:ascii="Calibri" w:hAnsi="Calibri" w:cs="Calibri"/>
        </w:rPr>
        <w:t>still ordered the Home Office to release the detaine</w:t>
      </w:r>
      <w:r w:rsidRPr="006272E8">
        <w:rPr>
          <w:rFonts w:ascii="Calibri" w:hAnsi="Calibri" w:cs="Calibri"/>
        </w:rPr>
        <w:t>d person</w:t>
      </w:r>
      <w:r w:rsidRPr="006272E8">
        <w:rPr>
          <w:rFonts w:ascii="Calibri" w:hAnsi="Calibri" w:cs="Calibri"/>
        </w:rPr>
        <w:t>.</w:t>
      </w:r>
      <w:r>
        <w:rPr>
          <w:rStyle w:val="FootnoteReference"/>
          <w:rFonts w:ascii="Calibri" w:hAnsi="Calibri" w:cs="Calibri"/>
        </w:rPr>
        <w:footnoteReference w:id="10"/>
      </w:r>
      <w:r w:rsidRPr="006272E8">
        <w:rPr>
          <w:rFonts w:ascii="Calibri" w:hAnsi="Calibri" w:cs="Calibri"/>
        </w:rPr>
        <w:t xml:space="preserve"> </w:t>
      </w:r>
      <w:r w:rsidRPr="006272E8">
        <w:rPr>
          <w:rFonts w:ascii="Calibri" w:hAnsi="Calibri" w:cs="Calibri"/>
        </w:rPr>
        <w:t>In other cases, the Home Office has not sought to rely on Section 12</w:t>
      </w:r>
      <w:r w:rsidRPr="006272E8">
        <w:rPr>
          <w:rFonts w:ascii="Calibri" w:hAnsi="Calibri" w:cs="Calibri"/>
        </w:rPr>
        <w:t xml:space="preserve"> and </w:t>
      </w:r>
      <w:r w:rsidRPr="006272E8">
        <w:rPr>
          <w:rFonts w:ascii="Calibri" w:hAnsi="Calibri" w:cs="Calibri"/>
        </w:rPr>
        <w:t>the application for release has</w:t>
      </w:r>
      <w:r w:rsidRPr="006272E8">
        <w:rPr>
          <w:rFonts w:ascii="Calibri" w:hAnsi="Calibri" w:cs="Calibri"/>
        </w:rPr>
        <w:t xml:space="preserve"> proceeded as if the legislation did not exist.</w:t>
      </w:r>
      <w:r>
        <w:rPr>
          <w:rStyle w:val="FootnoteReference"/>
          <w:rFonts w:ascii="Calibri" w:hAnsi="Calibri" w:cs="Calibri"/>
        </w:rPr>
        <w:footnoteReference w:id="11"/>
      </w:r>
      <w:r w:rsidRPr="006272E8">
        <w:rPr>
          <w:rFonts w:ascii="Calibri" w:hAnsi="Calibri" w:cs="Calibri"/>
        </w:rPr>
        <w:t xml:space="preserve"> </w:t>
      </w:r>
      <w:r w:rsidRPr="006272E8">
        <w:rPr>
          <w:rFonts w:ascii="Calibri" w:hAnsi="Calibri" w:cs="Calibri"/>
        </w:rPr>
        <w:t>MJ and BID have consulted with barristers who routinely appear in application</w:t>
      </w:r>
      <w:r w:rsidRPr="006272E8">
        <w:rPr>
          <w:rFonts w:ascii="Calibri" w:hAnsi="Calibri" w:cs="Calibri"/>
        </w:rPr>
        <w:t>s</w:t>
      </w:r>
      <w:r w:rsidRPr="006272E8">
        <w:rPr>
          <w:rFonts w:ascii="Calibri" w:hAnsi="Calibri" w:cs="Calibri"/>
        </w:rPr>
        <w:t xml:space="preserve"> for release before the High Court and they have informed us that </w:t>
      </w:r>
      <w:r w:rsidRPr="006272E8">
        <w:rPr>
          <w:rFonts w:ascii="Calibri" w:hAnsi="Calibri" w:cs="Calibri"/>
        </w:rPr>
        <w:t xml:space="preserve">the </w:t>
      </w:r>
      <w:r w:rsidRPr="006272E8">
        <w:rPr>
          <w:rFonts w:ascii="Calibri" w:hAnsi="Calibri" w:cs="Calibri"/>
        </w:rPr>
        <w:t xml:space="preserve">Home </w:t>
      </w:r>
      <w:r w:rsidRPr="006272E8">
        <w:rPr>
          <w:rFonts w:ascii="Calibri" w:hAnsi="Calibri" w:cs="Calibri"/>
        </w:rPr>
        <w:t>Secretary</w:t>
      </w:r>
      <w:r w:rsidRPr="006272E8">
        <w:rPr>
          <w:rFonts w:ascii="Calibri" w:hAnsi="Calibri" w:cs="Calibri"/>
        </w:rPr>
        <w:t xml:space="preserve"> often do</w:t>
      </w:r>
      <w:r w:rsidRPr="006272E8">
        <w:rPr>
          <w:rFonts w:ascii="Calibri" w:hAnsi="Calibri" w:cs="Calibri"/>
        </w:rPr>
        <w:t>es</w:t>
      </w:r>
      <w:r w:rsidRPr="006272E8">
        <w:rPr>
          <w:rFonts w:ascii="Calibri" w:hAnsi="Calibri" w:cs="Calibri"/>
        </w:rPr>
        <w:t xml:space="preserve"> not rely on Section 12 and that when </w:t>
      </w:r>
      <w:r w:rsidRPr="006272E8">
        <w:rPr>
          <w:rFonts w:ascii="Calibri" w:hAnsi="Calibri" w:cs="Calibri"/>
        </w:rPr>
        <w:t>she does</w:t>
      </w:r>
      <w:r w:rsidRPr="006272E8">
        <w:rPr>
          <w:rFonts w:ascii="Calibri" w:hAnsi="Calibri" w:cs="Calibri"/>
        </w:rPr>
        <w:t xml:space="preserve"> raise it </w:t>
      </w:r>
      <w:r w:rsidRPr="006272E8">
        <w:rPr>
          <w:rFonts w:ascii="Calibri" w:hAnsi="Calibri" w:cs="Calibri"/>
        </w:rPr>
        <w:t xml:space="preserve">her representatives </w:t>
      </w:r>
      <w:r w:rsidRPr="006272E8">
        <w:rPr>
          <w:rFonts w:ascii="Calibri" w:hAnsi="Calibri" w:cs="Calibri"/>
        </w:rPr>
        <w:t>often</w:t>
      </w:r>
      <w:r w:rsidRPr="006272E8">
        <w:rPr>
          <w:rFonts w:ascii="Calibri" w:hAnsi="Calibri" w:cs="Calibri"/>
        </w:rPr>
        <w:t xml:space="preserve"> appear</w:t>
      </w:r>
      <w:r w:rsidRPr="006272E8">
        <w:rPr>
          <w:rFonts w:ascii="Calibri" w:hAnsi="Calibri" w:cs="Calibri"/>
        </w:rPr>
        <w:t xml:space="preserve"> reluctant to place much weight on it.</w:t>
      </w:r>
    </w:p>
    <w:p w:rsidR="006272E8" w:rsidRPr="006272E8" w:rsidP="00832341">
      <w:pPr>
        <w:spacing w:before="240" w:after="240" w:line="480" w:lineRule="auto"/>
        <w:jc w:val="both"/>
        <w:rPr>
          <w:rFonts w:ascii="Calibri" w:hAnsi="Calibri" w:cs="Calibri"/>
          <w:b/>
          <w:bCs/>
        </w:rPr>
      </w:pPr>
      <w:r w:rsidRPr="006272E8">
        <w:rPr>
          <w:rFonts w:ascii="Calibri" w:hAnsi="Calibri" w:cs="Calibri"/>
          <w:b/>
          <w:bCs/>
        </w:rPr>
        <w:t>Home Office Uncertainty About Meaning of Section 12</w:t>
      </w:r>
    </w:p>
    <w:p w:rsidR="006272E8" w:rsidRPr="006272E8" w:rsidP="00832341">
      <w:pPr>
        <w:spacing w:before="240" w:after="240" w:line="480" w:lineRule="auto"/>
        <w:jc w:val="both"/>
        <w:rPr>
          <w:rFonts w:ascii="Calibri" w:hAnsi="Calibri" w:cs="Calibri"/>
        </w:rPr>
      </w:pPr>
      <w:r w:rsidRPr="006272E8">
        <w:rPr>
          <w:rFonts w:ascii="Calibri" w:hAnsi="Calibri" w:cs="Calibri"/>
        </w:rPr>
        <w:t>11.</w:t>
      </w:r>
      <w:r w:rsidRPr="006272E8">
        <w:rPr>
          <w:rFonts w:ascii="Calibri" w:hAnsi="Calibri" w:cs="Calibri"/>
        </w:rPr>
        <w:tab/>
      </w:r>
      <w:r w:rsidRPr="006272E8">
        <w:rPr>
          <w:rFonts w:ascii="Calibri" w:hAnsi="Calibri" w:cs="Calibri"/>
        </w:rPr>
        <w:t>It is possible that</w:t>
      </w:r>
      <w:r w:rsidRPr="006272E8">
        <w:rPr>
          <w:rFonts w:ascii="Calibri" w:hAnsi="Calibri" w:cs="Calibri"/>
        </w:rPr>
        <w:t xml:space="preserve"> the reason </w:t>
      </w:r>
      <w:r w:rsidRPr="006272E8">
        <w:rPr>
          <w:rFonts w:ascii="Calibri" w:hAnsi="Calibri" w:cs="Calibri"/>
        </w:rPr>
        <w:t xml:space="preserve">why </w:t>
      </w:r>
      <w:r w:rsidRPr="006272E8">
        <w:rPr>
          <w:rFonts w:ascii="Calibri" w:hAnsi="Calibri" w:cs="Calibri"/>
        </w:rPr>
        <w:t>the Home Office appear</w:t>
      </w:r>
      <w:r w:rsidRPr="006272E8">
        <w:rPr>
          <w:rFonts w:ascii="Calibri" w:hAnsi="Calibri" w:cs="Calibri"/>
        </w:rPr>
        <w:t>s</w:t>
      </w:r>
      <w:r w:rsidRPr="006272E8">
        <w:rPr>
          <w:rFonts w:ascii="Calibri" w:hAnsi="Calibri" w:cs="Calibri"/>
        </w:rPr>
        <w:t xml:space="preserve"> to be so </w:t>
      </w:r>
      <w:r w:rsidRPr="006272E8">
        <w:rPr>
          <w:rFonts w:ascii="Calibri" w:hAnsi="Calibri" w:cs="Calibri"/>
        </w:rPr>
        <w:t xml:space="preserve">hesitant to rely on Section 12 is </w:t>
      </w:r>
      <w:r w:rsidRPr="006272E8">
        <w:rPr>
          <w:rFonts w:ascii="Calibri" w:hAnsi="Calibri" w:cs="Calibri"/>
        </w:rPr>
        <w:t xml:space="preserve">that it </w:t>
      </w:r>
      <w:r w:rsidRPr="006272E8">
        <w:rPr>
          <w:rFonts w:ascii="Calibri" w:hAnsi="Calibri" w:cs="Calibri"/>
        </w:rPr>
        <w:t>recognise</w:t>
      </w:r>
      <w:r w:rsidRPr="006272E8">
        <w:rPr>
          <w:rFonts w:ascii="Calibri" w:hAnsi="Calibri" w:cs="Calibri"/>
        </w:rPr>
        <w:t>s</w:t>
      </w:r>
      <w:r w:rsidRPr="006272E8">
        <w:rPr>
          <w:rFonts w:ascii="Calibri" w:hAnsi="Calibri" w:cs="Calibri"/>
        </w:rPr>
        <w:t xml:space="preserve"> that Section 12 does not comply with Article 5 ECHR and that it would be highly likely to be either read down under Section 3 of the Human Rights Act 1998 or declared to be incompatible under Section 4.</w:t>
      </w:r>
      <w:r w:rsidRPr="006272E8">
        <w:rPr>
          <w:rFonts w:ascii="Calibri" w:hAnsi="Calibri" w:cs="Calibri"/>
        </w:rPr>
        <w:t xml:space="preserve"> It is, moreover, incoherent. </w:t>
      </w:r>
    </w:p>
    <w:p w:rsidR="006272E8" w:rsidRPr="006272E8" w:rsidP="00832341">
      <w:pPr>
        <w:spacing w:before="240" w:after="240" w:line="480" w:lineRule="auto"/>
        <w:jc w:val="both"/>
        <w:rPr>
          <w:rFonts w:ascii="Calibri" w:hAnsi="Calibri" w:cs="Calibri"/>
        </w:rPr>
      </w:pPr>
      <w:r w:rsidRPr="006272E8">
        <w:rPr>
          <w:rFonts w:ascii="Calibri" w:hAnsi="Calibri" w:cs="Calibri"/>
        </w:rPr>
        <w:t>12.</w:t>
      </w:r>
      <w:r w:rsidRPr="006272E8">
        <w:rPr>
          <w:rFonts w:ascii="Calibri" w:hAnsi="Calibri" w:cs="Calibri"/>
        </w:rPr>
        <w:tab/>
        <w:t>This view is reinforced by consideration of the Home Office’s published policy which attempts to explain the interaction between Section 12 and Article 5 ECHR:</w:t>
      </w:r>
    </w:p>
    <w:p w:rsidR="006272E8" w:rsidRPr="006272E8" w:rsidP="00832341">
      <w:pPr>
        <w:spacing w:before="240" w:after="240" w:line="480" w:lineRule="auto"/>
        <w:jc w:val="both"/>
        <w:rPr>
          <w:rFonts w:ascii="Calibri" w:hAnsi="Calibri" w:cs="Calibri"/>
        </w:rPr>
      </w:pPr>
      <w:r w:rsidRPr="006272E8">
        <w:rPr>
          <w:rFonts w:ascii="Calibri" w:hAnsi="Calibri" w:cs="Calibri"/>
          <w:i/>
          <w:iCs/>
        </w:rPr>
        <w:t xml:space="preserve">Although it is for the Secretary of State to determine what is a reasonable period to detain an individual for the specific statutory purpose, Article 5(1)(f) does not permit, periods of detention where there is no prospect of a decision or removal within a reasonable </w:t>
      </w:r>
      <w:r w:rsidRPr="006272E8">
        <w:rPr>
          <w:rFonts w:ascii="Calibri" w:hAnsi="Calibri" w:cs="Calibri"/>
          <w:i/>
          <w:iCs/>
        </w:rPr>
        <w:t>period of time</w:t>
      </w:r>
      <w:r w:rsidRPr="006272E8">
        <w:rPr>
          <w:rFonts w:ascii="Calibri" w:hAnsi="Calibri" w:cs="Calibri"/>
          <w:i/>
          <w:iCs/>
        </w:rPr>
        <w:t xml:space="preserve">. </w:t>
      </w:r>
      <w:r w:rsidRPr="006272E8">
        <w:rPr>
          <w:rFonts w:ascii="Calibri" w:hAnsi="Calibri" w:cs="Calibri"/>
          <w:b/>
          <w:bCs/>
          <w:i/>
          <w:iCs/>
        </w:rPr>
        <w:t xml:space="preserve">This change does not enable the </w:t>
      </w:r>
      <w:r w:rsidRPr="006272E8">
        <w:rPr>
          <w:rFonts w:ascii="Calibri" w:hAnsi="Calibri" w:cs="Calibri"/>
          <w:b/>
          <w:bCs/>
          <w:i/>
          <w:iCs/>
        </w:rPr>
        <w:t xml:space="preserve">Secretary of State to maintain detention where there has ceased to be any prospect of removal within a reasonable </w:t>
      </w:r>
      <w:r w:rsidRPr="006272E8">
        <w:rPr>
          <w:rFonts w:ascii="Calibri" w:hAnsi="Calibri" w:cs="Calibri"/>
          <w:b/>
          <w:bCs/>
          <w:i/>
          <w:iCs/>
        </w:rPr>
        <w:t>period of time</w:t>
      </w:r>
      <w:r w:rsidRPr="006272E8">
        <w:rPr>
          <w:rFonts w:ascii="Calibri" w:hAnsi="Calibri" w:cs="Calibri"/>
          <w:b/>
          <w:bCs/>
          <w:i/>
          <w:iCs/>
        </w:rPr>
        <w:t>, or where the statutory purpose of detention can no longer be achieved within a reasonable period of time</w:t>
      </w:r>
      <w:r w:rsidRPr="006272E8">
        <w:rPr>
          <w:rFonts w:ascii="Calibri" w:hAnsi="Calibri" w:cs="Calibri"/>
          <w:i/>
          <w:iCs/>
        </w:rPr>
        <w:t>.</w:t>
      </w:r>
      <w:r>
        <w:rPr>
          <w:rStyle w:val="FootnoteReference"/>
          <w:rFonts w:ascii="Calibri" w:hAnsi="Calibri" w:cs="Calibri"/>
          <w:i/>
          <w:iCs/>
        </w:rPr>
        <w:footnoteReference w:id="12"/>
      </w:r>
      <w:r w:rsidRPr="006272E8">
        <w:rPr>
          <w:rFonts w:ascii="Calibri" w:hAnsi="Calibri" w:cs="Calibri"/>
        </w:rPr>
        <w:t xml:space="preserve"> (emphasis added)</w:t>
      </w:r>
    </w:p>
    <w:p w:rsidR="006272E8" w:rsidRPr="006272E8" w:rsidP="00832341">
      <w:pPr>
        <w:spacing w:before="240" w:after="240" w:line="480" w:lineRule="auto"/>
        <w:jc w:val="both"/>
        <w:rPr>
          <w:rFonts w:ascii="Calibri" w:hAnsi="Calibri" w:cs="Calibri"/>
        </w:rPr>
      </w:pPr>
      <w:r w:rsidRPr="006272E8">
        <w:rPr>
          <w:rFonts w:ascii="Calibri" w:hAnsi="Calibri" w:cs="Calibri"/>
        </w:rPr>
        <w:t>12.</w:t>
      </w:r>
      <w:r w:rsidRPr="006272E8">
        <w:rPr>
          <w:rFonts w:ascii="Calibri" w:hAnsi="Calibri" w:cs="Calibri"/>
        </w:rPr>
        <w:tab/>
      </w:r>
      <w:r w:rsidRPr="006272E8">
        <w:rPr>
          <w:rFonts w:ascii="Calibri" w:hAnsi="Calibri" w:cs="Calibri"/>
        </w:rPr>
        <w:t xml:space="preserve">In this passage, the Home Office appears to acknowledge that Section 12 does not </w:t>
      </w:r>
      <w:r w:rsidRPr="006272E8">
        <w:rPr>
          <w:rFonts w:ascii="Calibri" w:hAnsi="Calibri" w:cs="Calibri"/>
        </w:rPr>
        <w:t xml:space="preserve">have any real effect because Article 5 ECHR </w:t>
      </w:r>
      <w:r w:rsidRPr="006272E8">
        <w:rPr>
          <w:rFonts w:ascii="Calibri" w:hAnsi="Calibri" w:cs="Calibri"/>
        </w:rPr>
        <w:t>requires</w:t>
      </w:r>
      <w:r w:rsidRPr="006272E8">
        <w:rPr>
          <w:rFonts w:ascii="Calibri" w:hAnsi="Calibri" w:cs="Calibri"/>
        </w:rPr>
        <w:t xml:space="preserve"> that </w:t>
      </w:r>
      <w:r w:rsidRPr="006272E8">
        <w:rPr>
          <w:rFonts w:ascii="Calibri" w:hAnsi="Calibri" w:cs="Calibri"/>
        </w:rPr>
        <w:t xml:space="preserve">no one can be lawfully detained where there is no prospect of removal within a reasonable </w:t>
      </w:r>
      <w:r w:rsidRPr="006272E8">
        <w:rPr>
          <w:rFonts w:ascii="Calibri" w:hAnsi="Calibri" w:cs="Calibri"/>
        </w:rPr>
        <w:t>period of time</w:t>
      </w:r>
      <w:r w:rsidRPr="006272E8">
        <w:rPr>
          <w:rFonts w:ascii="Calibri" w:hAnsi="Calibri" w:cs="Calibri"/>
        </w:rPr>
        <w:t>.</w:t>
      </w:r>
      <w:r w:rsidRPr="006272E8">
        <w:rPr>
          <w:rFonts w:ascii="Calibri" w:hAnsi="Calibri" w:cs="Calibri"/>
        </w:rPr>
        <w:t xml:space="preserve"> That is because the permissible statutory purpose for the detention would not in such a case be made out.</w:t>
      </w:r>
    </w:p>
    <w:p w:rsidR="006272E8" w:rsidRPr="006272E8" w:rsidP="00832341">
      <w:pPr>
        <w:spacing w:before="240" w:after="240" w:line="480" w:lineRule="auto"/>
        <w:jc w:val="both"/>
        <w:rPr>
          <w:rFonts w:ascii="Calibri" w:hAnsi="Calibri" w:cs="Calibri"/>
        </w:rPr>
      </w:pPr>
      <w:r w:rsidRPr="006272E8">
        <w:rPr>
          <w:rFonts w:ascii="Calibri" w:hAnsi="Calibri" w:cs="Calibri"/>
        </w:rPr>
        <w:t>13.</w:t>
      </w:r>
      <w:r w:rsidRPr="006272E8">
        <w:rPr>
          <w:rFonts w:ascii="Calibri" w:hAnsi="Calibri" w:cs="Calibri"/>
        </w:rPr>
        <w:tab/>
      </w:r>
      <w:r w:rsidRPr="006272E8">
        <w:rPr>
          <w:rFonts w:ascii="Calibri" w:hAnsi="Calibri" w:cs="Calibri"/>
        </w:rPr>
        <w:t xml:space="preserve">The Home Office position </w:t>
      </w:r>
      <w:r w:rsidRPr="006272E8">
        <w:rPr>
          <w:rFonts w:ascii="Calibri" w:hAnsi="Calibri" w:cs="Calibri"/>
        </w:rPr>
        <w:t>illustrates the</w:t>
      </w:r>
      <w:r w:rsidRPr="006272E8">
        <w:rPr>
          <w:rFonts w:ascii="Calibri" w:hAnsi="Calibri" w:cs="Calibri"/>
        </w:rPr>
        <w:t xml:space="preserve"> fundamental problem with Section 12. </w:t>
      </w:r>
      <w:r w:rsidRPr="006272E8">
        <w:rPr>
          <w:rFonts w:ascii="Calibri" w:hAnsi="Calibri" w:cs="Calibri"/>
        </w:rPr>
        <w:t>Either it</w:t>
      </w:r>
      <w:r w:rsidRPr="006272E8">
        <w:rPr>
          <w:rFonts w:ascii="Calibri" w:hAnsi="Calibri" w:cs="Calibri"/>
        </w:rPr>
        <w:t xml:space="preserve"> is a piece of legislation which expands the Home Office’s power to detain </w:t>
      </w:r>
      <w:r w:rsidRPr="006272E8">
        <w:rPr>
          <w:rFonts w:ascii="Calibri" w:hAnsi="Calibri" w:cs="Calibri"/>
        </w:rPr>
        <w:t xml:space="preserve">in circumstances which are impermissible under </w:t>
      </w:r>
      <w:r w:rsidRPr="006272E8">
        <w:rPr>
          <w:rFonts w:ascii="Calibri" w:hAnsi="Calibri" w:cs="Calibri"/>
        </w:rPr>
        <w:t>Article 5 ECHR, in which case it</w:t>
      </w:r>
      <w:r w:rsidRPr="006272E8">
        <w:rPr>
          <w:rFonts w:ascii="Calibri" w:hAnsi="Calibri" w:cs="Calibri"/>
        </w:rPr>
        <w:t xml:space="preserve"> does not comply with Article 5 ECHR. Or, </w:t>
      </w:r>
      <w:r w:rsidRPr="006272E8">
        <w:rPr>
          <w:rFonts w:ascii="Calibri" w:hAnsi="Calibri" w:cs="Calibri"/>
        </w:rPr>
        <w:t xml:space="preserve">owing to </w:t>
      </w:r>
      <w:r w:rsidRPr="006272E8">
        <w:rPr>
          <w:rFonts w:ascii="Calibri" w:hAnsi="Calibri" w:cs="Calibri"/>
        </w:rPr>
        <w:t>its in</w:t>
      </w:r>
      <w:r w:rsidRPr="006272E8">
        <w:rPr>
          <w:rFonts w:ascii="Calibri" w:hAnsi="Calibri" w:cs="Calibri"/>
        </w:rPr>
        <w:t>co</w:t>
      </w:r>
      <w:r w:rsidRPr="006272E8">
        <w:rPr>
          <w:rFonts w:ascii="Calibri" w:hAnsi="Calibri" w:cs="Calibri"/>
        </w:rPr>
        <w:t>herence</w:t>
      </w:r>
      <w:r w:rsidRPr="006272E8">
        <w:rPr>
          <w:rFonts w:ascii="Calibri" w:hAnsi="Calibri" w:cs="Calibri"/>
        </w:rPr>
        <w:t xml:space="preserve">, it must be </w:t>
      </w:r>
      <w:r w:rsidRPr="006272E8">
        <w:rPr>
          <w:rFonts w:ascii="Calibri" w:hAnsi="Calibri" w:cs="Calibri"/>
        </w:rPr>
        <w:t>'</w:t>
      </w:r>
      <w:r w:rsidRPr="006272E8">
        <w:rPr>
          <w:rFonts w:ascii="Calibri" w:hAnsi="Calibri" w:cs="Calibri"/>
        </w:rPr>
        <w:t>read down</w:t>
      </w:r>
      <w:r w:rsidRPr="006272E8">
        <w:rPr>
          <w:rFonts w:ascii="Calibri" w:hAnsi="Calibri" w:cs="Calibri"/>
        </w:rPr>
        <w:t>'</w:t>
      </w:r>
      <w:r w:rsidRPr="006272E8">
        <w:rPr>
          <w:rFonts w:ascii="Calibri" w:hAnsi="Calibri" w:cs="Calibri"/>
        </w:rPr>
        <w:t xml:space="preserve"> </w:t>
      </w:r>
      <w:r w:rsidRPr="006272E8">
        <w:rPr>
          <w:rFonts w:ascii="Calibri" w:hAnsi="Calibri" w:cs="Calibri"/>
        </w:rPr>
        <w:t xml:space="preserve">by a court </w:t>
      </w:r>
      <w:r w:rsidRPr="006272E8">
        <w:rPr>
          <w:rFonts w:ascii="Calibri" w:hAnsi="Calibri" w:cs="Calibri"/>
        </w:rPr>
        <w:t>in order to</w:t>
      </w:r>
      <w:r w:rsidRPr="006272E8">
        <w:rPr>
          <w:rFonts w:ascii="Calibri" w:hAnsi="Calibri" w:cs="Calibri"/>
        </w:rPr>
        <w:t xml:space="preserve"> ensure compliance with Article 5 ECHR, </w:t>
      </w:r>
      <w:r w:rsidRPr="006272E8">
        <w:rPr>
          <w:rFonts w:ascii="Calibri" w:hAnsi="Calibri" w:cs="Calibri"/>
        </w:rPr>
        <w:t xml:space="preserve">in which case </w:t>
      </w:r>
      <w:r w:rsidRPr="006272E8">
        <w:rPr>
          <w:rFonts w:ascii="Calibri" w:hAnsi="Calibri" w:cs="Calibri"/>
        </w:rPr>
        <w:t>it has no real effect at all.</w:t>
      </w:r>
    </w:p>
    <w:p w:rsidR="006272E8" w:rsidRPr="006272E8" w:rsidP="00832341">
      <w:pPr>
        <w:spacing w:before="240" w:after="240" w:line="480" w:lineRule="auto"/>
        <w:jc w:val="both"/>
        <w:rPr>
          <w:rFonts w:ascii="Calibri" w:hAnsi="Calibri" w:cs="Calibri"/>
          <w:b/>
          <w:bCs/>
        </w:rPr>
      </w:pPr>
      <w:r w:rsidRPr="006272E8">
        <w:rPr>
          <w:rFonts w:ascii="Calibri" w:hAnsi="Calibri" w:cs="Calibri"/>
          <w:b/>
          <w:bCs/>
        </w:rPr>
        <w:t>MJ and BID’s View on the Meaning of Section 12</w:t>
      </w:r>
    </w:p>
    <w:p w:rsidR="006272E8" w:rsidRPr="006272E8" w:rsidP="00832341">
      <w:pPr>
        <w:spacing w:before="240" w:after="240" w:line="480" w:lineRule="auto"/>
        <w:jc w:val="both"/>
        <w:rPr>
          <w:rFonts w:ascii="Calibri" w:hAnsi="Calibri" w:cs="Calibri"/>
        </w:rPr>
      </w:pPr>
      <w:r w:rsidRPr="006272E8">
        <w:rPr>
          <w:rFonts w:ascii="Calibri" w:hAnsi="Calibri" w:cs="Calibri"/>
        </w:rPr>
        <w:t>14.</w:t>
      </w:r>
      <w:r w:rsidRPr="006272E8">
        <w:rPr>
          <w:rFonts w:ascii="Calibri" w:hAnsi="Calibri" w:cs="Calibri"/>
        </w:rPr>
        <w:tab/>
      </w:r>
      <w:r w:rsidRPr="006272E8">
        <w:rPr>
          <w:rFonts w:ascii="Calibri" w:hAnsi="Calibri" w:cs="Calibri"/>
        </w:rPr>
        <w:t xml:space="preserve">MJ and BID have consulted with lawyers who have advised that, if a </w:t>
      </w:r>
      <w:r w:rsidRPr="006272E8">
        <w:rPr>
          <w:rFonts w:ascii="Calibri" w:hAnsi="Calibri" w:cs="Calibri"/>
        </w:rPr>
        <w:t>c</w:t>
      </w:r>
      <w:r w:rsidRPr="006272E8">
        <w:rPr>
          <w:rFonts w:ascii="Calibri" w:hAnsi="Calibri" w:cs="Calibri"/>
        </w:rPr>
        <w:t>ourt w</w:t>
      </w:r>
      <w:r w:rsidRPr="006272E8">
        <w:rPr>
          <w:rFonts w:ascii="Calibri" w:hAnsi="Calibri" w:cs="Calibri"/>
        </w:rPr>
        <w:t>ere</w:t>
      </w:r>
      <w:r w:rsidRPr="006272E8">
        <w:rPr>
          <w:rFonts w:ascii="Calibri" w:hAnsi="Calibri" w:cs="Calibri"/>
        </w:rPr>
        <w:t xml:space="preserve"> required</w:t>
      </w:r>
      <w:r w:rsidRPr="006272E8">
        <w:rPr>
          <w:rFonts w:ascii="Calibri" w:hAnsi="Calibri" w:cs="Calibri"/>
        </w:rPr>
        <w:t xml:space="preserve"> </w:t>
      </w:r>
      <w:r w:rsidRPr="006272E8">
        <w:rPr>
          <w:rFonts w:ascii="Calibri" w:hAnsi="Calibri" w:cs="Calibri"/>
        </w:rPr>
        <w:t xml:space="preserve">authoritatively </w:t>
      </w:r>
      <w:r w:rsidRPr="006272E8">
        <w:rPr>
          <w:rFonts w:ascii="Calibri" w:hAnsi="Calibri" w:cs="Calibri"/>
        </w:rPr>
        <w:t xml:space="preserve">to </w:t>
      </w:r>
      <w:r w:rsidRPr="006272E8">
        <w:rPr>
          <w:rFonts w:ascii="Calibri" w:hAnsi="Calibri" w:cs="Calibri"/>
        </w:rPr>
        <w:t xml:space="preserve">determine the meaning of Section 12, it </w:t>
      </w:r>
      <w:r w:rsidRPr="006272E8">
        <w:rPr>
          <w:rFonts w:ascii="Calibri" w:hAnsi="Calibri" w:cs="Calibri"/>
        </w:rPr>
        <w:t xml:space="preserve">would </w:t>
      </w:r>
      <w:r w:rsidRPr="006272E8">
        <w:rPr>
          <w:rFonts w:ascii="Calibri" w:hAnsi="Calibri" w:cs="Calibri"/>
        </w:rPr>
        <w:t xml:space="preserve">be highly </w:t>
      </w:r>
      <w:r w:rsidRPr="006272E8">
        <w:rPr>
          <w:rFonts w:ascii="Calibri" w:hAnsi="Calibri" w:cs="Calibri"/>
        </w:rPr>
        <w:t xml:space="preserve">likely </w:t>
      </w:r>
      <w:r w:rsidRPr="006272E8">
        <w:rPr>
          <w:rFonts w:ascii="Calibri" w:hAnsi="Calibri" w:cs="Calibri"/>
        </w:rPr>
        <w:t xml:space="preserve">to </w:t>
      </w:r>
      <w:r w:rsidRPr="006272E8">
        <w:rPr>
          <w:rFonts w:ascii="Calibri" w:hAnsi="Calibri" w:cs="Calibri"/>
        </w:rPr>
        <w:t xml:space="preserve">decide that it is of no effect. That outcome might be </w:t>
      </w:r>
      <w:r w:rsidRPr="006272E8">
        <w:rPr>
          <w:rFonts w:ascii="Calibri" w:hAnsi="Calibri" w:cs="Calibri"/>
        </w:rPr>
        <w:t>reached</w:t>
      </w:r>
      <w:r w:rsidRPr="006272E8">
        <w:rPr>
          <w:rFonts w:ascii="Calibri" w:hAnsi="Calibri" w:cs="Calibri"/>
        </w:rPr>
        <w:t xml:space="preserve"> </w:t>
      </w:r>
      <w:r w:rsidRPr="006272E8">
        <w:rPr>
          <w:rFonts w:ascii="Calibri" w:hAnsi="Calibri" w:cs="Calibri"/>
        </w:rPr>
        <w:t>in a variety of ways:</w:t>
      </w:r>
    </w:p>
    <w:p w:rsidR="006272E8" w:rsidRPr="006272E8" w:rsidP="00856E03">
      <w:pPr>
        <w:pStyle w:val="ListParagraph"/>
        <w:numPr>
          <w:ilvl w:val="0"/>
          <w:numId w:val="2"/>
        </w:numPr>
        <w:spacing w:before="240" w:after="240" w:line="480" w:lineRule="auto"/>
        <w:jc w:val="both"/>
        <w:rPr>
          <w:rFonts w:ascii="Calibri" w:hAnsi="Calibri" w:cs="Calibri"/>
        </w:rPr>
      </w:pPr>
      <w:r w:rsidRPr="006272E8">
        <w:rPr>
          <w:rFonts w:ascii="Calibri" w:hAnsi="Calibri" w:cs="Calibri"/>
        </w:rPr>
        <w:t>The Court might ‘read down’ the legislation using Section 3 of the Human Rights Act 1998.</w:t>
      </w:r>
    </w:p>
    <w:p w:rsidR="006272E8" w:rsidRPr="006272E8" w:rsidP="00856E03">
      <w:pPr>
        <w:pStyle w:val="ListParagraph"/>
        <w:numPr>
          <w:ilvl w:val="0"/>
          <w:numId w:val="2"/>
        </w:numPr>
        <w:spacing w:before="240" w:after="240" w:line="480" w:lineRule="auto"/>
        <w:jc w:val="both"/>
        <w:rPr>
          <w:rFonts w:ascii="Calibri" w:hAnsi="Calibri" w:cs="Calibri"/>
        </w:rPr>
      </w:pPr>
      <w:r w:rsidRPr="006272E8">
        <w:rPr>
          <w:rFonts w:ascii="Calibri" w:hAnsi="Calibri" w:cs="Calibri"/>
        </w:rPr>
        <w:t xml:space="preserve">The Court might determine that </w:t>
      </w:r>
      <w:r w:rsidRPr="006272E8">
        <w:rPr>
          <w:rFonts w:ascii="Calibri" w:hAnsi="Calibri" w:cs="Calibri"/>
        </w:rPr>
        <w:t xml:space="preserve">any decision made by the Home Office about the reasonableness of determination should still be re-made by the Court </w:t>
      </w:r>
      <w:r w:rsidRPr="006272E8">
        <w:rPr>
          <w:rFonts w:ascii="Calibri" w:hAnsi="Calibri" w:cs="Calibri"/>
        </w:rPr>
        <w:t>because of the need for the Home Office to comply with Article 5 ECHR under Section 6 of the Human Rights Act 1998.</w:t>
      </w:r>
    </w:p>
    <w:p w:rsidR="006272E8" w:rsidRPr="006272E8" w:rsidP="00856E03">
      <w:pPr>
        <w:pStyle w:val="ListParagraph"/>
        <w:numPr>
          <w:ilvl w:val="0"/>
          <w:numId w:val="2"/>
        </w:numPr>
        <w:spacing w:before="240" w:after="240" w:line="480" w:lineRule="auto"/>
        <w:jc w:val="both"/>
        <w:rPr>
          <w:rFonts w:ascii="Calibri" w:hAnsi="Calibri" w:cs="Calibri"/>
        </w:rPr>
      </w:pPr>
      <w:r w:rsidRPr="006272E8">
        <w:rPr>
          <w:rFonts w:ascii="Calibri" w:hAnsi="Calibri" w:cs="Calibri"/>
        </w:rPr>
        <w:t xml:space="preserve">The Court might rely on </w:t>
      </w:r>
      <w:r w:rsidRPr="006272E8">
        <w:rPr>
          <w:rFonts w:ascii="Calibri" w:hAnsi="Calibri" w:cs="Calibri"/>
        </w:rPr>
        <w:t xml:space="preserve">the </w:t>
      </w:r>
      <w:r w:rsidRPr="006272E8">
        <w:rPr>
          <w:rFonts w:ascii="Calibri" w:hAnsi="Calibri" w:cs="Calibri"/>
        </w:rPr>
        <w:t xml:space="preserve">common law principle of </w:t>
      </w:r>
      <w:r w:rsidRPr="006272E8">
        <w:rPr>
          <w:rFonts w:ascii="Calibri" w:hAnsi="Calibri" w:cs="Calibri"/>
        </w:rPr>
        <w:t xml:space="preserve">legality in </w:t>
      </w:r>
      <w:r w:rsidRPr="006272E8">
        <w:rPr>
          <w:rFonts w:ascii="Calibri" w:hAnsi="Calibri" w:cs="Calibri"/>
        </w:rPr>
        <w:t>interpret</w:t>
      </w:r>
      <w:r w:rsidRPr="006272E8">
        <w:rPr>
          <w:rFonts w:ascii="Calibri" w:hAnsi="Calibri" w:cs="Calibri"/>
        </w:rPr>
        <w:t xml:space="preserve">ing  </w:t>
      </w:r>
      <w:r w:rsidRPr="006272E8">
        <w:rPr>
          <w:rFonts w:ascii="Calibri" w:hAnsi="Calibri" w:cs="Calibri"/>
        </w:rPr>
        <w:t>Section</w:t>
      </w:r>
      <w:r w:rsidRPr="006272E8">
        <w:rPr>
          <w:rFonts w:ascii="Calibri" w:hAnsi="Calibri" w:cs="Calibri"/>
        </w:rPr>
        <w:t xml:space="preserve"> 12 </w:t>
      </w:r>
      <w:r w:rsidRPr="006272E8">
        <w:rPr>
          <w:rFonts w:ascii="Calibri" w:hAnsi="Calibri" w:cs="Calibri"/>
        </w:rPr>
        <w:t xml:space="preserve">and find that it </w:t>
      </w:r>
      <w:r w:rsidRPr="006272E8">
        <w:rPr>
          <w:rFonts w:ascii="Calibri" w:hAnsi="Calibri" w:cs="Calibri"/>
        </w:rPr>
        <w:t>is insufficiently clear to curtail a fundamental right.</w:t>
      </w:r>
      <w:r>
        <w:rPr>
          <w:rStyle w:val="FootnoteReference"/>
          <w:rFonts w:ascii="Calibri" w:hAnsi="Calibri" w:cs="Calibri"/>
        </w:rPr>
        <w:footnoteReference w:id="13"/>
      </w:r>
    </w:p>
    <w:p w:rsidR="006272E8" w:rsidRPr="006272E8" w:rsidP="00B84FAE">
      <w:pPr>
        <w:spacing w:before="240" w:after="240" w:line="480" w:lineRule="auto"/>
        <w:jc w:val="both"/>
        <w:rPr>
          <w:rFonts w:ascii="Calibri" w:hAnsi="Calibri" w:cs="Calibri"/>
        </w:rPr>
      </w:pPr>
      <w:r w:rsidRPr="006272E8">
        <w:rPr>
          <w:rFonts w:ascii="Calibri" w:hAnsi="Calibri" w:cs="Calibri"/>
        </w:rPr>
        <w:t>15.</w:t>
      </w:r>
      <w:r w:rsidRPr="006272E8">
        <w:rPr>
          <w:rFonts w:ascii="Calibri" w:hAnsi="Calibri" w:cs="Calibri"/>
        </w:rPr>
        <w:tab/>
      </w:r>
      <w:r w:rsidRPr="006272E8">
        <w:rPr>
          <w:rFonts w:ascii="Calibri" w:hAnsi="Calibri" w:cs="Calibri"/>
        </w:rPr>
        <w:t xml:space="preserve">In addition, </w:t>
      </w:r>
      <w:r w:rsidRPr="006272E8">
        <w:rPr>
          <w:rFonts w:ascii="Calibri" w:hAnsi="Calibri" w:cs="Calibri"/>
        </w:rPr>
        <w:t>the Court might simply find that Section 12 does not have any effect on its own terms</w:t>
      </w:r>
      <w:r w:rsidRPr="006272E8">
        <w:rPr>
          <w:rFonts w:ascii="Calibri" w:hAnsi="Calibri" w:cs="Calibri"/>
        </w:rPr>
        <w:t>, contrary to the view expressed in the Explanatory Notes</w:t>
      </w:r>
      <w:r w:rsidRPr="006272E8">
        <w:rPr>
          <w:rFonts w:ascii="Calibri" w:hAnsi="Calibri" w:cs="Calibri"/>
        </w:rPr>
        <w:t xml:space="preserve">. </w:t>
      </w:r>
    </w:p>
    <w:p w:rsidR="006272E8" w:rsidRPr="006272E8" w:rsidP="00B84FAE">
      <w:pPr>
        <w:spacing w:before="240" w:after="240" w:line="480" w:lineRule="auto"/>
        <w:jc w:val="both"/>
        <w:rPr>
          <w:rFonts w:ascii="Calibri" w:hAnsi="Calibri" w:cs="Calibri"/>
        </w:rPr>
      </w:pPr>
      <w:r w:rsidRPr="006272E8">
        <w:rPr>
          <w:rFonts w:ascii="Calibri" w:hAnsi="Calibri" w:cs="Calibri"/>
        </w:rPr>
        <w:t>16.</w:t>
      </w:r>
      <w:r w:rsidRPr="006272E8">
        <w:rPr>
          <w:rFonts w:ascii="Calibri" w:hAnsi="Calibri" w:cs="Calibri"/>
        </w:rPr>
        <w:tab/>
      </w:r>
      <w:r w:rsidRPr="006272E8">
        <w:rPr>
          <w:rFonts w:ascii="Calibri" w:hAnsi="Calibri" w:cs="Calibri"/>
        </w:rPr>
        <w:t xml:space="preserve">The </w:t>
      </w:r>
      <w:r w:rsidRPr="006272E8">
        <w:rPr>
          <w:rFonts w:ascii="Calibri" w:hAnsi="Calibri" w:cs="Calibri"/>
        </w:rPr>
        <w:t>C</w:t>
      </w:r>
      <w:r w:rsidRPr="006272E8">
        <w:rPr>
          <w:rFonts w:ascii="Calibri" w:hAnsi="Calibri" w:cs="Calibri"/>
        </w:rPr>
        <w:t xml:space="preserve">ourt is still </w:t>
      </w:r>
      <w:r w:rsidRPr="006272E8">
        <w:rPr>
          <w:rFonts w:ascii="Calibri" w:hAnsi="Calibri" w:cs="Calibri"/>
        </w:rPr>
        <w:t xml:space="preserve">required </w:t>
      </w:r>
      <w:r w:rsidRPr="006272E8">
        <w:rPr>
          <w:rFonts w:ascii="Calibri" w:hAnsi="Calibri" w:cs="Calibri"/>
        </w:rPr>
        <w:t>to review the Home Office’s decision to detain using traditional public</w:t>
      </w:r>
      <w:r w:rsidRPr="006272E8">
        <w:rPr>
          <w:rFonts w:ascii="Calibri" w:hAnsi="Calibri" w:cs="Calibri"/>
        </w:rPr>
        <w:t xml:space="preserve"> law</w:t>
      </w:r>
      <w:r w:rsidRPr="006272E8">
        <w:rPr>
          <w:rFonts w:ascii="Calibri" w:hAnsi="Calibri" w:cs="Calibri"/>
        </w:rPr>
        <w:t xml:space="preserve"> principles i.e. that the decision must be </w:t>
      </w:r>
      <w:r w:rsidRPr="006272E8">
        <w:rPr>
          <w:rFonts w:ascii="Calibri" w:hAnsi="Calibri" w:cs="Calibri"/>
          <w:i/>
          <w:iCs/>
        </w:rPr>
        <w:t>Wednesbury</w:t>
      </w:r>
      <w:r w:rsidRPr="006272E8">
        <w:rPr>
          <w:rFonts w:ascii="Calibri" w:hAnsi="Calibri" w:cs="Calibri"/>
        </w:rPr>
        <w:t xml:space="preserve"> </w:t>
      </w:r>
      <w:r w:rsidRPr="006272E8">
        <w:rPr>
          <w:rFonts w:ascii="Calibri" w:hAnsi="Calibri" w:cs="Calibri"/>
        </w:rPr>
        <w:t xml:space="preserve">reasonable and comply with the </w:t>
      </w:r>
      <w:r w:rsidRPr="006272E8">
        <w:rPr>
          <w:rFonts w:ascii="Calibri" w:hAnsi="Calibri" w:cs="Calibri"/>
        </w:rPr>
        <w:t>statutory purpose</w:t>
      </w:r>
      <w:r w:rsidRPr="006272E8">
        <w:rPr>
          <w:rFonts w:ascii="Calibri" w:hAnsi="Calibri" w:cs="Calibri"/>
        </w:rPr>
        <w:t>.</w:t>
      </w:r>
      <w:r w:rsidRPr="006272E8">
        <w:rPr>
          <w:rFonts w:ascii="Calibri" w:hAnsi="Calibri" w:cs="Calibri"/>
        </w:rPr>
        <w:t xml:space="preserve"> </w:t>
      </w:r>
      <w:r w:rsidRPr="006272E8">
        <w:rPr>
          <w:rFonts w:ascii="Calibri" w:hAnsi="Calibri" w:cs="Calibri"/>
        </w:rPr>
        <w:t>However</w:t>
      </w:r>
      <w:r w:rsidRPr="006272E8">
        <w:rPr>
          <w:rFonts w:ascii="Calibri" w:hAnsi="Calibri" w:cs="Calibri"/>
        </w:rPr>
        <w:t xml:space="preserve"> </w:t>
      </w:r>
      <w:r w:rsidRPr="006272E8">
        <w:rPr>
          <w:rFonts w:ascii="Calibri" w:hAnsi="Calibri" w:cs="Calibri"/>
        </w:rPr>
        <w:t xml:space="preserve">the </w:t>
      </w:r>
      <w:r w:rsidRPr="006272E8">
        <w:rPr>
          <w:rFonts w:ascii="Calibri" w:hAnsi="Calibri" w:cs="Calibri"/>
          <w:i/>
          <w:iCs/>
        </w:rPr>
        <w:t>Hardial Singh</w:t>
      </w:r>
      <w:r w:rsidRPr="006272E8">
        <w:rPr>
          <w:rFonts w:ascii="Calibri" w:hAnsi="Calibri" w:cs="Calibri"/>
        </w:rPr>
        <w:t xml:space="preserve"> </w:t>
      </w:r>
      <w:r w:rsidRPr="006272E8">
        <w:rPr>
          <w:rFonts w:ascii="Calibri" w:hAnsi="Calibri" w:cs="Calibri"/>
        </w:rPr>
        <w:t xml:space="preserve">test is </w:t>
      </w:r>
      <w:r w:rsidRPr="006272E8">
        <w:rPr>
          <w:rFonts w:ascii="Calibri" w:hAnsi="Calibri" w:cs="Calibri"/>
        </w:rPr>
        <w:t>simply</w:t>
      </w:r>
      <w:r w:rsidRPr="006272E8">
        <w:rPr>
          <w:rFonts w:ascii="Calibri" w:hAnsi="Calibri" w:cs="Calibri"/>
        </w:rPr>
        <w:t xml:space="preserve"> an</w:t>
      </w:r>
      <w:r w:rsidRPr="006272E8">
        <w:rPr>
          <w:rFonts w:ascii="Calibri" w:hAnsi="Calibri" w:cs="Calibri"/>
        </w:rPr>
        <w:t xml:space="preserve"> expression of those principles in the particular context of immigration detention.</w:t>
      </w:r>
      <w:r>
        <w:rPr>
          <w:rStyle w:val="FootnoteReference"/>
          <w:rFonts w:ascii="Calibri" w:hAnsi="Calibri" w:cs="Calibri"/>
        </w:rPr>
        <w:footnoteReference w:id="14"/>
      </w:r>
      <w:r w:rsidRPr="006272E8">
        <w:rPr>
          <w:rFonts w:ascii="Calibri" w:hAnsi="Calibri" w:cs="Calibri"/>
        </w:rPr>
        <w:t xml:space="preserve"> </w:t>
      </w:r>
      <w:r w:rsidRPr="006272E8">
        <w:rPr>
          <w:rFonts w:ascii="Calibri" w:hAnsi="Calibri" w:cs="Calibri"/>
        </w:rPr>
        <w:t>Where the state is authorised to detain a person without an order of the court, upon challenge the court must be able to scrutinize whether the statutory purpose for detention exists and whether, if it exists</w:t>
      </w:r>
      <w:r w:rsidRPr="006272E8">
        <w:rPr>
          <w:rFonts w:ascii="Calibri" w:hAnsi="Calibri" w:cs="Calibri"/>
        </w:rPr>
        <w:t>,</w:t>
      </w:r>
      <w:r w:rsidRPr="006272E8">
        <w:rPr>
          <w:rFonts w:ascii="Calibri" w:hAnsi="Calibri" w:cs="Calibri"/>
        </w:rPr>
        <w:t xml:space="preserve"> the power to detain is exercised reasonably in all the circumstances. </w:t>
      </w:r>
    </w:p>
    <w:p w:rsidR="006272E8" w:rsidRPr="006272E8" w:rsidP="00B84FAE">
      <w:pPr>
        <w:spacing w:before="240" w:after="240" w:line="480" w:lineRule="auto"/>
        <w:jc w:val="both"/>
        <w:rPr>
          <w:rFonts w:ascii="Calibri" w:hAnsi="Calibri" w:cs="Calibri"/>
        </w:rPr>
      </w:pPr>
      <w:r w:rsidRPr="006272E8">
        <w:rPr>
          <w:rFonts w:ascii="Calibri" w:hAnsi="Calibri" w:cs="Calibri"/>
        </w:rPr>
        <w:t>17.</w:t>
      </w:r>
      <w:r w:rsidRPr="006272E8">
        <w:rPr>
          <w:rFonts w:ascii="Calibri" w:hAnsi="Calibri" w:cs="Calibri"/>
        </w:rPr>
        <w:tab/>
      </w:r>
      <w:r w:rsidRPr="006272E8">
        <w:rPr>
          <w:rFonts w:ascii="Calibri" w:hAnsi="Calibri" w:cs="Calibri"/>
        </w:rPr>
        <w:t xml:space="preserve">Whether a decision was </w:t>
      </w:r>
      <w:r w:rsidRPr="006272E8">
        <w:rPr>
          <w:rFonts w:ascii="Calibri" w:hAnsi="Calibri" w:cs="Calibri"/>
          <w:i/>
          <w:iCs/>
        </w:rPr>
        <w:t>Wednesbury</w:t>
      </w:r>
      <w:r w:rsidRPr="006272E8">
        <w:rPr>
          <w:rFonts w:ascii="Calibri" w:hAnsi="Calibri" w:cs="Calibri"/>
        </w:rPr>
        <w:t xml:space="preserve"> unreasonable or not is a binary question</w:t>
      </w:r>
      <w:r w:rsidRPr="006272E8">
        <w:rPr>
          <w:rFonts w:ascii="Calibri" w:hAnsi="Calibri" w:cs="Calibri"/>
        </w:rPr>
        <w:t>:</w:t>
      </w:r>
      <w:r w:rsidRPr="006272E8">
        <w:rPr>
          <w:rFonts w:ascii="Calibri" w:hAnsi="Calibri" w:cs="Calibri"/>
        </w:rPr>
        <w:t xml:space="preserve"> </w:t>
      </w:r>
      <w:r w:rsidRPr="006272E8">
        <w:rPr>
          <w:rFonts w:ascii="Calibri" w:hAnsi="Calibri" w:cs="Calibri"/>
        </w:rPr>
        <w:t>r</w:t>
      </w:r>
      <w:r w:rsidRPr="006272E8">
        <w:rPr>
          <w:rFonts w:ascii="Calibri" w:hAnsi="Calibri" w:cs="Calibri"/>
        </w:rPr>
        <w:t>easonableness is an objective concept in respect of which there is no room for discretion</w:t>
      </w:r>
      <w:r w:rsidRPr="006272E8">
        <w:rPr>
          <w:rFonts w:ascii="Calibri" w:hAnsi="Calibri" w:cs="Calibri"/>
        </w:rPr>
        <w:t>.</w:t>
      </w:r>
      <w:r>
        <w:rPr>
          <w:rStyle w:val="FootnoteReference"/>
          <w:rFonts w:ascii="Calibri" w:hAnsi="Calibri" w:cs="Calibri"/>
        </w:rPr>
        <w:footnoteReference w:id="15"/>
      </w:r>
      <w:r w:rsidRPr="006272E8">
        <w:rPr>
          <w:rFonts w:ascii="Calibri" w:hAnsi="Calibri" w:cs="Calibri"/>
        </w:rPr>
        <w:t xml:space="preserve"> Whether the </w:t>
      </w:r>
      <w:r w:rsidRPr="006272E8">
        <w:rPr>
          <w:rFonts w:ascii="Calibri" w:hAnsi="Calibri" w:cs="Calibri"/>
          <w:u w:val="single"/>
        </w:rPr>
        <w:t>Secretary of State’s decision</w:t>
      </w:r>
      <w:r w:rsidRPr="006272E8">
        <w:rPr>
          <w:rFonts w:ascii="Calibri" w:hAnsi="Calibri" w:cs="Calibri"/>
        </w:rPr>
        <w:t xml:space="preserve"> that detention is reasonable is </w:t>
      </w:r>
      <w:r w:rsidRPr="006272E8">
        <w:rPr>
          <w:rFonts w:ascii="Calibri" w:hAnsi="Calibri" w:cs="Calibri"/>
          <w:u w:val="single"/>
        </w:rPr>
        <w:t>itself</w:t>
      </w:r>
      <w:r w:rsidRPr="006272E8">
        <w:rPr>
          <w:rFonts w:ascii="Calibri" w:hAnsi="Calibri" w:cs="Calibri"/>
        </w:rPr>
        <w:t xml:space="preserve"> reasonable depends</w:t>
      </w:r>
      <w:r w:rsidRPr="006272E8">
        <w:rPr>
          <w:rFonts w:ascii="Calibri" w:hAnsi="Calibri" w:cs="Calibri"/>
        </w:rPr>
        <w:t>,</w:t>
      </w:r>
      <w:r w:rsidRPr="006272E8">
        <w:rPr>
          <w:rFonts w:ascii="Calibri" w:hAnsi="Calibri" w:cs="Calibri"/>
        </w:rPr>
        <w:t xml:space="preserve"> therefore</w:t>
      </w:r>
      <w:r w:rsidRPr="006272E8">
        <w:rPr>
          <w:rFonts w:ascii="Calibri" w:hAnsi="Calibri" w:cs="Calibri"/>
        </w:rPr>
        <w:t>,</w:t>
      </w:r>
      <w:r w:rsidRPr="006272E8">
        <w:rPr>
          <w:rFonts w:ascii="Calibri" w:hAnsi="Calibri" w:cs="Calibri"/>
        </w:rPr>
        <w:t xml:space="preserve"> on the question of whether </w:t>
      </w:r>
      <w:r w:rsidRPr="006272E8">
        <w:rPr>
          <w:rFonts w:ascii="Calibri" w:hAnsi="Calibri" w:cs="Calibri"/>
          <w:u w:val="single"/>
        </w:rPr>
        <w:t>the Court</w:t>
      </w:r>
      <w:r w:rsidRPr="006272E8">
        <w:rPr>
          <w:rFonts w:ascii="Calibri" w:hAnsi="Calibri" w:cs="Calibri"/>
        </w:rPr>
        <w:t xml:space="preserve"> thinks detention is reason</w:t>
      </w:r>
      <w:r w:rsidRPr="006272E8">
        <w:rPr>
          <w:rFonts w:ascii="Calibri" w:hAnsi="Calibri" w:cs="Calibri"/>
        </w:rPr>
        <w:t>ab</w:t>
      </w:r>
      <w:r w:rsidRPr="006272E8">
        <w:rPr>
          <w:rFonts w:ascii="Calibri" w:hAnsi="Calibri" w:cs="Calibri"/>
        </w:rPr>
        <w:t>le</w:t>
      </w:r>
      <w:r w:rsidRPr="006272E8">
        <w:rPr>
          <w:rFonts w:ascii="Calibri" w:hAnsi="Calibri" w:cs="Calibri"/>
        </w:rPr>
        <w:t xml:space="preserve"> in the abstract</w:t>
      </w:r>
      <w:r w:rsidRPr="006272E8">
        <w:rPr>
          <w:rFonts w:ascii="Calibri" w:hAnsi="Calibri" w:cs="Calibri"/>
        </w:rPr>
        <w:t>.</w:t>
      </w:r>
      <w:r w:rsidRPr="006272E8">
        <w:rPr>
          <w:rFonts w:ascii="Calibri" w:hAnsi="Calibri" w:cs="Calibri"/>
        </w:rPr>
        <w:t xml:space="preserve"> The Court must decide that on the facts: it is impossible to conceive of another way of deciding it. </w:t>
      </w:r>
      <w:r w:rsidRPr="006272E8">
        <w:rPr>
          <w:rFonts w:ascii="Calibri" w:hAnsi="Calibri" w:cs="Calibri"/>
        </w:rPr>
        <w:t>It follows that</w:t>
      </w:r>
      <w:r w:rsidRPr="006272E8">
        <w:rPr>
          <w:rFonts w:ascii="Calibri" w:hAnsi="Calibri" w:cs="Calibri"/>
        </w:rPr>
        <w:t xml:space="preserve"> </w:t>
      </w:r>
      <w:r w:rsidRPr="006272E8">
        <w:rPr>
          <w:rFonts w:ascii="Calibri" w:hAnsi="Calibri" w:cs="Calibri"/>
        </w:rPr>
        <w:t xml:space="preserve">in the end Section 12 </w:t>
      </w:r>
      <w:r w:rsidRPr="006272E8">
        <w:rPr>
          <w:rFonts w:ascii="Calibri" w:hAnsi="Calibri" w:cs="Calibri"/>
        </w:rPr>
        <w:t xml:space="preserve">might </w:t>
      </w:r>
      <w:r w:rsidRPr="006272E8">
        <w:rPr>
          <w:rFonts w:ascii="Calibri" w:hAnsi="Calibri" w:cs="Calibri"/>
        </w:rPr>
        <w:t>fail to have any effect because it is circular</w:t>
      </w:r>
      <w:r w:rsidRPr="006272E8">
        <w:rPr>
          <w:rFonts w:ascii="Calibri" w:hAnsi="Calibri" w:cs="Calibri"/>
        </w:rPr>
        <w:t xml:space="preserve">; all it does </w:t>
      </w:r>
      <w:r w:rsidRPr="006272E8">
        <w:rPr>
          <w:rFonts w:ascii="Calibri" w:hAnsi="Calibri" w:cs="Calibri"/>
        </w:rPr>
        <w:t xml:space="preserve">apart from introducing unnecessary confusion </w:t>
      </w:r>
      <w:r w:rsidRPr="006272E8">
        <w:rPr>
          <w:rFonts w:ascii="Calibri" w:hAnsi="Calibri" w:cs="Calibri"/>
        </w:rPr>
        <w:t xml:space="preserve">is get the Court to re-phrase what </w:t>
      </w:r>
      <w:r w:rsidRPr="006272E8">
        <w:rPr>
          <w:rFonts w:ascii="Calibri" w:hAnsi="Calibri" w:cs="Calibri"/>
        </w:rPr>
        <w:t>it was already doing</w:t>
      </w:r>
      <w:r w:rsidRPr="006272E8">
        <w:rPr>
          <w:rFonts w:ascii="Calibri" w:hAnsi="Calibri" w:cs="Calibri"/>
        </w:rPr>
        <w:t>.</w:t>
      </w:r>
      <w:r w:rsidRPr="006272E8">
        <w:rPr>
          <w:rFonts w:ascii="Calibri" w:hAnsi="Calibri" w:cs="Calibri"/>
        </w:rPr>
        <w:t xml:space="preserve"> </w:t>
      </w:r>
    </w:p>
    <w:p w:rsidR="006272E8" w:rsidRPr="006272E8" w:rsidP="00B84FAE">
      <w:pPr>
        <w:spacing w:before="240" w:after="240" w:line="480" w:lineRule="auto"/>
        <w:jc w:val="both"/>
        <w:rPr>
          <w:rFonts w:ascii="Calibri" w:hAnsi="Calibri" w:cs="Calibri"/>
          <w:b/>
          <w:bCs/>
        </w:rPr>
      </w:pPr>
      <w:r w:rsidRPr="006272E8">
        <w:rPr>
          <w:rFonts w:ascii="Calibri" w:hAnsi="Calibri" w:cs="Calibri"/>
          <w:b/>
          <w:bCs/>
        </w:rPr>
        <w:t>Reasons for Repeal</w:t>
      </w:r>
    </w:p>
    <w:p w:rsidR="006272E8" w:rsidRPr="006272E8" w:rsidP="00B84FAE">
      <w:pPr>
        <w:spacing w:before="240" w:after="240" w:line="480" w:lineRule="auto"/>
        <w:jc w:val="both"/>
        <w:rPr>
          <w:rFonts w:ascii="Calibri" w:hAnsi="Calibri" w:cs="Calibri"/>
        </w:rPr>
      </w:pPr>
      <w:r w:rsidRPr="006272E8">
        <w:rPr>
          <w:rFonts w:ascii="Calibri" w:hAnsi="Calibri" w:cs="Calibri"/>
        </w:rPr>
        <w:t>18.</w:t>
      </w:r>
      <w:r w:rsidRPr="006272E8">
        <w:rPr>
          <w:rFonts w:ascii="Calibri" w:hAnsi="Calibri" w:cs="Calibri"/>
        </w:rPr>
        <w:tab/>
        <w:t>MJ and BID strongly support the repeal of Section 12 for the following reasons:</w:t>
      </w:r>
    </w:p>
    <w:p w:rsidR="006272E8" w:rsidRPr="006272E8" w:rsidP="00D1064D">
      <w:pPr>
        <w:pStyle w:val="ListParagraph"/>
        <w:numPr>
          <w:ilvl w:val="0"/>
          <w:numId w:val="3"/>
        </w:numPr>
        <w:spacing w:before="240" w:after="240" w:line="480" w:lineRule="auto"/>
        <w:jc w:val="both"/>
        <w:rPr>
          <w:rFonts w:ascii="Calibri" w:hAnsi="Calibri" w:cs="Calibri"/>
        </w:rPr>
      </w:pPr>
      <w:r w:rsidRPr="006272E8">
        <w:rPr>
          <w:rFonts w:ascii="Calibri" w:hAnsi="Calibri" w:cs="Calibri"/>
        </w:rPr>
        <w:t>A</w:t>
      </w:r>
      <w:r w:rsidRPr="006272E8">
        <w:rPr>
          <w:rFonts w:ascii="Calibri" w:hAnsi="Calibri" w:cs="Calibri"/>
        </w:rPr>
        <w:t>s</w:t>
      </w:r>
      <w:r w:rsidRPr="006272E8">
        <w:rPr>
          <w:rFonts w:ascii="Calibri" w:hAnsi="Calibri" w:cs="Calibri"/>
        </w:rPr>
        <w:t xml:space="preserve"> the Supreme Court held in </w:t>
      </w:r>
      <w:r w:rsidRPr="006272E8">
        <w:rPr>
          <w:rFonts w:ascii="Calibri" w:hAnsi="Calibri" w:cs="Calibri"/>
          <w:i/>
          <w:iCs/>
        </w:rPr>
        <w:t>Lumba</w:t>
      </w:r>
      <w:r w:rsidRPr="006272E8">
        <w:rPr>
          <w:rFonts w:ascii="Calibri" w:hAnsi="Calibri" w:cs="Calibri"/>
          <w:i/>
          <w:iCs/>
        </w:rPr>
        <w:t xml:space="preserve"> </w:t>
      </w:r>
      <w:r w:rsidRPr="006272E8">
        <w:rPr>
          <w:rFonts w:ascii="Calibri" w:hAnsi="Calibri" w:cs="Calibri"/>
        </w:rPr>
        <w:t>at [30]</w:t>
      </w:r>
      <w:r w:rsidRPr="006272E8">
        <w:rPr>
          <w:rFonts w:ascii="Calibri" w:hAnsi="Calibri" w:cs="Calibri"/>
        </w:rPr>
        <w:t xml:space="preserve">, </w:t>
      </w:r>
      <w:r w:rsidRPr="006272E8">
        <w:rPr>
          <w:rFonts w:ascii="Calibri" w:hAnsi="Calibri" w:cs="Calibri"/>
        </w:rPr>
        <w:t>“</w:t>
      </w:r>
      <w:bookmarkStart w:id="0" w:name="para30"/>
      <w:r w:rsidRPr="006272E8">
        <w:rPr>
          <w:rFonts w:ascii="Calibri" w:hAnsi="Calibri" w:cs="Calibri"/>
          <w:i/>
          <w:iCs/>
        </w:rPr>
        <w:t>all that the </w:t>
      </w:r>
      <w:r w:rsidRPr="006272E8">
        <w:rPr>
          <w:rFonts w:ascii="Calibri" w:hAnsi="Calibri" w:cs="Calibri"/>
          <w:i/>
          <w:iCs/>
        </w:rPr>
        <w:t>Hardial Singh </w:t>
      </w:r>
      <w:r w:rsidRPr="006272E8">
        <w:rPr>
          <w:rFonts w:ascii="Calibri" w:hAnsi="Calibri" w:cs="Calibri"/>
          <w:i/>
          <w:iCs/>
        </w:rPr>
        <w:t>principles do is that which article 5(1)(f) does: they require that the power to detain be exercised reasonably and for the prescribed purpose of facilitating deportation</w:t>
      </w:r>
      <w:bookmarkEnd w:id="0"/>
      <w:r w:rsidRPr="006272E8">
        <w:rPr>
          <w:rFonts w:ascii="Calibri" w:hAnsi="Calibri" w:cs="Calibri"/>
        </w:rPr>
        <w:t>”.</w:t>
      </w:r>
      <w:r>
        <w:rPr>
          <w:rStyle w:val="FootnoteReference"/>
          <w:rFonts w:ascii="Calibri" w:hAnsi="Calibri" w:cs="Calibri"/>
        </w:rPr>
        <w:footnoteReference w:id="16"/>
      </w:r>
      <w:r w:rsidRPr="006272E8">
        <w:rPr>
          <w:rFonts w:ascii="Calibri" w:hAnsi="Calibri" w:cs="Calibri"/>
        </w:rPr>
        <w:t xml:space="preserve"> As the Lord Chief Justice, Lord Thomas held in</w:t>
      </w:r>
      <w:r w:rsidRPr="006272E8">
        <w:rPr>
          <w:rFonts w:ascii="Calibri" w:hAnsi="Calibri" w:cs="Calibri"/>
        </w:rPr>
        <w:t xml:space="preserve"> </w:t>
      </w:r>
      <w:r w:rsidRPr="006272E8">
        <w:rPr>
          <w:rFonts w:ascii="Calibri" w:hAnsi="Calibri" w:cs="Calibri"/>
          <w:i/>
          <w:iCs/>
        </w:rPr>
        <w:t>Fardous</w:t>
      </w:r>
      <w:r w:rsidRPr="006272E8">
        <w:rPr>
          <w:rFonts w:ascii="Calibri" w:hAnsi="Calibri" w:cs="Calibri"/>
        </w:rPr>
        <w:t xml:space="preserve">, </w:t>
      </w:r>
      <w:bookmarkStart w:id="1" w:name="para43"/>
      <w:r w:rsidRPr="006272E8">
        <w:rPr>
          <w:rFonts w:ascii="Calibri" w:hAnsi="Calibri" w:cs="Calibri"/>
        </w:rPr>
        <w:t>“</w:t>
      </w:r>
      <w:r w:rsidRPr="006272E8">
        <w:rPr>
          <w:rFonts w:ascii="Calibri" w:hAnsi="Calibri" w:cs="Calibri"/>
          <w:i/>
          <w:iCs/>
        </w:rPr>
        <w:t>[i]t is this objective approach of the court which reviews the evidence available at the time that removes any question that the period of detention can be viewed as arbitrary in terms of Article 5 of the European Convention on Human Rights</w:t>
      </w:r>
      <w:bookmarkEnd w:id="1"/>
      <w:r w:rsidRPr="006272E8">
        <w:rPr>
          <w:rFonts w:ascii="Calibri" w:hAnsi="Calibri" w:cs="Calibri"/>
        </w:rPr>
        <w:t>”.</w:t>
      </w:r>
      <w:r>
        <w:rPr>
          <w:rStyle w:val="FootnoteReference"/>
          <w:rFonts w:ascii="Calibri" w:hAnsi="Calibri" w:cs="Calibri"/>
        </w:rPr>
        <w:footnoteReference w:id="17"/>
      </w:r>
      <w:r w:rsidRPr="006272E8">
        <w:rPr>
          <w:rFonts w:ascii="Calibri" w:hAnsi="Calibri" w:cs="Calibri"/>
        </w:rPr>
        <w:t xml:space="preserve"> </w:t>
      </w:r>
      <w:r w:rsidRPr="006272E8">
        <w:rPr>
          <w:rFonts w:ascii="Calibri" w:hAnsi="Calibri" w:cs="Calibri"/>
        </w:rPr>
        <w:t>If</w:t>
      </w:r>
      <w:r w:rsidRPr="006272E8">
        <w:rPr>
          <w:rFonts w:ascii="Calibri" w:hAnsi="Calibri" w:cs="Calibri"/>
        </w:rPr>
        <w:t xml:space="preserve"> therefore</w:t>
      </w:r>
      <w:r w:rsidRPr="006272E8">
        <w:rPr>
          <w:rFonts w:ascii="Calibri" w:hAnsi="Calibri" w:cs="Calibri"/>
        </w:rPr>
        <w:t xml:space="preserve"> Section 12 </w:t>
      </w:r>
      <w:r w:rsidRPr="006272E8">
        <w:rPr>
          <w:rFonts w:ascii="Calibri" w:hAnsi="Calibri" w:cs="Calibri"/>
          <w:u w:val="single"/>
        </w:rPr>
        <w:t>d</w:t>
      </w:r>
      <w:r w:rsidRPr="006272E8">
        <w:rPr>
          <w:rFonts w:ascii="Calibri" w:hAnsi="Calibri" w:cs="Calibri"/>
          <w:u w:val="single"/>
        </w:rPr>
        <w:t>oes</w:t>
      </w:r>
      <w:r w:rsidRPr="006272E8">
        <w:rPr>
          <w:rFonts w:ascii="Calibri" w:hAnsi="Calibri" w:cs="Calibri"/>
        </w:rPr>
        <w:t xml:space="preserve"> </w:t>
      </w:r>
      <w:r w:rsidRPr="006272E8">
        <w:rPr>
          <w:rFonts w:ascii="Calibri" w:hAnsi="Calibri" w:cs="Calibri"/>
        </w:rPr>
        <w:t xml:space="preserve">limit the jurisdiction of the High Court to protect the liberty of the subject then that would be a significant intrusion on one of the most important rights recognised by the ECHR and the </w:t>
      </w:r>
      <w:r w:rsidRPr="006272E8">
        <w:rPr>
          <w:rFonts w:ascii="Calibri" w:hAnsi="Calibri" w:cs="Calibri"/>
        </w:rPr>
        <w:t xml:space="preserve">common law. </w:t>
      </w:r>
      <w:r w:rsidRPr="006272E8">
        <w:rPr>
          <w:rFonts w:ascii="Calibri" w:hAnsi="Calibri" w:cs="Calibri"/>
        </w:rPr>
        <w:t xml:space="preserve">Parliament should not authorise detention in circumstances where the </w:t>
      </w:r>
      <w:r w:rsidRPr="006272E8">
        <w:rPr>
          <w:rFonts w:ascii="Calibri" w:hAnsi="Calibri" w:cs="Calibri"/>
        </w:rPr>
        <w:t>c</w:t>
      </w:r>
      <w:r w:rsidRPr="006272E8">
        <w:rPr>
          <w:rFonts w:ascii="Calibri" w:hAnsi="Calibri" w:cs="Calibri"/>
        </w:rPr>
        <w:t>ourts consider it to be unreasonable.</w:t>
      </w:r>
    </w:p>
    <w:p w:rsidR="006272E8" w:rsidRPr="006272E8" w:rsidP="00D1064D">
      <w:pPr>
        <w:pStyle w:val="ListParagraph"/>
        <w:numPr>
          <w:ilvl w:val="0"/>
          <w:numId w:val="3"/>
        </w:numPr>
        <w:spacing w:before="240" w:after="240" w:line="480" w:lineRule="auto"/>
        <w:jc w:val="both"/>
        <w:rPr>
          <w:rFonts w:ascii="Calibri" w:hAnsi="Calibri" w:cs="Calibri"/>
        </w:rPr>
      </w:pPr>
      <w:r w:rsidRPr="006272E8">
        <w:rPr>
          <w:rFonts w:ascii="Calibri" w:hAnsi="Calibri" w:cs="Calibri"/>
        </w:rPr>
        <w:t xml:space="preserve">Section 12 generates considerable uncertainty. </w:t>
      </w:r>
      <w:r w:rsidRPr="006272E8">
        <w:rPr>
          <w:rFonts w:ascii="Calibri" w:hAnsi="Calibri" w:cs="Calibri"/>
        </w:rPr>
        <w:t xml:space="preserve">It is now over 18 months since the legislation came into force and </w:t>
      </w:r>
      <w:r w:rsidRPr="006272E8">
        <w:rPr>
          <w:rFonts w:ascii="Calibri" w:hAnsi="Calibri" w:cs="Calibri"/>
        </w:rPr>
        <w:t xml:space="preserve">even the Home Office itself does not </w:t>
      </w:r>
      <w:r w:rsidRPr="006272E8">
        <w:rPr>
          <w:rFonts w:ascii="Calibri" w:hAnsi="Calibri" w:cs="Calibri"/>
        </w:rPr>
        <w:t xml:space="preserve">appear to </w:t>
      </w:r>
      <w:r w:rsidRPr="006272E8">
        <w:rPr>
          <w:rFonts w:ascii="Calibri" w:hAnsi="Calibri" w:cs="Calibri"/>
        </w:rPr>
        <w:t xml:space="preserve">have a clear position on what Section 12 </w:t>
      </w:r>
      <w:r w:rsidRPr="006272E8">
        <w:rPr>
          <w:rFonts w:ascii="Calibri" w:hAnsi="Calibri" w:cs="Calibri"/>
        </w:rPr>
        <w:t xml:space="preserve">actually </w:t>
      </w:r>
      <w:r w:rsidRPr="006272E8">
        <w:rPr>
          <w:rFonts w:ascii="Calibri" w:hAnsi="Calibri" w:cs="Calibri"/>
        </w:rPr>
        <w:t>means</w:t>
      </w:r>
      <w:r w:rsidRPr="006272E8">
        <w:rPr>
          <w:rFonts w:ascii="Calibri" w:hAnsi="Calibri" w:cs="Calibri"/>
        </w:rPr>
        <w:t xml:space="preserve"> and how it should be applied in practice</w:t>
      </w:r>
      <w:r w:rsidRPr="006272E8">
        <w:rPr>
          <w:rFonts w:ascii="Calibri" w:hAnsi="Calibri" w:cs="Calibri"/>
        </w:rPr>
        <w:t xml:space="preserve">. </w:t>
      </w:r>
      <w:r w:rsidRPr="006272E8">
        <w:rPr>
          <w:rFonts w:ascii="Calibri" w:hAnsi="Calibri" w:cs="Calibri"/>
        </w:rPr>
        <w:t xml:space="preserve">Section 12 has introduced </w:t>
      </w:r>
      <w:r w:rsidRPr="006272E8">
        <w:rPr>
          <w:rFonts w:ascii="Calibri" w:hAnsi="Calibri" w:cs="Calibri"/>
        </w:rPr>
        <w:t>uncertainty about the Court’s role in reviewing the legality of detention</w:t>
      </w:r>
      <w:r w:rsidRPr="006272E8">
        <w:rPr>
          <w:rFonts w:ascii="Calibri" w:hAnsi="Calibri" w:cs="Calibri"/>
        </w:rPr>
        <w:t xml:space="preserve">, which had previously been </w:t>
      </w:r>
      <w:r w:rsidRPr="006272E8">
        <w:rPr>
          <w:rFonts w:ascii="Calibri" w:hAnsi="Calibri" w:cs="Calibri"/>
        </w:rPr>
        <w:t>settled.</w:t>
      </w:r>
    </w:p>
    <w:p w:rsidR="006272E8" w:rsidRPr="006272E8" w:rsidP="00D1064D">
      <w:pPr>
        <w:pStyle w:val="ListParagraph"/>
        <w:numPr>
          <w:ilvl w:val="0"/>
          <w:numId w:val="3"/>
        </w:numPr>
        <w:spacing w:before="240" w:after="240" w:line="480" w:lineRule="auto"/>
        <w:jc w:val="both"/>
        <w:rPr>
          <w:rFonts w:ascii="Calibri" w:hAnsi="Calibri" w:cs="Calibri"/>
        </w:rPr>
      </w:pPr>
      <w:r w:rsidRPr="006272E8">
        <w:rPr>
          <w:rFonts w:ascii="Calibri" w:hAnsi="Calibri" w:cs="Calibri"/>
        </w:rPr>
        <w:t>Uncertainty is particularly harmful in the context of immigration detention</w:t>
      </w:r>
      <w:r w:rsidRPr="006272E8">
        <w:rPr>
          <w:rFonts w:ascii="Calibri" w:hAnsi="Calibri" w:cs="Calibri"/>
        </w:rPr>
        <w:t xml:space="preserve"> (see e.g. </w:t>
      </w:r>
      <w:r w:rsidRPr="006272E8">
        <w:rPr>
          <w:rFonts w:ascii="Calibri" w:hAnsi="Calibri" w:cs="Calibri"/>
          <w:i/>
          <w:iCs/>
        </w:rPr>
        <w:t>Lumba</w:t>
      </w:r>
      <w:r w:rsidRPr="006272E8">
        <w:rPr>
          <w:rFonts w:ascii="Calibri" w:hAnsi="Calibri" w:cs="Calibri"/>
        </w:rPr>
        <w:t xml:space="preserve"> at [34])</w:t>
      </w:r>
      <w:r w:rsidRPr="006272E8">
        <w:rPr>
          <w:rFonts w:ascii="Calibri" w:hAnsi="Calibri" w:cs="Calibri"/>
        </w:rPr>
        <w:t>.</w:t>
      </w:r>
      <w:r w:rsidRPr="006272E8">
        <w:rPr>
          <w:rFonts w:ascii="Calibri" w:hAnsi="Calibri" w:cs="Calibri"/>
        </w:rPr>
        <w:t xml:space="preserve"> Detaine</w:t>
      </w:r>
      <w:r w:rsidRPr="006272E8">
        <w:rPr>
          <w:rFonts w:ascii="Calibri" w:hAnsi="Calibri" w:cs="Calibri"/>
        </w:rPr>
        <w:t>d people</w:t>
      </w:r>
      <w:r w:rsidRPr="006272E8">
        <w:rPr>
          <w:rFonts w:ascii="Calibri" w:hAnsi="Calibri" w:cs="Calibri"/>
        </w:rPr>
        <w:t xml:space="preserve"> need to understand the basis on which they are held.</w:t>
      </w:r>
      <w:r w:rsidRPr="006272E8">
        <w:rPr>
          <w:rFonts w:ascii="Calibri" w:hAnsi="Calibri" w:cs="Calibri"/>
        </w:rPr>
        <w:t xml:space="preserve"> </w:t>
      </w:r>
      <w:r w:rsidRPr="006272E8">
        <w:rPr>
          <w:rFonts w:ascii="Calibri" w:hAnsi="Calibri" w:cs="Calibri"/>
        </w:rPr>
        <w:t>Home Offide c</w:t>
      </w:r>
      <w:r w:rsidRPr="006272E8">
        <w:rPr>
          <w:rFonts w:ascii="Calibri" w:hAnsi="Calibri" w:cs="Calibri"/>
        </w:rPr>
        <w:t xml:space="preserve">aseworkers need to know the law that they are applying.  </w:t>
      </w:r>
      <w:r w:rsidRPr="006272E8">
        <w:rPr>
          <w:rFonts w:ascii="Calibri" w:hAnsi="Calibri" w:cs="Calibri"/>
        </w:rPr>
        <w:t>Putting to one side issues around legal aid funding, t</w:t>
      </w:r>
      <w:r w:rsidRPr="006272E8">
        <w:rPr>
          <w:rFonts w:ascii="Calibri" w:hAnsi="Calibri" w:cs="Calibri"/>
        </w:rPr>
        <w:t xml:space="preserve">here are </w:t>
      </w:r>
      <w:r w:rsidRPr="006272E8">
        <w:rPr>
          <w:rFonts w:ascii="Calibri" w:hAnsi="Calibri" w:cs="Calibri"/>
        </w:rPr>
        <w:t xml:space="preserve">not enough </w:t>
      </w:r>
      <w:r w:rsidRPr="006272E8">
        <w:rPr>
          <w:rFonts w:ascii="Calibri" w:hAnsi="Calibri" w:cs="Calibri"/>
        </w:rPr>
        <w:t xml:space="preserve">lawyers with sufficient expertise in both immigration law and public law to represent everyone in immigration detention. </w:t>
      </w:r>
      <w:r w:rsidRPr="006272E8">
        <w:rPr>
          <w:rFonts w:ascii="Calibri" w:hAnsi="Calibri" w:cs="Calibri"/>
        </w:rPr>
        <w:t>Many detaine</w:t>
      </w:r>
      <w:r w:rsidRPr="006272E8">
        <w:rPr>
          <w:rFonts w:ascii="Calibri" w:hAnsi="Calibri" w:cs="Calibri"/>
        </w:rPr>
        <w:t>d people</w:t>
      </w:r>
      <w:r w:rsidRPr="006272E8">
        <w:rPr>
          <w:rFonts w:ascii="Calibri" w:hAnsi="Calibri" w:cs="Calibri"/>
        </w:rPr>
        <w:t xml:space="preserve"> will not have access to accurate advice about the impact of Section 12 and may be inappropriately dissuaded from bringing claims </w:t>
      </w:r>
      <w:r w:rsidRPr="006272E8">
        <w:rPr>
          <w:rFonts w:ascii="Calibri" w:hAnsi="Calibri" w:cs="Calibri"/>
        </w:rPr>
        <w:t>w</w:t>
      </w:r>
      <w:r w:rsidRPr="006272E8">
        <w:rPr>
          <w:rFonts w:ascii="Calibri" w:hAnsi="Calibri" w:cs="Calibri"/>
        </w:rPr>
        <w:t xml:space="preserve">hich challenge the legality of </w:t>
      </w:r>
      <w:r w:rsidRPr="006272E8">
        <w:rPr>
          <w:rFonts w:ascii="Calibri" w:hAnsi="Calibri" w:cs="Calibri"/>
        </w:rPr>
        <w:t xml:space="preserve">their </w:t>
      </w:r>
      <w:r w:rsidRPr="006272E8">
        <w:rPr>
          <w:rFonts w:ascii="Calibri" w:hAnsi="Calibri" w:cs="Calibri"/>
        </w:rPr>
        <w:t>detention.</w:t>
      </w:r>
    </w:p>
    <w:p w:rsidR="006272E8" w:rsidRPr="006272E8" w:rsidP="00D1064D">
      <w:pPr>
        <w:pStyle w:val="ListParagraph"/>
        <w:numPr>
          <w:ilvl w:val="0"/>
          <w:numId w:val="3"/>
        </w:numPr>
        <w:spacing w:before="240" w:after="240" w:line="480" w:lineRule="auto"/>
        <w:jc w:val="both"/>
        <w:rPr>
          <w:rFonts w:ascii="Calibri" w:hAnsi="Calibri" w:cs="Calibri"/>
        </w:rPr>
      </w:pPr>
      <w:r w:rsidRPr="006272E8">
        <w:rPr>
          <w:rFonts w:ascii="Calibri" w:hAnsi="Calibri" w:cs="Calibri"/>
        </w:rPr>
        <w:t xml:space="preserve">As a matter of principle, Parliament should not </w:t>
      </w:r>
      <w:r w:rsidRPr="006272E8">
        <w:rPr>
          <w:rFonts w:ascii="Calibri" w:hAnsi="Calibri" w:cs="Calibri"/>
        </w:rPr>
        <w:t xml:space="preserve">seek to </w:t>
      </w:r>
      <w:r w:rsidRPr="006272E8">
        <w:rPr>
          <w:rFonts w:ascii="Calibri" w:hAnsi="Calibri" w:cs="Calibri"/>
        </w:rPr>
        <w:t xml:space="preserve">reverse judgments </w:t>
      </w:r>
      <w:r w:rsidRPr="006272E8">
        <w:rPr>
          <w:rFonts w:ascii="Calibri" w:hAnsi="Calibri" w:cs="Calibri"/>
        </w:rPr>
        <w:t>in which</w:t>
      </w:r>
      <w:r w:rsidRPr="006272E8">
        <w:rPr>
          <w:rFonts w:ascii="Calibri" w:hAnsi="Calibri" w:cs="Calibri"/>
        </w:rPr>
        <w:t xml:space="preserve"> the Courts </w:t>
      </w:r>
      <w:r w:rsidRPr="006272E8">
        <w:rPr>
          <w:rFonts w:ascii="Calibri" w:hAnsi="Calibri" w:cs="Calibri"/>
        </w:rPr>
        <w:t>determine</w:t>
      </w:r>
      <w:r w:rsidRPr="006272E8">
        <w:rPr>
          <w:rFonts w:ascii="Calibri" w:hAnsi="Calibri" w:cs="Calibri"/>
        </w:rPr>
        <w:t xml:space="preserve"> </w:t>
      </w:r>
      <w:r w:rsidRPr="006272E8">
        <w:rPr>
          <w:rFonts w:ascii="Calibri" w:hAnsi="Calibri" w:cs="Calibri"/>
        </w:rPr>
        <w:t xml:space="preserve">their own jurisdiction. Doing so offends against the UK constitution whereby Parliament makes the </w:t>
      </w:r>
      <w:r w:rsidRPr="006272E8">
        <w:rPr>
          <w:rFonts w:ascii="Calibri" w:hAnsi="Calibri" w:cs="Calibri"/>
        </w:rPr>
        <w:t>law</w:t>
      </w:r>
      <w:r w:rsidRPr="006272E8">
        <w:rPr>
          <w:rFonts w:ascii="Calibri" w:hAnsi="Calibri" w:cs="Calibri"/>
        </w:rPr>
        <w:t xml:space="preserve"> and the Courts interpret the law. The </w:t>
      </w:r>
      <w:r w:rsidRPr="006272E8">
        <w:rPr>
          <w:rFonts w:ascii="Calibri" w:hAnsi="Calibri" w:cs="Calibri"/>
          <w:i/>
          <w:iCs/>
        </w:rPr>
        <w:t>Hardial Singh</w:t>
      </w:r>
      <w:r w:rsidRPr="006272E8">
        <w:rPr>
          <w:rFonts w:ascii="Calibri" w:hAnsi="Calibri" w:cs="Calibri"/>
        </w:rPr>
        <w:t xml:space="preserve"> principles are a straightforward by</w:t>
      </w:r>
      <w:r w:rsidRPr="006272E8">
        <w:rPr>
          <w:rFonts w:ascii="Calibri" w:hAnsi="Calibri" w:cs="Calibri"/>
        </w:rPr>
        <w:t>-</w:t>
      </w:r>
      <w:r w:rsidRPr="006272E8">
        <w:rPr>
          <w:rFonts w:ascii="Calibri" w:hAnsi="Calibri" w:cs="Calibri"/>
        </w:rPr>
        <w:t>product of that process</w:t>
      </w:r>
      <w:r w:rsidRPr="006272E8">
        <w:rPr>
          <w:rFonts w:ascii="Calibri" w:hAnsi="Calibri" w:cs="Calibri"/>
        </w:rPr>
        <w:t xml:space="preserve">; Parliament legislated to create immigration detention </w:t>
      </w:r>
      <w:r w:rsidRPr="006272E8">
        <w:rPr>
          <w:rFonts w:ascii="Calibri" w:hAnsi="Calibri" w:cs="Calibri"/>
        </w:rPr>
        <w:t>powers</w:t>
      </w:r>
      <w:r w:rsidRPr="006272E8">
        <w:rPr>
          <w:rFonts w:ascii="Calibri" w:hAnsi="Calibri" w:cs="Calibri"/>
        </w:rPr>
        <w:t xml:space="preserve"> and the Courts have interpreted the exten</w:t>
      </w:r>
      <w:r w:rsidRPr="006272E8">
        <w:rPr>
          <w:rFonts w:ascii="Calibri" w:hAnsi="Calibri" w:cs="Calibri"/>
        </w:rPr>
        <w:t>t</w:t>
      </w:r>
      <w:r w:rsidRPr="006272E8">
        <w:rPr>
          <w:rFonts w:ascii="Calibri" w:hAnsi="Calibri" w:cs="Calibri"/>
        </w:rPr>
        <w:t xml:space="preserve"> of those powers. Any changes to the scope of those powers should be made explicitly rather than </w:t>
      </w:r>
      <w:r w:rsidRPr="006272E8">
        <w:rPr>
          <w:rFonts w:ascii="Calibri" w:hAnsi="Calibri" w:cs="Calibri"/>
        </w:rPr>
        <w:t xml:space="preserve">by </w:t>
      </w:r>
      <w:r w:rsidRPr="006272E8">
        <w:rPr>
          <w:rFonts w:ascii="Calibri" w:hAnsi="Calibri" w:cs="Calibri"/>
        </w:rPr>
        <w:t>seeking to interfere with the Court’s jurisdiction</w:t>
      </w:r>
      <w:r w:rsidRPr="006272E8">
        <w:rPr>
          <w:rFonts w:ascii="Calibri" w:hAnsi="Calibri" w:cs="Calibri"/>
        </w:rPr>
        <w:t xml:space="preserve"> (particularly in so incoherent a manner)</w:t>
      </w:r>
      <w:r w:rsidRPr="006272E8">
        <w:rPr>
          <w:rFonts w:ascii="Calibri" w:hAnsi="Calibri" w:cs="Calibri"/>
        </w:rPr>
        <w:t>.</w:t>
      </w:r>
    </w:p>
    <w:p w:rsidR="006272E8" w:rsidRPr="006272E8" w:rsidP="002F0271">
      <w:pPr>
        <w:spacing w:before="240" w:after="240" w:line="480" w:lineRule="auto"/>
        <w:jc w:val="both"/>
        <w:rPr>
          <w:rFonts w:ascii="Calibri" w:hAnsi="Calibri" w:cs="Calibri"/>
        </w:rPr>
      </w:pPr>
      <w:r w:rsidRPr="006272E8">
        <w:rPr>
          <w:rFonts w:ascii="Calibri" w:hAnsi="Calibri" w:cs="Calibri"/>
          <w:b/>
          <w:bCs/>
        </w:rPr>
        <w:t>The Home Office Should Focus on How It Uses Existing Powers</w:t>
      </w:r>
    </w:p>
    <w:p w:rsidR="006272E8" w:rsidRPr="006272E8" w:rsidP="002F0271">
      <w:pPr>
        <w:spacing w:before="240" w:after="240" w:line="480" w:lineRule="auto"/>
        <w:jc w:val="both"/>
        <w:rPr>
          <w:rFonts w:ascii="Calibri" w:hAnsi="Calibri" w:cs="Calibri"/>
        </w:rPr>
      </w:pPr>
      <w:r w:rsidRPr="006272E8">
        <w:rPr>
          <w:rFonts w:ascii="Calibri" w:hAnsi="Calibri" w:cs="Calibri"/>
        </w:rPr>
        <w:t>19.</w:t>
      </w:r>
      <w:r w:rsidRPr="006272E8">
        <w:rPr>
          <w:rFonts w:ascii="Calibri" w:hAnsi="Calibri" w:cs="Calibri"/>
        </w:rPr>
        <w:tab/>
      </w:r>
      <w:r w:rsidRPr="006272E8">
        <w:rPr>
          <w:rFonts w:ascii="Calibri" w:hAnsi="Calibri" w:cs="Calibri"/>
        </w:rPr>
        <w:t xml:space="preserve">Even prior to Section 12, the Home Office had extremely broad detention powers. </w:t>
      </w:r>
      <w:r w:rsidRPr="006272E8">
        <w:rPr>
          <w:rFonts w:ascii="Calibri" w:hAnsi="Calibri" w:cs="Calibri"/>
        </w:rPr>
        <w:t>While the Courts protect the liberty of the subject</w:t>
      </w:r>
      <w:r w:rsidRPr="006272E8">
        <w:rPr>
          <w:rFonts w:ascii="Calibri" w:hAnsi="Calibri" w:cs="Calibri"/>
        </w:rPr>
        <w:t xml:space="preserve"> using the </w:t>
      </w:r>
      <w:r w:rsidRPr="006272E8">
        <w:rPr>
          <w:rFonts w:ascii="Calibri" w:hAnsi="Calibri" w:cs="Calibri"/>
          <w:i/>
          <w:iCs/>
        </w:rPr>
        <w:t>Hardial Singh</w:t>
      </w:r>
      <w:r w:rsidRPr="006272E8">
        <w:rPr>
          <w:rFonts w:ascii="Calibri" w:hAnsi="Calibri" w:cs="Calibri"/>
        </w:rPr>
        <w:t xml:space="preserve"> principles, </w:t>
      </w:r>
      <w:r w:rsidRPr="006272E8">
        <w:rPr>
          <w:rFonts w:ascii="Calibri" w:hAnsi="Calibri" w:cs="Calibri"/>
        </w:rPr>
        <w:t xml:space="preserve">they </w:t>
      </w:r>
      <w:r w:rsidRPr="006272E8">
        <w:rPr>
          <w:rFonts w:ascii="Calibri" w:hAnsi="Calibri" w:cs="Calibri"/>
        </w:rPr>
        <w:t xml:space="preserve">do so with careful consideration of the difficulties faced by the department. For example, even after the </w:t>
      </w:r>
      <w:r w:rsidRPr="006272E8">
        <w:rPr>
          <w:rFonts w:ascii="Calibri" w:hAnsi="Calibri" w:cs="Calibri"/>
        </w:rPr>
        <w:t xml:space="preserve">Courts have determined that detention is in breach of the </w:t>
      </w:r>
      <w:r w:rsidRPr="006272E8">
        <w:rPr>
          <w:rFonts w:ascii="Calibri" w:hAnsi="Calibri" w:cs="Calibri"/>
          <w:i/>
          <w:iCs/>
        </w:rPr>
        <w:t>Hardial Singh</w:t>
      </w:r>
      <w:r w:rsidRPr="006272E8">
        <w:rPr>
          <w:rFonts w:ascii="Calibri" w:hAnsi="Calibri" w:cs="Calibri"/>
        </w:rPr>
        <w:t xml:space="preserve"> principles, the Courts permit a further period of lawful detention while the Home Office takes the necessary steps to allow a detaine</w:t>
      </w:r>
      <w:r w:rsidRPr="006272E8">
        <w:rPr>
          <w:rFonts w:ascii="Calibri" w:hAnsi="Calibri" w:cs="Calibri"/>
        </w:rPr>
        <w:t>d person</w:t>
      </w:r>
      <w:r w:rsidRPr="006272E8">
        <w:rPr>
          <w:rFonts w:ascii="Calibri" w:hAnsi="Calibri" w:cs="Calibri"/>
        </w:rPr>
        <w:t xml:space="preserve"> to be released.</w:t>
      </w:r>
      <w:r>
        <w:rPr>
          <w:rStyle w:val="FootnoteReference"/>
          <w:rFonts w:ascii="Calibri" w:hAnsi="Calibri" w:cs="Calibri"/>
        </w:rPr>
        <w:footnoteReference w:id="18"/>
      </w:r>
      <w:r w:rsidRPr="006272E8">
        <w:rPr>
          <w:rFonts w:ascii="Calibri" w:hAnsi="Calibri" w:cs="Calibri"/>
        </w:rPr>
        <w:t xml:space="preserve"> </w:t>
      </w:r>
    </w:p>
    <w:p w:rsidR="006272E8" w:rsidRPr="006272E8" w:rsidP="002F0271">
      <w:pPr>
        <w:spacing w:before="240" w:after="240" w:line="480" w:lineRule="auto"/>
        <w:jc w:val="both"/>
        <w:rPr>
          <w:rFonts w:ascii="Calibri" w:hAnsi="Calibri" w:cs="Calibri"/>
        </w:rPr>
      </w:pPr>
      <w:r w:rsidRPr="006272E8">
        <w:rPr>
          <w:rFonts w:ascii="Calibri" w:hAnsi="Calibri" w:cs="Calibri"/>
        </w:rPr>
        <w:t>20.</w:t>
      </w:r>
      <w:r w:rsidRPr="006272E8">
        <w:rPr>
          <w:rFonts w:ascii="Calibri" w:hAnsi="Calibri" w:cs="Calibri"/>
        </w:rPr>
        <w:tab/>
      </w:r>
      <w:r w:rsidRPr="006272E8">
        <w:rPr>
          <w:rFonts w:ascii="Calibri" w:hAnsi="Calibri" w:cs="Calibri"/>
        </w:rPr>
        <w:t xml:space="preserve">MJ and BID are concerned that the development of </w:t>
      </w:r>
      <w:r w:rsidRPr="006272E8">
        <w:rPr>
          <w:rFonts w:ascii="Calibri" w:hAnsi="Calibri" w:cs="Calibri"/>
        </w:rPr>
        <w:t xml:space="preserve">this ‘grace period’ of further detention is itself in breach of Article 5 ECHR and have intervened in a case before the European Court of Human Rights </w:t>
      </w:r>
      <w:r w:rsidRPr="006272E8">
        <w:rPr>
          <w:rFonts w:ascii="Calibri" w:hAnsi="Calibri" w:cs="Calibri"/>
        </w:rPr>
        <w:t xml:space="preserve">(ECtHR) </w:t>
      </w:r>
      <w:r w:rsidRPr="006272E8">
        <w:rPr>
          <w:rFonts w:ascii="Calibri" w:hAnsi="Calibri" w:cs="Calibri"/>
        </w:rPr>
        <w:t xml:space="preserve">to </w:t>
      </w:r>
      <w:r w:rsidRPr="006272E8">
        <w:rPr>
          <w:rFonts w:ascii="Calibri" w:hAnsi="Calibri" w:cs="Calibri"/>
        </w:rPr>
        <w:t>make submissions</w:t>
      </w:r>
      <w:r w:rsidRPr="006272E8">
        <w:rPr>
          <w:rFonts w:ascii="Calibri" w:hAnsi="Calibri" w:cs="Calibri"/>
        </w:rPr>
        <w:t xml:space="preserve"> on that issue</w:t>
      </w:r>
      <w:r w:rsidRPr="006272E8">
        <w:rPr>
          <w:rFonts w:ascii="Calibri" w:hAnsi="Calibri" w:cs="Calibri"/>
        </w:rPr>
        <w:t>.</w:t>
      </w:r>
      <w:r>
        <w:rPr>
          <w:rStyle w:val="FootnoteReference"/>
          <w:rFonts w:ascii="Calibri" w:hAnsi="Calibri" w:cs="Calibri"/>
        </w:rPr>
        <w:footnoteReference w:id="19"/>
      </w:r>
      <w:r w:rsidRPr="006272E8">
        <w:rPr>
          <w:rFonts w:ascii="Calibri" w:hAnsi="Calibri" w:cs="Calibri"/>
        </w:rPr>
        <w:t xml:space="preserve"> </w:t>
      </w:r>
      <w:r w:rsidRPr="006272E8">
        <w:rPr>
          <w:rFonts w:ascii="Calibri" w:hAnsi="Calibri" w:cs="Calibri"/>
        </w:rPr>
        <w:t>Section 12, if it has any effect as explained above, expands these powers in a manner that would be a further breach of Article 5 ECHR.</w:t>
      </w:r>
    </w:p>
    <w:p w:rsidR="006272E8" w:rsidRPr="006272E8" w:rsidP="002F0271">
      <w:pPr>
        <w:spacing w:before="240" w:after="240" w:line="480" w:lineRule="auto"/>
        <w:jc w:val="both"/>
        <w:rPr>
          <w:rFonts w:ascii="Calibri" w:hAnsi="Calibri" w:cs="Calibri"/>
        </w:rPr>
      </w:pPr>
      <w:r w:rsidRPr="006272E8">
        <w:rPr>
          <w:rFonts w:ascii="Calibri" w:hAnsi="Calibri" w:cs="Calibri"/>
        </w:rPr>
        <w:t>21.</w:t>
      </w:r>
      <w:r w:rsidRPr="006272E8">
        <w:rPr>
          <w:rFonts w:ascii="Calibri" w:hAnsi="Calibri" w:cs="Calibri"/>
        </w:rPr>
        <w:tab/>
        <w:t>It is important to note that there is consistent evidence that</w:t>
      </w:r>
      <w:r w:rsidRPr="006272E8">
        <w:rPr>
          <w:rFonts w:ascii="Calibri" w:hAnsi="Calibri" w:cs="Calibri"/>
        </w:rPr>
        <w:t xml:space="preserve"> immigration detention can cause serious, and in some cases irrevocable, </w:t>
      </w:r>
      <w:r w:rsidRPr="006272E8">
        <w:rPr>
          <w:rFonts w:ascii="Calibri" w:hAnsi="Calibri" w:cs="Calibri"/>
        </w:rPr>
        <w:t>damage</w:t>
      </w:r>
      <w:r w:rsidRPr="006272E8">
        <w:rPr>
          <w:rFonts w:ascii="Calibri" w:hAnsi="Calibri" w:cs="Calibri"/>
        </w:rPr>
        <w:t xml:space="preserve"> to often vulnerable people</w:t>
      </w:r>
      <w:r w:rsidRPr="006272E8">
        <w:rPr>
          <w:rFonts w:ascii="Calibri" w:hAnsi="Calibri" w:cs="Calibri"/>
        </w:rPr>
        <w:t>,</w:t>
      </w:r>
      <w:r>
        <w:rPr>
          <w:rStyle w:val="FootnoteReference"/>
          <w:rFonts w:ascii="Calibri" w:hAnsi="Calibri" w:cs="Calibri"/>
        </w:rPr>
        <w:footnoteReference w:id="20"/>
      </w:r>
      <w:r w:rsidRPr="006272E8">
        <w:rPr>
          <w:rFonts w:ascii="Calibri" w:hAnsi="Calibri" w:cs="Calibri"/>
        </w:rPr>
        <w:t xml:space="preserve"> </w:t>
      </w:r>
      <w:r w:rsidRPr="006272E8">
        <w:rPr>
          <w:rFonts w:ascii="Calibri" w:hAnsi="Calibri" w:cs="Calibri"/>
        </w:rPr>
        <w:t>and  that</w:t>
      </w:r>
      <w:r w:rsidRPr="006272E8">
        <w:rPr>
          <w:rFonts w:ascii="Calibri" w:hAnsi="Calibri" w:cs="Calibri"/>
        </w:rPr>
        <w:t xml:space="preserve"> this negative effect</w:t>
      </w:r>
      <w:r w:rsidRPr="006272E8">
        <w:rPr>
          <w:rFonts w:ascii="Calibri" w:hAnsi="Calibri" w:cs="Calibri"/>
        </w:rPr>
        <w:t xml:space="preserve"> </w:t>
      </w:r>
      <w:r w:rsidRPr="006272E8">
        <w:rPr>
          <w:rFonts w:ascii="Calibri" w:hAnsi="Calibri" w:cs="Calibri"/>
        </w:rPr>
        <w:t>has been shown to be</w:t>
      </w:r>
      <w:r w:rsidRPr="006272E8">
        <w:rPr>
          <w:rFonts w:ascii="Calibri" w:hAnsi="Calibri" w:cs="Calibri"/>
        </w:rPr>
        <w:t xml:space="preserve"> proportionate to the time spent in detention</w:t>
      </w:r>
      <w:r w:rsidRPr="006272E8">
        <w:rPr>
          <w:rFonts w:ascii="Calibri" w:hAnsi="Calibri" w:cs="Calibri"/>
        </w:rPr>
        <w:t>.</w:t>
      </w:r>
      <w:r>
        <w:rPr>
          <w:rStyle w:val="FootnoteReference"/>
          <w:rFonts w:ascii="Calibri" w:hAnsi="Calibri" w:cs="Calibri"/>
        </w:rPr>
        <w:footnoteReference w:id="21"/>
      </w:r>
      <w:r w:rsidRPr="006272E8">
        <w:rPr>
          <w:rFonts w:ascii="Calibri" w:hAnsi="Calibri" w:cs="Calibri"/>
        </w:rPr>
        <w:t xml:space="preserve"> </w:t>
      </w:r>
    </w:p>
    <w:p w:rsidR="006272E8" w:rsidRPr="006272E8">
      <w:pPr>
        <w:spacing w:before="240" w:after="240" w:line="480" w:lineRule="auto"/>
        <w:jc w:val="both"/>
        <w:rPr>
          <w:rFonts w:ascii="Calibri" w:hAnsi="Calibri" w:cs="Calibri"/>
        </w:rPr>
      </w:pPr>
      <w:r w:rsidRPr="006272E8">
        <w:rPr>
          <w:rFonts w:ascii="Calibri" w:hAnsi="Calibri" w:cs="Calibri"/>
        </w:rPr>
        <w:t>2</w:t>
      </w:r>
      <w:r w:rsidRPr="006272E8">
        <w:rPr>
          <w:rFonts w:ascii="Calibri" w:hAnsi="Calibri" w:cs="Calibri"/>
        </w:rPr>
        <w:t>2</w:t>
      </w:r>
      <w:r w:rsidRPr="006272E8">
        <w:rPr>
          <w:rFonts w:ascii="Calibri" w:hAnsi="Calibri" w:cs="Calibri"/>
        </w:rPr>
        <w:t>.</w:t>
      </w:r>
      <w:r w:rsidRPr="006272E8">
        <w:rPr>
          <w:rFonts w:ascii="Calibri" w:hAnsi="Calibri" w:cs="Calibri"/>
        </w:rPr>
        <w:tab/>
      </w:r>
      <w:r w:rsidRPr="006272E8">
        <w:rPr>
          <w:rFonts w:ascii="Calibri" w:hAnsi="Calibri" w:cs="Calibri"/>
        </w:rPr>
        <w:t xml:space="preserve">There can be no question that, even before Section 12, the Home Office had sufficient powers to detain and remove people from the UK. </w:t>
      </w:r>
      <w:r w:rsidRPr="006272E8">
        <w:rPr>
          <w:rFonts w:ascii="Calibri" w:hAnsi="Calibri" w:cs="Calibri"/>
        </w:rPr>
        <w:t xml:space="preserve">MJ and BID believe that the real problem </w:t>
      </w:r>
      <w:r w:rsidRPr="006272E8">
        <w:rPr>
          <w:rFonts w:ascii="Calibri" w:hAnsi="Calibri" w:cs="Calibri"/>
        </w:rPr>
        <w:t>is how the Home Office</w:t>
      </w:r>
      <w:r w:rsidRPr="006272E8">
        <w:rPr>
          <w:rFonts w:ascii="Calibri" w:hAnsi="Calibri" w:cs="Calibri"/>
        </w:rPr>
        <w:t xml:space="preserve"> uses </w:t>
      </w:r>
      <w:r w:rsidRPr="006272E8">
        <w:rPr>
          <w:rFonts w:ascii="Calibri" w:hAnsi="Calibri" w:cs="Calibri"/>
        </w:rPr>
        <w:t xml:space="preserve">its current powers to breach Convention </w:t>
      </w:r>
      <w:r w:rsidRPr="006272E8">
        <w:rPr>
          <w:rFonts w:ascii="Calibri" w:hAnsi="Calibri" w:cs="Calibri"/>
        </w:rPr>
        <w:t xml:space="preserve">and common law </w:t>
      </w:r>
      <w:r w:rsidRPr="006272E8">
        <w:rPr>
          <w:rFonts w:ascii="Calibri" w:hAnsi="Calibri" w:cs="Calibri"/>
        </w:rPr>
        <w:t>rights. The Brook House Inquiry</w:t>
      </w:r>
      <w:r w:rsidRPr="006272E8">
        <w:rPr>
          <w:rFonts w:ascii="Calibri" w:hAnsi="Calibri" w:cs="Calibri"/>
        </w:rPr>
        <w:t xml:space="preserve">, which published its final report on </w:t>
      </w:r>
      <w:r w:rsidRPr="006272E8">
        <w:rPr>
          <w:rFonts w:ascii="Calibri" w:hAnsi="Calibri" w:cs="Calibri"/>
        </w:rPr>
        <w:t xml:space="preserve">19 </w:t>
      </w:r>
      <w:r w:rsidRPr="006272E8">
        <w:rPr>
          <w:rFonts w:ascii="Calibri" w:hAnsi="Calibri" w:cs="Calibri"/>
        </w:rPr>
        <w:t>September</w:t>
      </w:r>
      <w:r w:rsidRPr="006272E8">
        <w:rPr>
          <w:rFonts w:ascii="Calibri" w:hAnsi="Calibri" w:cs="Calibri"/>
        </w:rPr>
        <w:t xml:space="preserve"> 2023</w:t>
      </w:r>
      <w:r w:rsidRPr="006272E8">
        <w:rPr>
          <w:rFonts w:ascii="Calibri" w:hAnsi="Calibri" w:cs="Calibri"/>
        </w:rPr>
        <w:t xml:space="preserve">, identified 19 instances </w:t>
      </w:r>
      <w:r w:rsidRPr="006272E8">
        <w:rPr>
          <w:rFonts w:ascii="Calibri" w:hAnsi="Calibri" w:cs="Calibri"/>
        </w:rPr>
        <w:t>where there was credible evidence that a detaine</w:t>
      </w:r>
      <w:r w:rsidRPr="006272E8">
        <w:rPr>
          <w:rFonts w:ascii="Calibri" w:hAnsi="Calibri" w:cs="Calibri"/>
        </w:rPr>
        <w:t>d person</w:t>
      </w:r>
      <w:r w:rsidRPr="006272E8">
        <w:rPr>
          <w:rFonts w:ascii="Calibri" w:hAnsi="Calibri" w:cs="Calibri"/>
        </w:rPr>
        <w:t xml:space="preserve"> was subject to inhuman and degrading treatment, alongside a litany of systemic failings. </w:t>
      </w:r>
      <w:r w:rsidRPr="006272E8">
        <w:rPr>
          <w:rFonts w:ascii="Calibri" w:hAnsi="Calibri" w:cs="Calibri"/>
        </w:rPr>
        <w:t xml:space="preserve">The </w:t>
      </w:r>
      <w:r w:rsidRPr="006272E8">
        <w:rPr>
          <w:rFonts w:ascii="Calibri" w:hAnsi="Calibri" w:cs="Calibri"/>
        </w:rPr>
        <w:t>previous government’s</w:t>
      </w:r>
      <w:r w:rsidRPr="006272E8">
        <w:rPr>
          <w:rFonts w:ascii="Calibri" w:hAnsi="Calibri" w:cs="Calibri"/>
        </w:rPr>
        <w:t xml:space="preserve"> response to </w:t>
      </w:r>
      <w:r w:rsidRPr="006272E8">
        <w:rPr>
          <w:rFonts w:ascii="Calibri" w:hAnsi="Calibri" w:cs="Calibri"/>
        </w:rPr>
        <w:t xml:space="preserve">the </w:t>
      </w:r>
      <w:r w:rsidRPr="006272E8">
        <w:rPr>
          <w:rFonts w:ascii="Calibri" w:hAnsi="Calibri" w:cs="Calibri"/>
        </w:rPr>
        <w:t>Inquiry</w:t>
      </w:r>
      <w:r w:rsidRPr="006272E8">
        <w:rPr>
          <w:rFonts w:ascii="Calibri" w:hAnsi="Calibri" w:cs="Calibri"/>
        </w:rPr>
        <w:t xml:space="preserve"> report</w:t>
      </w:r>
      <w:r w:rsidRPr="006272E8">
        <w:rPr>
          <w:rFonts w:ascii="Calibri" w:hAnsi="Calibri" w:cs="Calibri"/>
        </w:rPr>
        <w:t>, published in March 2024,</w:t>
      </w:r>
      <w:r w:rsidRPr="006272E8">
        <w:rPr>
          <w:rFonts w:ascii="Calibri" w:hAnsi="Calibri" w:cs="Calibri"/>
        </w:rPr>
        <w:t xml:space="preserve"> </w:t>
      </w:r>
      <w:r w:rsidRPr="006272E8">
        <w:rPr>
          <w:rFonts w:ascii="Calibri" w:hAnsi="Calibri" w:cs="Calibri"/>
        </w:rPr>
        <w:t>was</w:t>
      </w:r>
      <w:r w:rsidRPr="006272E8">
        <w:rPr>
          <w:rFonts w:ascii="Calibri" w:hAnsi="Calibri" w:cs="Calibri"/>
        </w:rPr>
        <w:t xml:space="preserve"> notably</w:t>
      </w:r>
      <w:r w:rsidRPr="006272E8">
        <w:rPr>
          <w:rFonts w:ascii="Calibri" w:hAnsi="Calibri" w:cs="Calibri"/>
        </w:rPr>
        <w:t xml:space="preserve"> </w:t>
      </w:r>
      <w:r w:rsidRPr="006272E8">
        <w:rPr>
          <w:rFonts w:ascii="Calibri" w:hAnsi="Calibri" w:cs="Calibri"/>
        </w:rPr>
        <w:t>poor</w:t>
      </w:r>
      <w:r>
        <w:rPr>
          <w:rStyle w:val="FootnoteReference"/>
          <w:rFonts w:ascii="Calibri" w:hAnsi="Calibri" w:cs="Calibri"/>
        </w:rPr>
        <w:footnoteReference w:id="22"/>
      </w:r>
      <w:r w:rsidRPr="006272E8">
        <w:rPr>
          <w:rFonts w:ascii="Calibri" w:hAnsi="Calibri" w:cs="Calibri"/>
        </w:rPr>
        <w:t>.</w:t>
      </w:r>
      <w:r w:rsidRPr="006272E8">
        <w:rPr>
          <w:rFonts w:ascii="Calibri" w:hAnsi="Calibri" w:cs="Calibri"/>
        </w:rPr>
        <w:t xml:space="preserve"> </w:t>
      </w:r>
      <w:r w:rsidRPr="006272E8">
        <w:rPr>
          <w:rFonts w:ascii="Calibri" w:hAnsi="Calibri" w:cs="Calibri"/>
        </w:rPr>
        <w:t>W</w:t>
      </w:r>
      <w:r w:rsidRPr="006272E8">
        <w:rPr>
          <w:rFonts w:ascii="Calibri" w:hAnsi="Calibri" w:cs="Calibri"/>
        </w:rPr>
        <w:t>hilst the current government has</w:t>
      </w:r>
      <w:r w:rsidRPr="006272E8">
        <w:rPr>
          <w:rFonts w:ascii="Calibri" w:hAnsi="Calibri" w:cs="Calibri"/>
        </w:rPr>
        <w:t xml:space="preserve"> accepted </w:t>
      </w:r>
      <w:r w:rsidRPr="006272E8">
        <w:rPr>
          <w:rFonts w:ascii="Calibri" w:hAnsi="Calibri" w:cs="Calibri"/>
        </w:rPr>
        <w:t>most of the Inquiry’s recommendations</w:t>
      </w:r>
      <w:r w:rsidRPr="006272E8">
        <w:rPr>
          <w:rFonts w:ascii="Calibri" w:hAnsi="Calibri" w:cs="Calibri"/>
        </w:rPr>
        <w:t>,</w:t>
      </w:r>
      <w:r>
        <w:rPr>
          <w:rStyle w:val="FootnoteReference"/>
          <w:rFonts w:ascii="Calibri" w:hAnsi="Calibri" w:cs="Calibri"/>
        </w:rPr>
        <w:footnoteReference w:id="23"/>
      </w:r>
      <w:r w:rsidRPr="006272E8">
        <w:rPr>
          <w:rFonts w:ascii="Calibri" w:hAnsi="Calibri" w:cs="Calibri"/>
        </w:rPr>
        <w:t xml:space="preserve"> </w:t>
      </w:r>
      <w:r w:rsidRPr="006272E8">
        <w:rPr>
          <w:rFonts w:ascii="Calibri" w:hAnsi="Calibri" w:cs="Calibri"/>
        </w:rPr>
        <w:t>there is little</w:t>
      </w:r>
      <w:r w:rsidRPr="006272E8">
        <w:rPr>
          <w:rFonts w:ascii="Calibri" w:hAnsi="Calibri" w:cs="Calibri"/>
        </w:rPr>
        <w:t xml:space="preserve"> </w:t>
      </w:r>
      <w:r w:rsidRPr="006272E8">
        <w:rPr>
          <w:rFonts w:ascii="Calibri" w:hAnsi="Calibri" w:cs="Calibri"/>
        </w:rPr>
        <w:t>evidence</w:t>
      </w:r>
      <w:r w:rsidRPr="006272E8">
        <w:rPr>
          <w:rFonts w:ascii="Calibri" w:hAnsi="Calibri" w:cs="Calibri"/>
        </w:rPr>
        <w:t xml:space="preserve"> available</w:t>
      </w:r>
      <w:r w:rsidRPr="006272E8">
        <w:rPr>
          <w:rFonts w:ascii="Calibri" w:hAnsi="Calibri" w:cs="Calibri"/>
        </w:rPr>
        <w:t xml:space="preserve"> </w:t>
      </w:r>
      <w:r w:rsidRPr="006272E8">
        <w:rPr>
          <w:rFonts w:ascii="Calibri" w:hAnsi="Calibri" w:cs="Calibri"/>
        </w:rPr>
        <w:t xml:space="preserve">of progress </w:t>
      </w:r>
      <w:r w:rsidRPr="006272E8">
        <w:rPr>
          <w:rFonts w:ascii="Calibri" w:hAnsi="Calibri" w:cs="Calibri"/>
        </w:rPr>
        <w:t>on implementation</w:t>
      </w:r>
      <w:r w:rsidRPr="006272E8">
        <w:rPr>
          <w:rFonts w:ascii="Calibri" w:hAnsi="Calibri" w:cs="Calibri"/>
        </w:rPr>
        <w:t>; r</w:t>
      </w:r>
      <w:r w:rsidRPr="006272E8">
        <w:rPr>
          <w:rFonts w:ascii="Calibri" w:hAnsi="Calibri" w:cs="Calibri"/>
        </w:rPr>
        <w:t>ather,</w:t>
      </w:r>
      <w:r w:rsidRPr="006272E8">
        <w:rPr>
          <w:rFonts w:ascii="Calibri" w:hAnsi="Calibri" w:cs="Calibri"/>
        </w:rPr>
        <w:t xml:space="preserve"> </w:t>
      </w:r>
      <w:r w:rsidRPr="006272E8">
        <w:rPr>
          <w:rFonts w:ascii="Calibri" w:hAnsi="Calibri" w:cs="Calibri"/>
        </w:rPr>
        <w:t xml:space="preserve">it </w:t>
      </w:r>
      <w:r w:rsidRPr="006272E8">
        <w:rPr>
          <w:rFonts w:ascii="Calibri" w:hAnsi="Calibri" w:cs="Calibri"/>
        </w:rPr>
        <w:t>has chosen to keep in place</w:t>
      </w:r>
      <w:r w:rsidRPr="006272E8">
        <w:rPr>
          <w:rFonts w:ascii="Calibri" w:hAnsi="Calibri" w:cs="Calibri"/>
        </w:rPr>
        <w:t xml:space="preserve"> </w:t>
      </w:r>
      <w:r w:rsidRPr="006272E8">
        <w:rPr>
          <w:rFonts w:ascii="Calibri" w:hAnsi="Calibri" w:cs="Calibri"/>
        </w:rPr>
        <w:t>changes</w:t>
      </w:r>
      <w:r w:rsidRPr="006272E8">
        <w:rPr>
          <w:rFonts w:ascii="Calibri" w:hAnsi="Calibri" w:cs="Calibri"/>
        </w:rPr>
        <w:t xml:space="preserve"> </w:t>
      </w:r>
      <w:r w:rsidRPr="006272E8">
        <w:rPr>
          <w:rFonts w:ascii="Calibri" w:hAnsi="Calibri" w:cs="Calibri"/>
        </w:rPr>
        <w:t xml:space="preserve">made </w:t>
      </w:r>
      <w:r w:rsidRPr="006272E8">
        <w:rPr>
          <w:rFonts w:ascii="Calibri" w:hAnsi="Calibri" w:cs="Calibri"/>
        </w:rPr>
        <w:t>by its</w:t>
      </w:r>
      <w:r w:rsidRPr="006272E8">
        <w:rPr>
          <w:rFonts w:ascii="Calibri" w:hAnsi="Calibri" w:cs="Calibri"/>
        </w:rPr>
        <w:t xml:space="preserve"> predecessors</w:t>
      </w:r>
      <w:r w:rsidRPr="006272E8">
        <w:rPr>
          <w:rFonts w:ascii="Calibri" w:hAnsi="Calibri" w:cs="Calibri"/>
        </w:rPr>
        <w:t xml:space="preserve"> </w:t>
      </w:r>
      <w:r w:rsidRPr="006272E8">
        <w:rPr>
          <w:rFonts w:ascii="Calibri" w:hAnsi="Calibri" w:cs="Calibri"/>
        </w:rPr>
        <w:t>that run counter to the Inquiry’s recommendations.</w:t>
      </w:r>
      <w:r>
        <w:rPr>
          <w:rStyle w:val="FootnoteReference"/>
          <w:rFonts w:ascii="Calibri" w:hAnsi="Calibri" w:cs="Calibri"/>
        </w:rPr>
        <w:footnoteReference w:id="24"/>
      </w:r>
    </w:p>
    <w:p w:rsidR="006272E8" w:rsidRPr="006272E8">
      <w:pPr>
        <w:spacing w:before="240" w:after="240" w:line="480" w:lineRule="auto"/>
        <w:jc w:val="both"/>
        <w:rPr>
          <w:rFonts w:ascii="Calibri" w:hAnsi="Calibri" w:cs="Calibri"/>
        </w:rPr>
      </w:pPr>
    </w:p>
    <w:p w:rsidR="006272E8" w:rsidRPr="006272E8">
      <w:pPr>
        <w:spacing w:before="240" w:after="240" w:line="480" w:lineRule="auto"/>
        <w:jc w:val="both"/>
        <w:rPr>
          <w:rFonts w:ascii="Calibri" w:hAnsi="Calibri" w:cs="Calibri"/>
          <w:b/>
          <w:bCs/>
        </w:rPr>
      </w:pPr>
      <w:r w:rsidRPr="006272E8">
        <w:rPr>
          <w:rFonts w:ascii="Calibri" w:hAnsi="Calibri" w:cs="Calibri"/>
          <w:b/>
          <w:bCs/>
        </w:rPr>
        <w:t>Clause 41</w:t>
      </w:r>
    </w:p>
    <w:p w:rsidR="006272E8" w:rsidRPr="006272E8">
      <w:pPr>
        <w:spacing w:before="240" w:after="240" w:line="480" w:lineRule="auto"/>
        <w:jc w:val="both"/>
        <w:rPr>
          <w:rFonts w:ascii="Calibri" w:hAnsi="Calibri" w:cs="Calibri"/>
        </w:rPr>
      </w:pPr>
      <w:r w:rsidRPr="006272E8">
        <w:rPr>
          <w:rFonts w:ascii="Calibri" w:hAnsi="Calibri" w:cs="Calibri"/>
        </w:rPr>
        <w:t>2</w:t>
      </w:r>
      <w:r w:rsidRPr="006272E8">
        <w:rPr>
          <w:rFonts w:ascii="Calibri" w:hAnsi="Calibri" w:cs="Calibri"/>
        </w:rPr>
        <w:t>3</w:t>
      </w:r>
      <w:r w:rsidRPr="006272E8">
        <w:rPr>
          <w:rFonts w:ascii="Calibri" w:hAnsi="Calibri" w:cs="Calibri"/>
        </w:rPr>
        <w:t>.</w:t>
      </w:r>
      <w:r w:rsidRPr="006272E8">
        <w:rPr>
          <w:rFonts w:ascii="Calibri" w:hAnsi="Calibri" w:cs="Calibri"/>
        </w:rPr>
        <w:tab/>
      </w:r>
      <w:r w:rsidRPr="006272E8">
        <w:rPr>
          <w:rFonts w:ascii="Calibri" w:hAnsi="Calibri" w:cs="Calibri"/>
        </w:rPr>
        <w:t xml:space="preserve">BID and MJ also have </w:t>
      </w:r>
      <w:r w:rsidRPr="006272E8">
        <w:rPr>
          <w:rFonts w:ascii="Calibri" w:hAnsi="Calibri" w:cs="Calibri"/>
        </w:rPr>
        <w:t>grave concerns regarding the legality o</w:t>
      </w:r>
      <w:r w:rsidRPr="006272E8">
        <w:rPr>
          <w:rFonts w:ascii="Calibri" w:hAnsi="Calibri" w:cs="Calibri"/>
        </w:rPr>
        <w:t xml:space="preserve">f paragraph Clause 41(17). </w:t>
      </w:r>
    </w:p>
    <w:p w:rsidR="006272E8" w:rsidRPr="006272E8">
      <w:pPr>
        <w:spacing w:before="240" w:after="240" w:line="480" w:lineRule="auto"/>
        <w:jc w:val="both"/>
        <w:rPr>
          <w:rFonts w:ascii="Calibri" w:hAnsi="Calibri" w:cs="Calibri"/>
        </w:rPr>
      </w:pPr>
      <w:r w:rsidRPr="006272E8">
        <w:rPr>
          <w:rFonts w:ascii="Calibri" w:hAnsi="Calibri" w:cs="Calibri"/>
        </w:rPr>
        <w:t>2</w:t>
      </w:r>
      <w:r w:rsidRPr="006272E8">
        <w:rPr>
          <w:rFonts w:ascii="Calibri" w:hAnsi="Calibri" w:cs="Calibri"/>
        </w:rPr>
        <w:t>4</w:t>
      </w:r>
      <w:r w:rsidRPr="006272E8">
        <w:rPr>
          <w:rFonts w:ascii="Calibri" w:hAnsi="Calibri" w:cs="Calibri"/>
        </w:rPr>
        <w:t>.</w:t>
      </w:r>
      <w:r w:rsidRPr="006272E8">
        <w:rPr>
          <w:rFonts w:ascii="Calibri" w:hAnsi="Calibri" w:cs="Calibri"/>
        </w:rPr>
        <w:tab/>
        <w:t>Clause 41 appears to be attempting to create a new power to detain those who are being considered for deportation, but in respect of whom no decision to deport has been made, and who</w:t>
      </w:r>
      <w:r w:rsidRPr="006272E8">
        <w:rPr>
          <w:rFonts w:ascii="Calibri" w:hAnsi="Calibri" w:cs="Calibri"/>
        </w:rPr>
        <w:t xml:space="preserve"> either</w:t>
      </w:r>
      <w:r w:rsidRPr="006272E8">
        <w:rPr>
          <w:rFonts w:ascii="Calibri" w:hAnsi="Calibri" w:cs="Calibri"/>
        </w:rPr>
        <w:t xml:space="preserve"> have not committed a sufficiently serious offence to trigger the automatic deportation powers, or who are otherwise not eligible for automatic deportation. </w:t>
      </w:r>
    </w:p>
    <w:p w:rsidR="006272E8" w:rsidRPr="006272E8">
      <w:pPr>
        <w:spacing w:before="240" w:after="240" w:line="480" w:lineRule="auto"/>
        <w:jc w:val="both"/>
        <w:rPr>
          <w:rFonts w:ascii="Calibri" w:hAnsi="Calibri" w:cs="Calibri"/>
        </w:rPr>
      </w:pPr>
      <w:r w:rsidRPr="006272E8">
        <w:rPr>
          <w:rFonts w:ascii="Calibri" w:hAnsi="Calibri" w:cs="Calibri"/>
        </w:rPr>
        <w:t>2</w:t>
      </w:r>
      <w:r w:rsidRPr="006272E8">
        <w:rPr>
          <w:rFonts w:ascii="Calibri" w:hAnsi="Calibri" w:cs="Calibri"/>
        </w:rPr>
        <w:t>5</w:t>
      </w:r>
      <w:r w:rsidRPr="006272E8">
        <w:rPr>
          <w:rFonts w:ascii="Calibri" w:hAnsi="Calibri" w:cs="Calibri"/>
        </w:rPr>
        <w:t>.</w:t>
      </w:r>
      <w:r w:rsidRPr="006272E8">
        <w:rPr>
          <w:rFonts w:ascii="Calibri" w:hAnsi="Calibri" w:cs="Calibri"/>
        </w:rPr>
        <w:tab/>
        <w:t xml:space="preserve">While BID and MJ consider that the creation of </w:t>
      </w:r>
      <w:r w:rsidRPr="006272E8">
        <w:rPr>
          <w:rFonts w:ascii="Calibri" w:hAnsi="Calibri" w:cs="Calibri"/>
          <w:u w:val="single"/>
        </w:rPr>
        <w:t>any</w:t>
      </w:r>
      <w:r w:rsidRPr="006272E8">
        <w:rPr>
          <w:rFonts w:ascii="Calibri" w:hAnsi="Calibri" w:cs="Calibri"/>
        </w:rPr>
        <w:t xml:space="preserve"> further detention power is an unnecessary and retrograde step in light of the swingeing powers already on the statute book, </w:t>
      </w:r>
      <w:r w:rsidRPr="006272E8">
        <w:rPr>
          <w:rFonts w:ascii="Calibri" w:hAnsi="Calibri" w:cs="Calibri"/>
        </w:rPr>
        <w:t>the provision in Clause 41(17) that the power should be “</w:t>
      </w:r>
      <w:r w:rsidRPr="006272E8">
        <w:rPr>
          <w:rFonts w:ascii="Calibri" w:hAnsi="Calibri" w:cs="Calibri"/>
          <w:i/>
          <w:iCs/>
        </w:rPr>
        <w:t>treated as always having been in effect is</w:t>
      </w:r>
      <w:r w:rsidRPr="006272E8">
        <w:rPr>
          <w:rFonts w:ascii="Calibri" w:hAnsi="Calibri" w:cs="Calibri"/>
        </w:rPr>
        <w:t>”</w:t>
      </w:r>
      <w:r w:rsidRPr="006272E8">
        <w:rPr>
          <w:rFonts w:ascii="Calibri" w:hAnsi="Calibri" w:cs="Calibri"/>
        </w:rPr>
        <w:t xml:space="preserve">, insofar as it is intended to avoid liability for previous detention without a lawful power, </w:t>
      </w:r>
      <w:r w:rsidRPr="006272E8">
        <w:rPr>
          <w:rFonts w:ascii="Calibri" w:hAnsi="Calibri" w:cs="Calibri"/>
        </w:rPr>
        <w:t xml:space="preserve">is </w:t>
      </w:r>
      <w:r w:rsidRPr="006272E8">
        <w:rPr>
          <w:rFonts w:ascii="Calibri" w:hAnsi="Calibri" w:cs="Calibri"/>
        </w:rPr>
        <w:t>clearly contrary to Article 5 ECHR</w:t>
      </w:r>
      <w:r w:rsidRPr="006272E8">
        <w:rPr>
          <w:rFonts w:ascii="Calibri" w:hAnsi="Calibri" w:cs="Calibri"/>
        </w:rPr>
        <w:t xml:space="preserve"> as well as well-established common law principles</w:t>
      </w:r>
      <w:r w:rsidRPr="006272E8">
        <w:rPr>
          <w:rFonts w:ascii="Calibri" w:hAnsi="Calibri" w:cs="Calibri"/>
        </w:rPr>
        <w:t xml:space="preserve">. </w:t>
      </w:r>
      <w:r w:rsidRPr="006272E8">
        <w:rPr>
          <w:rFonts w:ascii="Calibri" w:hAnsi="Calibri" w:cs="Calibri"/>
        </w:rPr>
        <w:t xml:space="preserve">As Lord Kitchin held in </w:t>
      </w:r>
      <w:r w:rsidRPr="006272E8">
        <w:rPr>
          <w:rFonts w:ascii="Calibri" w:hAnsi="Calibri" w:cs="Calibri"/>
          <w:i/>
          <w:iCs/>
        </w:rPr>
        <w:t xml:space="preserve">R (Hemmati) v Secretary of </w:t>
      </w:r>
      <w:r w:rsidRPr="006272E8">
        <w:rPr>
          <w:rFonts w:ascii="Calibri" w:hAnsi="Calibri" w:cs="Calibri"/>
          <w:i/>
          <w:iCs/>
        </w:rPr>
        <w:t>State for the Home Department</w:t>
      </w:r>
      <w:r w:rsidRPr="006272E8">
        <w:rPr>
          <w:rFonts w:ascii="Calibri" w:hAnsi="Calibri" w:cs="Calibri"/>
        </w:rPr>
        <w:t xml:space="preserve"> [2019] UKSC 56</w:t>
      </w:r>
      <w:r w:rsidRPr="006272E8">
        <w:rPr>
          <w:rFonts w:ascii="Calibri" w:hAnsi="Calibri" w:cs="Calibri"/>
        </w:rPr>
        <w:t>:</w:t>
      </w:r>
    </w:p>
    <w:p w:rsidR="006272E8" w:rsidRPr="006272E8" w:rsidP="00BD38C4">
      <w:pPr>
        <w:spacing w:before="240" w:after="240" w:line="480" w:lineRule="auto"/>
        <w:jc w:val="both"/>
        <w:rPr>
          <w:rFonts w:ascii="Calibri" w:hAnsi="Calibri" w:cs="Calibri"/>
          <w:i/>
          <w:iCs/>
        </w:rPr>
      </w:pPr>
      <w:r w:rsidRPr="006272E8">
        <w:rPr>
          <w:rFonts w:ascii="Calibri" w:hAnsi="Calibri" w:cs="Calibri"/>
          <w:i/>
          <w:iCs/>
        </w:rPr>
        <w:t xml:space="preserve">It can be no answer to a claim for </w:t>
      </w:r>
      <w:r w:rsidRPr="006272E8">
        <w:rPr>
          <w:rFonts w:ascii="Calibri" w:hAnsi="Calibri" w:cs="Calibri"/>
          <w:i/>
          <w:iCs/>
        </w:rPr>
        <w:t>damages for unlawful imprisonment that the detention would have been lawful had the law been different</w:t>
      </w:r>
      <w:r w:rsidRPr="006272E8">
        <w:rPr>
          <w:rFonts w:ascii="Calibri" w:hAnsi="Calibri" w:cs="Calibri"/>
          <w:i/>
          <w:iCs/>
        </w:rPr>
        <w:t>.</w:t>
      </w:r>
    </w:p>
    <w:p w:rsidR="006272E8" w:rsidRPr="006272E8" w:rsidP="00411D78">
      <w:pPr>
        <w:spacing w:before="240" w:after="240" w:line="480" w:lineRule="auto"/>
        <w:jc w:val="both"/>
        <w:rPr>
          <w:rFonts w:ascii="Calibri" w:hAnsi="Calibri" w:cs="Calibri"/>
          <w:b/>
          <w:bCs/>
        </w:rPr>
      </w:pPr>
      <w:r w:rsidRPr="006272E8">
        <w:rPr>
          <w:rFonts w:ascii="Calibri" w:hAnsi="Calibri" w:cs="Calibri"/>
          <w:b/>
          <w:bCs/>
        </w:rPr>
        <w:t>Conclusion</w:t>
      </w:r>
    </w:p>
    <w:p w:rsidR="006272E8" w:rsidRPr="006272E8" w:rsidP="00411D78">
      <w:pPr>
        <w:spacing w:before="240" w:after="240" w:line="480" w:lineRule="auto"/>
        <w:jc w:val="both"/>
        <w:rPr>
          <w:rFonts w:ascii="Calibri" w:hAnsi="Calibri" w:cs="Calibri"/>
        </w:rPr>
      </w:pPr>
      <w:r w:rsidRPr="006272E8">
        <w:rPr>
          <w:rFonts w:ascii="Calibri" w:hAnsi="Calibri" w:cs="Calibri"/>
        </w:rPr>
        <w:t>2</w:t>
      </w:r>
      <w:r w:rsidRPr="006272E8">
        <w:rPr>
          <w:rFonts w:ascii="Calibri" w:hAnsi="Calibri" w:cs="Calibri"/>
        </w:rPr>
        <w:t>6</w:t>
      </w:r>
      <w:r w:rsidRPr="006272E8">
        <w:rPr>
          <w:rFonts w:ascii="Calibri" w:hAnsi="Calibri" w:cs="Calibri"/>
        </w:rPr>
        <w:t>.</w:t>
      </w:r>
      <w:r w:rsidRPr="006272E8">
        <w:rPr>
          <w:rFonts w:ascii="Calibri" w:hAnsi="Calibri" w:cs="Calibri"/>
        </w:rPr>
        <w:tab/>
        <w:t xml:space="preserve">In conclusion, MJ and BID ask that the JCHR </w:t>
      </w:r>
      <w:r w:rsidRPr="006272E8">
        <w:rPr>
          <w:rFonts w:ascii="Calibri" w:hAnsi="Calibri" w:cs="Calibri"/>
        </w:rPr>
        <w:t xml:space="preserve">recommends that the Bill </w:t>
      </w:r>
      <w:r w:rsidRPr="006272E8">
        <w:rPr>
          <w:rFonts w:ascii="Calibri" w:hAnsi="Calibri" w:cs="Calibri"/>
        </w:rPr>
        <w:t xml:space="preserve">should </w:t>
      </w:r>
      <w:r w:rsidRPr="006272E8">
        <w:rPr>
          <w:rFonts w:ascii="Calibri" w:hAnsi="Calibri" w:cs="Calibri"/>
        </w:rPr>
        <w:t>repeal</w:t>
      </w:r>
      <w:r w:rsidRPr="006272E8">
        <w:rPr>
          <w:rFonts w:ascii="Calibri" w:hAnsi="Calibri" w:cs="Calibri"/>
        </w:rPr>
        <w:t xml:space="preserve"> Section 12</w:t>
      </w:r>
      <w:r w:rsidRPr="006272E8">
        <w:rPr>
          <w:rFonts w:ascii="Calibri" w:hAnsi="Calibri" w:cs="Calibri"/>
        </w:rPr>
        <w:t>. That</w:t>
      </w:r>
      <w:r w:rsidRPr="006272E8">
        <w:rPr>
          <w:rFonts w:ascii="Calibri" w:hAnsi="Calibri" w:cs="Calibri"/>
        </w:rPr>
        <w:t xml:space="preserve"> would mark a return to</w:t>
      </w:r>
      <w:r w:rsidRPr="006272E8">
        <w:rPr>
          <w:rFonts w:ascii="Calibri" w:hAnsi="Calibri" w:cs="Calibri"/>
        </w:rPr>
        <w:t>,</w:t>
      </w:r>
      <w:r w:rsidRPr="006272E8">
        <w:rPr>
          <w:rFonts w:ascii="Calibri" w:hAnsi="Calibri" w:cs="Calibri"/>
        </w:rPr>
        <w:t xml:space="preserve"> </w:t>
      </w:r>
      <w:r w:rsidRPr="006272E8">
        <w:rPr>
          <w:rFonts w:ascii="Calibri" w:hAnsi="Calibri" w:cs="Calibri"/>
        </w:rPr>
        <w:t>or confirmation of</w:t>
      </w:r>
      <w:r w:rsidRPr="006272E8">
        <w:rPr>
          <w:rFonts w:ascii="Calibri" w:hAnsi="Calibri" w:cs="Calibri"/>
        </w:rPr>
        <w:t>,</w:t>
      </w:r>
      <w:r w:rsidRPr="006272E8">
        <w:rPr>
          <w:rFonts w:ascii="Calibri" w:hAnsi="Calibri" w:cs="Calibri"/>
        </w:rPr>
        <w:t xml:space="preserve"> </w:t>
      </w:r>
      <w:r w:rsidRPr="006272E8">
        <w:rPr>
          <w:rFonts w:ascii="Calibri" w:hAnsi="Calibri" w:cs="Calibri"/>
        </w:rPr>
        <w:t xml:space="preserve">the orthodox constitutional position whereby the High Court determines </w:t>
      </w:r>
      <w:r w:rsidRPr="006272E8">
        <w:rPr>
          <w:rFonts w:ascii="Calibri" w:hAnsi="Calibri" w:cs="Calibri"/>
        </w:rPr>
        <w:t>the lawfulness of a period of detention ordered by a civil servant</w:t>
      </w:r>
      <w:r w:rsidRPr="006272E8">
        <w:rPr>
          <w:rFonts w:ascii="Calibri" w:hAnsi="Calibri" w:cs="Calibri"/>
        </w:rPr>
        <w:t>.</w:t>
      </w:r>
      <w:r w:rsidRPr="006272E8">
        <w:rPr>
          <w:rFonts w:ascii="Calibri" w:hAnsi="Calibri" w:cs="Calibri"/>
        </w:rPr>
        <w:t xml:space="preserve"> BID and MJ also consider that the government should refrain from introducing further detention powers via Clause 41.</w:t>
      </w:r>
    </w:p>
    <w:p w:rsidR="006272E8" w:rsidRPr="006272E8" w:rsidP="00411D78">
      <w:pPr>
        <w:spacing w:before="240" w:after="240" w:line="480" w:lineRule="auto"/>
        <w:jc w:val="both"/>
        <w:rPr>
          <w:rFonts w:ascii="Calibri" w:hAnsi="Calibri" w:cs="Calibri"/>
        </w:rPr>
      </w:pPr>
      <w:r w:rsidRPr="006272E8">
        <w:rPr>
          <w:rFonts w:ascii="Calibri" w:hAnsi="Calibri" w:cs="Calibri"/>
        </w:rPr>
        <w:t>2</w:t>
      </w:r>
      <w:r w:rsidRPr="006272E8">
        <w:rPr>
          <w:rFonts w:ascii="Calibri" w:hAnsi="Calibri" w:cs="Calibri"/>
        </w:rPr>
        <w:t>7</w:t>
      </w:r>
      <w:r w:rsidRPr="006272E8">
        <w:rPr>
          <w:rFonts w:ascii="Calibri" w:hAnsi="Calibri" w:cs="Calibri"/>
        </w:rPr>
        <w:t>.</w:t>
      </w:r>
      <w:r w:rsidRPr="006272E8">
        <w:rPr>
          <w:rFonts w:ascii="Calibri" w:hAnsi="Calibri" w:cs="Calibri"/>
        </w:rPr>
        <w:tab/>
        <w:t xml:space="preserve">MJ and BID would welcome the opportunity to </w:t>
      </w:r>
      <w:r w:rsidRPr="006272E8">
        <w:rPr>
          <w:rFonts w:ascii="Calibri" w:hAnsi="Calibri" w:cs="Calibri"/>
        </w:rPr>
        <w:t>provide further information or clarify anything in these submissions if asked to do so by the JCHR.</w:t>
      </w:r>
    </w:p>
    <w:p w:rsidR="006272E8" w:rsidRPr="006272E8" w:rsidP="00832341">
      <w:pPr>
        <w:spacing w:before="240" w:after="240" w:line="480" w:lineRule="auto"/>
        <w:jc w:val="both"/>
        <w:rPr>
          <w:rFonts w:ascii="Calibri" w:hAnsi="Calibri" w:cs="Calibri"/>
          <w:i/>
          <w:iCs/>
        </w:rPr>
      </w:pPr>
      <w:r w:rsidRPr="006272E8">
        <w:rPr>
          <w:rFonts w:ascii="Calibri" w:hAnsi="Calibri" w:cs="Calibri"/>
          <w:b/>
          <w:bCs/>
          <w:i/>
          <w:iCs/>
        </w:rPr>
        <w:t>April 2025</w:t>
      </w:r>
    </w:p>
    <w:sectPr>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w:altName w:val="Segoe UI Historic"/>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77397450"/>
      <w:docPartObj>
        <w:docPartGallery w:val="Page Numbers (Bottom of Page)"/>
        <w:docPartUnique/>
      </w:docPartObj>
    </w:sdtPr>
    <w:sdtEndPr>
      <w:rPr>
        <w:rFonts w:ascii="Palatino Linotype" w:hAnsi="Palatino Linotype"/>
        <w:noProof/>
        <w:sz w:val="22"/>
        <w:szCs w:val="22"/>
      </w:rPr>
    </w:sdtEndPr>
    <w:sdtContent>
      <w:p w:rsidR="006272E8" w:rsidRPr="00BD38C4">
        <w:pPr>
          <w:pStyle w:val="Footer"/>
          <w:jc w:val="center"/>
          <w:rPr>
            <w:rFonts w:ascii="Palatino Linotype" w:hAnsi="Palatino Linotype"/>
            <w:sz w:val="22"/>
            <w:szCs w:val="22"/>
          </w:rPr>
        </w:pPr>
        <w:r w:rsidRPr="00BD38C4">
          <w:rPr>
            <w:rFonts w:ascii="Palatino Linotype" w:hAnsi="Palatino Linotype"/>
            <w:sz w:val="22"/>
            <w:szCs w:val="22"/>
          </w:rPr>
          <w:fldChar w:fldCharType="begin"/>
        </w:r>
        <w:r w:rsidRPr="00BD38C4">
          <w:rPr>
            <w:rFonts w:ascii="Palatino Linotype" w:hAnsi="Palatino Linotype"/>
            <w:sz w:val="22"/>
            <w:szCs w:val="22"/>
          </w:rPr>
          <w:instrText xml:space="preserve"> PAGE   \* MERGEFORMAT </w:instrText>
        </w:r>
        <w:r w:rsidRPr="00BD38C4">
          <w:rPr>
            <w:rFonts w:ascii="Palatino Linotype" w:hAnsi="Palatino Linotype"/>
            <w:sz w:val="22"/>
            <w:szCs w:val="22"/>
          </w:rPr>
          <w:fldChar w:fldCharType="separate"/>
        </w:r>
        <w:r w:rsidRPr="00BD38C4">
          <w:rPr>
            <w:rFonts w:ascii="Palatino Linotype" w:hAnsi="Palatino Linotype"/>
            <w:noProof/>
            <w:sz w:val="22"/>
            <w:szCs w:val="22"/>
          </w:rPr>
          <w:t>2</w:t>
        </w:r>
        <w:r w:rsidRPr="00BD38C4">
          <w:rPr>
            <w:rFonts w:ascii="Palatino Linotype" w:hAnsi="Palatino Linotype"/>
            <w:noProof/>
            <w:sz w:val="22"/>
            <w:szCs w:val="22"/>
          </w:rPr>
          <w:fldChar w:fldCharType="end"/>
        </w:r>
      </w:p>
    </w:sdtContent>
  </w:sdt>
  <w:p w:rsidR="006272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272E8" w:rsidP="006805B5">
      <w:r>
        <w:separator/>
      </w:r>
    </w:p>
  </w:footnote>
  <w:footnote w:type="continuationSeparator" w:id="1">
    <w:p w:rsidR="006272E8" w:rsidP="006805B5">
      <w:r>
        <w:continuationSeparator/>
      </w:r>
    </w:p>
  </w:footnote>
  <w:footnote w:id="2">
    <w:p w:rsidR="006272E8" w:rsidRPr="00BD38C4">
      <w:pPr>
        <w:pStyle w:val="FootnoteText"/>
        <w:rPr>
          <w:rFonts w:ascii="Palatino" w:hAnsi="Palatino"/>
        </w:rPr>
      </w:pPr>
      <w:r>
        <w:rPr>
          <w:rStyle w:val="FootnoteReference"/>
        </w:rPr>
        <w:footnoteRef/>
      </w:r>
      <w:r>
        <w:t xml:space="preserve"> </w:t>
      </w:r>
      <w:r>
        <w:fldChar w:fldCharType="begin"/>
      </w:r>
      <w:r>
        <w:instrText xml:space="preserve"> HYPERLINK "https://medicaljustice.org.uk/" </w:instrText>
      </w:r>
      <w:r>
        <w:fldChar w:fldCharType="separate"/>
      </w:r>
      <w:r w:rsidRPr="00BD38C4">
        <w:rPr>
          <w:rStyle w:val="Hyperlink"/>
          <w:rFonts w:ascii="Palatino" w:hAnsi="Palatino"/>
        </w:rPr>
        <w:t>Medical Justice </w:t>
      </w:r>
      <w:r>
        <w:fldChar w:fldCharType="end"/>
      </w:r>
      <w:r w:rsidRPr="00BD38C4">
        <w:rPr>
          <w:rFonts w:ascii="Palatino" w:hAnsi="Palatino"/>
        </w:rPr>
        <w:t>is the only charity in the UK to send independent clinicians into all I</w:t>
      </w:r>
      <w:r>
        <w:rPr>
          <w:rFonts w:ascii="Palatino" w:hAnsi="Palatino"/>
        </w:rPr>
        <w:t xml:space="preserve">mmigration </w:t>
      </w:r>
      <w:r w:rsidRPr="00BD38C4">
        <w:rPr>
          <w:rFonts w:ascii="Palatino" w:hAnsi="Palatino"/>
        </w:rPr>
        <w:t>R</w:t>
      </w:r>
      <w:r>
        <w:rPr>
          <w:rFonts w:ascii="Palatino" w:hAnsi="Palatino"/>
        </w:rPr>
        <w:t xml:space="preserve">emoval </w:t>
      </w:r>
      <w:r w:rsidRPr="00BD38C4">
        <w:rPr>
          <w:rFonts w:ascii="Palatino" w:hAnsi="Palatino"/>
        </w:rPr>
        <w:t>C</w:t>
      </w:r>
      <w:r>
        <w:rPr>
          <w:rFonts w:ascii="Palatino" w:hAnsi="Palatino"/>
        </w:rPr>
        <w:t>entre</w:t>
      </w:r>
      <w:r w:rsidRPr="00BD38C4">
        <w:rPr>
          <w:rFonts w:ascii="Palatino" w:hAnsi="Palatino"/>
        </w:rPr>
        <w:t xml:space="preserve">s across the UK to visit detained people, to document their physical and mental scars of torture, serious medical conditions, the impact of detention on their health and injuries sustained during violent removal attempts. Evidence from </w:t>
      </w:r>
      <w:r>
        <w:rPr>
          <w:rFonts w:ascii="Palatino" w:hAnsi="Palatino"/>
        </w:rPr>
        <w:t>this</w:t>
      </w:r>
      <w:r w:rsidRPr="00BD38C4">
        <w:rPr>
          <w:rFonts w:ascii="Palatino" w:hAnsi="Palatino"/>
        </w:rPr>
        <w:t xml:space="preserve"> casework informs our research into systemic failures in healthcare provision, the harm caused by these shortcomings, and the toxic effect of immigration detention on the healt</w:t>
      </w:r>
      <w:r w:rsidRPr="00BD38C4">
        <w:rPr>
          <w:rFonts w:ascii="Palatino" w:hAnsi="Palatino"/>
        </w:rPr>
        <w:t>h of people in detention.</w:t>
      </w:r>
    </w:p>
  </w:footnote>
  <w:footnote w:id="3">
    <w:p w:rsidR="006272E8" w:rsidRPr="00BD38C4" w:rsidP="00BD38C4">
      <w:pPr>
        <w:pStyle w:val="FootnoteText"/>
        <w:jc w:val="both"/>
        <w:rPr>
          <w:lang w:val="en-US"/>
        </w:rPr>
      </w:pPr>
      <w:r w:rsidRPr="00BD38C4">
        <w:rPr>
          <w:rFonts w:ascii="Palatino" w:hAnsi="Palatino"/>
        </w:rPr>
        <w:footnoteRef/>
      </w:r>
      <w:r w:rsidRPr="00BD38C4">
        <w:rPr>
          <w:rFonts w:ascii="Palatino" w:hAnsi="Palatino"/>
        </w:rPr>
        <w:t xml:space="preserve"> </w:t>
      </w:r>
      <w:r>
        <w:fldChar w:fldCharType="begin"/>
      </w:r>
      <w:r>
        <w:instrText xml:space="preserve"> HYPERLINK "https://www.biduk.org/" </w:instrText>
      </w:r>
      <w:r>
        <w:fldChar w:fldCharType="separate"/>
      </w:r>
      <w:r w:rsidRPr="00BD38C4">
        <w:rPr>
          <w:rStyle w:val="Hyperlink"/>
          <w:rFonts w:ascii="Palatino" w:hAnsi="Palatino"/>
        </w:rPr>
        <w:t>Bail for Immigration Detainees</w:t>
      </w:r>
      <w:r>
        <w:fldChar w:fldCharType="end"/>
      </w:r>
      <w:r w:rsidRPr="00BD38C4">
        <w:rPr>
          <w:rFonts w:ascii="Palatino" w:hAnsi="Palatino"/>
        </w:rPr>
        <w:t xml:space="preserve"> (BID) is an independent national charity established in 1999 to challenge immigration detention. We assist those held under immigration powers in removal centres and prisons to secure their release from detention through the provision of free legal advice, information and representation.</w:t>
      </w:r>
    </w:p>
  </w:footnote>
  <w:footnote w:id="4">
    <w:p w:rsidR="006272E8" w:rsidRPr="003A0991" w:rsidP="001F35E6">
      <w:pPr>
        <w:pStyle w:val="FootnoteText"/>
        <w:jc w:val="both"/>
        <w:rPr>
          <w:rFonts w:ascii="Palatino" w:hAnsi="Palatino"/>
        </w:rPr>
      </w:pPr>
      <w:r w:rsidRPr="003A0991">
        <w:rPr>
          <w:rStyle w:val="FootnoteReference"/>
          <w:rFonts w:ascii="Palatino" w:hAnsi="Palatino"/>
        </w:rPr>
        <w:footnoteRef/>
      </w:r>
      <w:r w:rsidRPr="003A0991">
        <w:rPr>
          <w:rFonts w:ascii="Palatino" w:hAnsi="Palatino"/>
        </w:rPr>
        <w:t xml:space="preserve"> There are a variety of statutory powers across different Immigration Acts, but the main powers are contained in Schedules 2 &amp; 3 to the Immigration Act 1971.</w:t>
      </w:r>
    </w:p>
  </w:footnote>
  <w:footnote w:id="5">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w:t>
      </w:r>
      <w:r w:rsidRPr="00BD38C4">
        <w:rPr>
          <w:rFonts w:ascii="Palatino" w:hAnsi="Palatino"/>
          <w:i/>
          <w:iCs/>
        </w:rPr>
        <w:t xml:space="preserve">R v Governor of Durham Prison ex parte Hardial Singh </w:t>
      </w:r>
      <w:r w:rsidRPr="00BD38C4">
        <w:rPr>
          <w:rFonts w:ascii="Palatino" w:hAnsi="Palatino"/>
        </w:rPr>
        <w:t>[1984] 1 WLR 704</w:t>
      </w:r>
      <w:r w:rsidRPr="00BD38C4">
        <w:rPr>
          <w:rFonts w:ascii="Palatino" w:hAnsi="Palatino"/>
        </w:rPr>
        <w:t>.</w:t>
      </w:r>
    </w:p>
  </w:footnote>
  <w:footnote w:id="6">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For an early example, see </w:t>
      </w:r>
      <w:r w:rsidRPr="00BD38C4">
        <w:rPr>
          <w:rFonts w:ascii="Palatino" w:hAnsi="Palatino"/>
        </w:rPr>
        <w:t>Re Mahmod [1995] Imm AR 311</w:t>
      </w:r>
      <w:r w:rsidRPr="00BD38C4">
        <w:rPr>
          <w:rFonts w:ascii="Palatino" w:hAnsi="Palatino"/>
        </w:rPr>
        <w:t>.</w:t>
      </w:r>
    </w:p>
  </w:footnote>
  <w:footnote w:id="7">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w:t>
      </w:r>
      <w:r w:rsidRPr="00BD38C4">
        <w:rPr>
          <w:rFonts w:ascii="Palatino" w:hAnsi="Palatino"/>
          <w:i/>
          <w:iCs/>
        </w:rPr>
        <w:t xml:space="preserve">R(A (Somalia)) v Secretary of State for the Home Department </w:t>
      </w:r>
      <w:r w:rsidRPr="00BD38C4">
        <w:rPr>
          <w:rFonts w:ascii="Palatino" w:hAnsi="Palatino"/>
        </w:rPr>
        <w:t>[2007] EWCA Civ 804 at §61</w:t>
      </w:r>
      <w:r w:rsidRPr="00BD38C4">
        <w:rPr>
          <w:rFonts w:ascii="Palatino" w:hAnsi="Palatino"/>
        </w:rPr>
        <w:t>.</w:t>
      </w:r>
    </w:p>
  </w:footnote>
  <w:footnote w:id="8">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The possibility that th</w:t>
      </w:r>
      <w:r w:rsidRPr="00BD38C4">
        <w:rPr>
          <w:rFonts w:ascii="Palatino" w:hAnsi="Palatino"/>
        </w:rPr>
        <w:t>is argument</w:t>
      </w:r>
      <w:r w:rsidRPr="00BD38C4">
        <w:rPr>
          <w:rFonts w:ascii="Palatino" w:hAnsi="Palatino"/>
        </w:rPr>
        <w:t xml:space="preserve"> might be circular is addressed below.</w:t>
      </w:r>
    </w:p>
  </w:footnote>
  <w:footnote w:id="9">
    <w:p w:rsidR="006272E8" w:rsidRPr="00BD38C4" w:rsidP="00BD38C4">
      <w:pPr>
        <w:pStyle w:val="Default"/>
        <w:jc w:val="both"/>
        <w:rPr>
          <w:rFonts w:ascii="Palatino" w:hAnsi="Palatino" w:cstheme="minorBidi"/>
          <w:color w:val="auto"/>
          <w:kern w:val="2"/>
          <w:sz w:val="20"/>
          <w:szCs w:val="20"/>
        </w:rPr>
      </w:pPr>
      <w:r w:rsidRPr="00BD38C4">
        <w:rPr>
          <w:rStyle w:val="FootnoteReference"/>
          <w:rFonts w:ascii="Palatino" w:hAnsi="Palatino" w:cstheme="minorBidi"/>
          <w:color w:val="auto"/>
          <w:kern w:val="2"/>
          <w:sz w:val="20"/>
          <w:szCs w:val="20"/>
        </w:rPr>
        <w:footnoteRef/>
      </w:r>
      <w:r w:rsidRPr="00BD38C4">
        <w:rPr>
          <w:rStyle w:val="FootnoteReference"/>
          <w:rFonts w:ascii="Palatino" w:hAnsi="Palatino" w:cstheme="minorBidi"/>
          <w:color w:val="auto"/>
          <w:kern w:val="2"/>
        </w:rPr>
        <w:t xml:space="preserve"> </w:t>
      </w:r>
      <w:r w:rsidRPr="00BD38C4">
        <w:rPr>
          <w:rFonts w:ascii="Palatino" w:hAnsi="Palatino" w:cstheme="minorBidi"/>
          <w:i/>
          <w:iCs/>
          <w:color w:val="auto"/>
          <w:kern w:val="2"/>
          <w:sz w:val="20"/>
          <w:szCs w:val="20"/>
        </w:rPr>
        <w:t xml:space="preserve">J.N. v. The </w:t>
      </w:r>
      <w:r w:rsidRPr="00BD38C4">
        <w:rPr>
          <w:rFonts w:ascii="Palatino" w:hAnsi="Palatino" w:cstheme="minorBidi"/>
          <w:i/>
          <w:iCs/>
          <w:color w:val="auto"/>
          <w:kern w:val="2"/>
          <w:sz w:val="20"/>
          <w:szCs w:val="20"/>
        </w:rPr>
        <w:t>United Kingdom (Application no. 37289/12) 19/5/2016</w:t>
      </w:r>
      <w:r w:rsidRPr="00BD38C4">
        <w:rPr>
          <w:rFonts w:ascii="Palatino" w:hAnsi="Palatino" w:cstheme="minorBidi"/>
          <w:color w:val="auto"/>
          <w:kern w:val="2"/>
          <w:sz w:val="20"/>
          <w:szCs w:val="20"/>
        </w:rPr>
        <w:t xml:space="preserve"> at [30].</w:t>
      </w:r>
    </w:p>
    <w:p w:rsidR="006272E8">
      <w:pPr>
        <w:pStyle w:val="FootnoteText"/>
      </w:pPr>
    </w:p>
  </w:footnote>
  <w:footnote w:id="10">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w:t>
      </w:r>
      <w:r w:rsidRPr="00BD38C4">
        <w:rPr>
          <w:rFonts w:ascii="Palatino" w:hAnsi="Palatino"/>
          <w:i/>
          <w:iCs/>
        </w:rPr>
        <w:t>R(</w:t>
      </w:r>
      <w:r w:rsidRPr="00BD38C4">
        <w:rPr>
          <w:rFonts w:ascii="Palatino" w:hAnsi="Palatino"/>
          <w:i/>
          <w:iCs/>
        </w:rPr>
        <w:t>IS (Bangladesh)) v Secretary of State for the Home Department</w:t>
      </w:r>
      <w:r w:rsidRPr="00BD38C4">
        <w:rPr>
          <w:rFonts w:ascii="Palatino" w:hAnsi="Palatino"/>
        </w:rPr>
        <w:t xml:space="preserve"> [2023] EWHC 3130 (Admin) and </w:t>
      </w:r>
      <w:r w:rsidRPr="00BD38C4">
        <w:rPr>
          <w:rFonts w:ascii="Palatino" w:hAnsi="Palatino"/>
          <w:i/>
          <w:iCs/>
        </w:rPr>
        <w:t xml:space="preserve">R(ER) v Secretary of State for the Home Department </w:t>
      </w:r>
      <w:r w:rsidRPr="00BD38C4">
        <w:rPr>
          <w:rFonts w:ascii="Palatino" w:hAnsi="Palatino"/>
        </w:rPr>
        <w:t>[2023] EWHC 3187 (Admin)</w:t>
      </w:r>
      <w:r w:rsidRPr="00BD38C4">
        <w:rPr>
          <w:rFonts w:ascii="Palatino" w:hAnsi="Palatino"/>
        </w:rPr>
        <w:t>.</w:t>
      </w:r>
    </w:p>
  </w:footnote>
  <w:footnote w:id="11">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R</w:t>
      </w:r>
      <w:r w:rsidRPr="00BD38C4">
        <w:rPr>
          <w:rFonts w:ascii="Palatino" w:hAnsi="Palatino"/>
          <w:i/>
          <w:iCs/>
        </w:rPr>
        <w:t>(Nakrasevicius) v Secretary of State for the Home Department</w:t>
      </w:r>
      <w:r w:rsidRPr="00BD38C4">
        <w:rPr>
          <w:rFonts w:ascii="Palatino" w:hAnsi="Palatino"/>
        </w:rPr>
        <w:t xml:space="preserve"> [2024] EWHC 1856 (Admin) and </w:t>
      </w:r>
      <w:r w:rsidRPr="00BD38C4">
        <w:rPr>
          <w:rFonts w:ascii="Palatino" w:hAnsi="Palatino"/>
          <w:i/>
          <w:iCs/>
        </w:rPr>
        <w:t>R(</w:t>
      </w:r>
      <w:r w:rsidRPr="00BD38C4">
        <w:rPr>
          <w:rFonts w:ascii="Palatino" w:hAnsi="Palatino"/>
          <w:i/>
          <w:iCs/>
        </w:rPr>
        <w:t>Barizi) v Secretary of State for the Home Department</w:t>
      </w:r>
      <w:r w:rsidRPr="00BD38C4">
        <w:rPr>
          <w:rFonts w:ascii="Palatino" w:hAnsi="Palatino"/>
        </w:rPr>
        <w:t xml:space="preserve"> [2023] EWHC 3491 (Admin)</w:t>
      </w:r>
      <w:r w:rsidRPr="00BD38C4">
        <w:rPr>
          <w:rFonts w:ascii="Palatino" w:hAnsi="Palatino"/>
        </w:rPr>
        <w:t>.</w:t>
      </w:r>
    </w:p>
  </w:footnote>
  <w:footnote w:id="12">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w:t>
      </w:r>
      <w:r w:rsidRPr="00BD38C4">
        <w:rPr>
          <w:rFonts w:ascii="Palatino" w:hAnsi="Palatino"/>
          <w:i/>
          <w:iCs/>
        </w:rPr>
        <w:t>Detention: General Instructions, Version 3.0</w:t>
      </w:r>
      <w:r w:rsidRPr="00BD38C4">
        <w:rPr>
          <w:rFonts w:ascii="Palatino" w:hAnsi="Palatino"/>
        </w:rPr>
        <w:t xml:space="preserve">, published on 28 September 2023, </w:t>
      </w:r>
      <w:r w:rsidRPr="00BD38C4">
        <w:rPr>
          <w:rFonts w:ascii="Palatino" w:hAnsi="Palatino"/>
        </w:rPr>
        <w:t>Page 10</w:t>
      </w:r>
      <w:r w:rsidRPr="00BD38C4">
        <w:rPr>
          <w:rFonts w:ascii="Palatino" w:hAnsi="Palatino"/>
        </w:rPr>
        <w:t xml:space="preserve">. Accessible online at: </w:t>
      </w:r>
      <w:r>
        <w:fldChar w:fldCharType="begin"/>
      </w:r>
      <w:r>
        <w:instrText xml:space="preserve"> HYPERLINK "https://assets.publishing.service.gov.uk/media/6509c3af22a783000d43e8cf/Detention+General+instructions.pdf" </w:instrText>
      </w:r>
      <w:r>
        <w:fldChar w:fldCharType="separate"/>
      </w:r>
      <w:r w:rsidRPr="00BD38C4">
        <w:rPr>
          <w:rStyle w:val="Hyperlink"/>
          <w:rFonts w:ascii="Palatino" w:hAnsi="Palatino"/>
        </w:rPr>
        <w:t>https://assets.publishing.service.gov.uk/media/6509c3af22a783000d43e8cf/Detention+General+instructions.pdf</w:t>
      </w:r>
      <w:r>
        <w:fldChar w:fldCharType="end"/>
      </w:r>
      <w:r w:rsidRPr="00BD38C4">
        <w:rPr>
          <w:rFonts w:ascii="Palatino" w:hAnsi="Palatino"/>
        </w:rPr>
        <w:t xml:space="preserve"> </w:t>
      </w:r>
    </w:p>
  </w:footnote>
  <w:footnote w:id="13">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For an example illustrating the approach to statutory construction in this field, see </w:t>
      </w:r>
      <w:r w:rsidRPr="00BD38C4">
        <w:rPr>
          <w:rFonts w:ascii="Palatino" w:hAnsi="Palatino"/>
          <w:i/>
          <w:iCs/>
        </w:rPr>
        <w:t>B (Algeria) v Secretary of State for the Home Department</w:t>
      </w:r>
      <w:r w:rsidRPr="00BD38C4">
        <w:rPr>
          <w:rFonts w:ascii="Palatino" w:hAnsi="Palatino"/>
        </w:rPr>
        <w:t xml:space="preserve"> [2018] UKSC 5; [2018] AC 418</w:t>
      </w:r>
      <w:r w:rsidRPr="00BD38C4">
        <w:rPr>
          <w:rFonts w:ascii="Palatino" w:hAnsi="Palatino"/>
        </w:rPr>
        <w:t>.</w:t>
      </w:r>
    </w:p>
  </w:footnote>
  <w:footnote w:id="14">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w:t>
      </w:r>
      <w:r w:rsidRPr="00BD38C4">
        <w:rPr>
          <w:rFonts w:ascii="Palatino" w:hAnsi="Palatino"/>
          <w:i/>
          <w:iCs/>
        </w:rPr>
        <w:t>Lumba v Secretary of State for the Home Department</w:t>
      </w:r>
      <w:r w:rsidRPr="00BD38C4">
        <w:rPr>
          <w:rFonts w:ascii="Palatino" w:hAnsi="Palatino"/>
        </w:rPr>
        <w:t xml:space="preserve"> [2012] 1 AC 245 at [30]</w:t>
      </w:r>
      <w:r w:rsidRPr="00BD38C4">
        <w:rPr>
          <w:rFonts w:ascii="Palatino" w:hAnsi="Palatino"/>
        </w:rPr>
        <w:t>.</w:t>
      </w:r>
    </w:p>
  </w:footnote>
  <w:footnote w:id="15">
    <w:p w:rsidR="006272E8" w:rsidRPr="00BD38C4">
      <w:pPr>
        <w:pStyle w:val="FootnoteText"/>
        <w:rPr>
          <w:lang w:val="en-US"/>
        </w:rPr>
      </w:pPr>
      <w:r>
        <w:rPr>
          <w:rStyle w:val="FootnoteReference"/>
        </w:rPr>
        <w:footnoteRef/>
      </w:r>
      <w:r>
        <w:t xml:space="preserve"> </w:t>
      </w:r>
      <w:r w:rsidRPr="00BD38C4">
        <w:rPr>
          <w:rFonts w:ascii="Palatino" w:hAnsi="Palatino"/>
          <w:i/>
          <w:iCs/>
        </w:rPr>
        <w:t>R v Department for Education and Employment ex p Begbie</w:t>
      </w:r>
      <w:r w:rsidRPr="00BD38C4">
        <w:rPr>
          <w:rFonts w:ascii="Palatino" w:hAnsi="Palatino"/>
        </w:rPr>
        <w:t xml:space="preserve"> [2000] 1 WLR 1115 at 1130B</w:t>
      </w:r>
    </w:p>
  </w:footnote>
  <w:footnote w:id="16">
    <w:p w:rsidR="006272E8" w:rsidRPr="00BD38C4">
      <w:pPr>
        <w:pStyle w:val="FootnoteText"/>
        <w:rPr>
          <w:lang w:val="en-US"/>
        </w:rPr>
      </w:pPr>
      <w:r>
        <w:rPr>
          <w:rStyle w:val="FootnoteReference"/>
        </w:rPr>
        <w:footnoteRef/>
      </w:r>
      <w:r>
        <w:t xml:space="preserve"> </w:t>
      </w:r>
      <w:r>
        <w:fldChar w:fldCharType="begin"/>
      </w:r>
      <w:r>
        <w:instrText xml:space="preserve"> HYPERLINK "https://supremecourt.uk/uploads/uksc_2010_0062_judgment_6e523d0a53.pdf" </w:instrText>
      </w:r>
      <w:r>
        <w:fldChar w:fldCharType="separate"/>
      </w:r>
      <w:r w:rsidRPr="00BD38C4">
        <w:rPr>
          <w:rFonts w:ascii="Palatino" w:hAnsi="Palatino"/>
        </w:rPr>
        <w:t>https://supremecourt.uk/uploads/uksc_2010_0062_judgment_6e523d0a53.pdf</w:t>
      </w:r>
      <w:r>
        <w:fldChar w:fldCharType="end"/>
      </w:r>
      <w:r>
        <w:t xml:space="preserve"> </w:t>
      </w:r>
    </w:p>
  </w:footnote>
  <w:footnote w:id="17">
    <w:p w:rsidR="006272E8" w:rsidRPr="00BD38C4">
      <w:pPr>
        <w:pStyle w:val="FootnoteText"/>
        <w:rPr>
          <w:lang w:val="en-US"/>
        </w:rPr>
      </w:pPr>
      <w:r>
        <w:rPr>
          <w:rStyle w:val="FootnoteReference"/>
        </w:rPr>
        <w:footnoteRef/>
      </w:r>
      <w:r>
        <w:t xml:space="preserve"> </w:t>
      </w:r>
      <w:r w:rsidRPr="00884954">
        <w:rPr>
          <w:rFonts w:ascii="Palatino Linotype" w:hAnsi="Palatino Linotype"/>
          <w:i/>
          <w:iCs/>
        </w:rPr>
        <w:t>Fardous v Secretary of State for the Home Department</w:t>
      </w:r>
      <w:r w:rsidRPr="00863FD7">
        <w:rPr>
          <w:rFonts w:ascii="Palatino Linotype" w:hAnsi="Palatino Linotype"/>
        </w:rPr>
        <w:t xml:space="preserve"> [2015] EWCA Civ 931</w:t>
      </w:r>
      <w:r>
        <w:rPr>
          <w:rFonts w:ascii="Palatino Linotype" w:hAnsi="Palatino Linotype"/>
        </w:rPr>
        <w:t xml:space="preserve"> at [43]</w:t>
      </w:r>
    </w:p>
  </w:footnote>
  <w:footnote w:id="18">
    <w:p w:rsidR="006272E8" w:rsidRPr="00BD38C4" w:rsidP="00BD38C4">
      <w:pPr>
        <w:pStyle w:val="FootnoteText"/>
        <w:jc w:val="both"/>
        <w:rPr>
          <w:rFonts w:ascii="Palatino" w:hAnsi="Palatino"/>
        </w:rPr>
      </w:pPr>
      <w:r w:rsidRPr="00BD38C4">
        <w:rPr>
          <w:rStyle w:val="FootnoteReference"/>
          <w:rFonts w:ascii="Palatino" w:hAnsi="Palatino"/>
        </w:rPr>
        <w:footnoteRef/>
      </w:r>
      <w:r w:rsidRPr="00BD38C4">
        <w:rPr>
          <w:rFonts w:ascii="Palatino" w:hAnsi="Palatino"/>
        </w:rPr>
        <w:t xml:space="preserve"> </w:t>
      </w:r>
      <w:r w:rsidRPr="00BD38C4">
        <w:rPr>
          <w:rFonts w:ascii="Palatino" w:hAnsi="Palatino" w:cs="Times New Roman"/>
          <w:i/>
          <w:iCs/>
        </w:rPr>
        <w:t xml:space="preserve">AC(Algeria) v Secretary of State for the Home Department </w:t>
      </w:r>
      <w:r w:rsidRPr="00BD38C4">
        <w:rPr>
          <w:rFonts w:ascii="Palatino" w:hAnsi="Palatino" w:cs="Times New Roman"/>
        </w:rPr>
        <w:t>[2020] 1 WLR 2893</w:t>
      </w:r>
      <w:r w:rsidRPr="00BD38C4">
        <w:rPr>
          <w:rFonts w:ascii="Palatino" w:hAnsi="Palatino" w:cs="Times New Roman"/>
        </w:rPr>
        <w:t>.</w:t>
      </w:r>
    </w:p>
  </w:footnote>
  <w:footnote w:id="19">
    <w:p w:rsidR="006272E8" w:rsidRPr="00BD38C4" w:rsidP="00BD38C4">
      <w:pPr>
        <w:spacing w:before="240" w:after="240" w:line="480" w:lineRule="auto"/>
        <w:jc w:val="both"/>
        <w:rPr>
          <w:rFonts w:ascii="Palatino" w:hAnsi="Palatino"/>
        </w:rPr>
      </w:pPr>
      <w:r w:rsidRPr="00BD38C4">
        <w:rPr>
          <w:rStyle w:val="FootnoteReference"/>
          <w:rFonts w:ascii="Palatino" w:hAnsi="Palatino"/>
        </w:rPr>
        <w:footnoteRef/>
      </w:r>
      <w:r w:rsidRPr="00BD38C4">
        <w:rPr>
          <w:rFonts w:ascii="Palatino" w:hAnsi="Palatino"/>
        </w:rPr>
        <w:t xml:space="preserve"> </w:t>
      </w:r>
      <w:r w:rsidRPr="00BD38C4">
        <w:rPr>
          <w:rFonts w:ascii="Palatino" w:hAnsi="Palatino"/>
          <w:i/>
          <w:iCs/>
        </w:rPr>
        <w:t>ASK v UK</w:t>
      </w:r>
      <w:r w:rsidRPr="00BD38C4">
        <w:rPr>
          <w:rFonts w:ascii="Palatino" w:hAnsi="Palatino"/>
        </w:rPr>
        <w:t xml:space="preserve"> Application no: 43556/20</w:t>
      </w:r>
      <w:r>
        <w:rPr>
          <w:rFonts w:ascii="Palatino" w:hAnsi="Palatino"/>
        </w:rPr>
        <w:t>.</w:t>
      </w:r>
    </w:p>
  </w:footnote>
  <w:footnote w:id="20">
    <w:p w:rsidR="006272E8" w:rsidRPr="00884954" w:rsidP="006301B4">
      <w:pPr>
        <w:pStyle w:val="FootnoteText"/>
        <w:jc w:val="both"/>
        <w:rPr>
          <w:rFonts w:ascii="Palatino" w:hAnsi="Palatino"/>
        </w:rPr>
      </w:pPr>
      <w:r w:rsidRPr="007E1789">
        <w:rPr>
          <w:rStyle w:val="FootnoteReference"/>
        </w:rPr>
        <w:footnoteRef/>
      </w:r>
      <w:r w:rsidRPr="00884954">
        <w:rPr>
          <w:rFonts w:ascii="Palatino" w:hAnsi="Palatino"/>
        </w:rPr>
        <w:t xml:space="preserve"> For a summary of research on the effect of immigration on mental health for example, see Medical Justice (2022) </w:t>
      </w:r>
      <w:r>
        <w:fldChar w:fldCharType="begin"/>
      </w:r>
      <w:r>
        <w:instrText xml:space="preserve"> HYPERLINK "https://medicaljustice.org.uk/wp-content/uploads/2022/04/2022_HarmedNotHeard_Final.pdf" </w:instrText>
      </w:r>
      <w:r>
        <w:fldChar w:fldCharType="separate"/>
      </w:r>
      <w:r w:rsidRPr="00884954">
        <w:rPr>
          <w:rStyle w:val="Hyperlink"/>
          <w:rFonts w:ascii="Palatino" w:hAnsi="Palatino"/>
        </w:rPr>
        <w:t>Harmed Not Heard: Failures in Safeguarding for the Most Vulnerable People in Immigration Detention</w:t>
      </w:r>
      <w:r>
        <w:fldChar w:fldCharType="end"/>
      </w:r>
      <w:r w:rsidRPr="00884954">
        <w:rPr>
          <w:rFonts w:ascii="Palatino" w:hAnsi="Palatino"/>
        </w:rPr>
        <w:t>, 11-12.</w:t>
      </w:r>
    </w:p>
  </w:footnote>
  <w:footnote w:id="21">
    <w:p w:rsidR="006272E8" w:rsidRPr="00884954" w:rsidP="006301B4">
      <w:pPr>
        <w:pStyle w:val="FootnoteText"/>
        <w:jc w:val="both"/>
        <w:rPr>
          <w:rFonts w:ascii="Palatino" w:hAnsi="Palatino"/>
        </w:rPr>
      </w:pPr>
      <w:r w:rsidRPr="007E1789">
        <w:rPr>
          <w:rStyle w:val="FootnoteReference"/>
        </w:rPr>
        <w:footnoteRef/>
      </w:r>
      <w:r w:rsidRPr="00884954">
        <w:rPr>
          <w:rFonts w:ascii="Palatino" w:hAnsi="Palatino"/>
        </w:rPr>
        <w:t xml:space="preserve"> See M Von Werthern, K Robjant, Z Chui et al (2018) </w:t>
      </w:r>
      <w:r>
        <w:fldChar w:fldCharType="begin"/>
      </w:r>
      <w:r>
        <w:instrText xml:space="preserve"> HYPERLINK "https://bmcpsychiatry.biomedcentral.com/articles/10.1186/s12888-018-1945-y" </w:instrText>
      </w:r>
      <w:r>
        <w:fldChar w:fldCharType="separate"/>
      </w:r>
      <w:r w:rsidRPr="00884954">
        <w:rPr>
          <w:rStyle w:val="Hyperlink"/>
          <w:rFonts w:ascii="Palatino" w:hAnsi="Palatino"/>
          <w:i/>
          <w:iCs/>
        </w:rPr>
        <w:t>The impact of immigration detention on mental health: a systematic review</w:t>
      </w:r>
      <w:r>
        <w:fldChar w:fldCharType="end"/>
      </w:r>
      <w:r w:rsidRPr="00884954">
        <w:rPr>
          <w:rFonts w:ascii="Palatino" w:hAnsi="Palatino"/>
        </w:rPr>
        <w:t>, BMC Psychiatry 18: 382</w:t>
      </w:r>
    </w:p>
  </w:footnote>
  <w:footnote w:id="22">
    <w:p w:rsidR="006272E8" w:rsidRPr="00BD38C4" w:rsidP="00BD38C4">
      <w:pPr>
        <w:pStyle w:val="FootnoteText"/>
        <w:jc w:val="both"/>
        <w:rPr>
          <w:rFonts w:ascii="Palatino" w:hAnsi="Palatino"/>
          <w:i/>
          <w:iCs/>
        </w:rPr>
      </w:pPr>
      <w:r w:rsidRPr="007E1789">
        <w:rPr>
          <w:rStyle w:val="FootnoteReference"/>
        </w:rPr>
        <w:footnoteRef/>
      </w:r>
      <w:r>
        <w:rPr>
          <w:rStyle w:val="FootnoteReference"/>
        </w:rPr>
        <w:t xml:space="preserve"> </w:t>
      </w:r>
      <w:r w:rsidRPr="00BD38C4">
        <w:rPr>
          <w:rStyle w:val="FootnoteReference"/>
        </w:rPr>
        <w:t xml:space="preserve"> </w:t>
      </w:r>
      <w:r w:rsidRPr="00BD38C4">
        <w:rPr>
          <w:rFonts w:ascii="Palatino" w:hAnsi="Palatino"/>
        </w:rPr>
        <w:t xml:space="preserve">See Medical Justice (2024) </w:t>
      </w:r>
      <w:r>
        <w:fldChar w:fldCharType="begin"/>
      </w:r>
      <w:r>
        <w:instrText xml:space="preserve"> HYPERLINK "https://medicaljustice.org.uk/wp-content/uploads/2024/06/20240429_BHIResp_AFP_Exp.pdf" </w:instrText>
      </w:r>
      <w:r>
        <w:fldChar w:fldCharType="separate"/>
      </w:r>
      <w:r w:rsidRPr="00BD38C4">
        <w:rPr>
          <w:rStyle w:val="Hyperlink"/>
          <w:rFonts w:ascii="Palatino" w:hAnsi="Palatino"/>
          <w:i/>
          <w:iCs/>
        </w:rPr>
        <w:t>Government’s Response to the Brook House Inquiry report – Analysis for Parliamentarians</w:t>
      </w:r>
      <w:r>
        <w:fldChar w:fldCharType="end"/>
      </w:r>
    </w:p>
  </w:footnote>
  <w:footnote w:id="23">
    <w:p w:rsidR="006272E8" w:rsidRPr="00BD38C4" w:rsidP="00BD38C4">
      <w:pPr>
        <w:pStyle w:val="FootnoteText"/>
        <w:jc w:val="both"/>
        <w:rPr>
          <w:rFonts w:ascii="Palatino" w:hAnsi="Palatino"/>
        </w:rPr>
      </w:pPr>
      <w:r w:rsidRPr="007E1789">
        <w:rPr>
          <w:rStyle w:val="FootnoteReference"/>
        </w:rPr>
        <w:footnoteRef/>
      </w:r>
      <w:r w:rsidRPr="00BD38C4">
        <w:rPr>
          <w:rStyle w:val="FootnoteReference"/>
        </w:rPr>
        <w:t xml:space="preserve"> </w:t>
      </w:r>
      <w:r>
        <w:t xml:space="preserve"> </w:t>
      </w:r>
      <w:r>
        <w:fldChar w:fldCharType="begin"/>
      </w:r>
      <w:r>
        <w:instrText xml:space="preserve"> HYPERLINK "https://questions-statements.parliament.uk/written-questions/detail/2025-01-10/23170" </w:instrText>
      </w:r>
      <w:r>
        <w:fldChar w:fldCharType="separate"/>
      </w:r>
      <w:r w:rsidRPr="00767198">
        <w:rPr>
          <w:rStyle w:val="Hyperlink"/>
          <w:rFonts w:ascii="Palatino" w:hAnsi="Palatino"/>
        </w:rPr>
        <w:t>https://questions-statements.parliament.uk/written-questions/detail/2025-01-10/23170</w:t>
      </w:r>
      <w:r>
        <w:fldChar w:fldCharType="end"/>
      </w:r>
      <w:r>
        <w:rPr>
          <w:rFonts w:ascii="Palatino" w:hAnsi="Palatino"/>
        </w:rPr>
        <w:t xml:space="preserve"> </w:t>
      </w:r>
    </w:p>
  </w:footnote>
  <w:footnote w:id="24">
    <w:p w:rsidR="006272E8" w:rsidRPr="00BD38C4" w:rsidP="00BD38C4">
      <w:pPr>
        <w:pStyle w:val="FootnoteText"/>
        <w:jc w:val="both"/>
        <w:rPr>
          <w:i/>
          <w:iCs/>
          <w:lang w:val="en-US"/>
        </w:rPr>
      </w:pPr>
      <w:r w:rsidRPr="007E1789">
        <w:rPr>
          <w:rStyle w:val="FootnoteReference"/>
        </w:rPr>
        <w:footnoteRef/>
      </w:r>
      <w:r w:rsidRPr="00BD38C4">
        <w:rPr>
          <w:rFonts w:ascii="Palatino" w:hAnsi="Palatino"/>
        </w:rPr>
        <w:t xml:space="preserve"> </w:t>
      </w:r>
      <w:r w:rsidRPr="00BD38C4">
        <w:rPr>
          <w:rFonts w:ascii="Palatino" w:hAnsi="Palatino"/>
        </w:rPr>
        <w:t>For example,</w:t>
      </w:r>
      <w:r w:rsidRPr="00BD38C4">
        <w:rPr>
          <w:rFonts w:ascii="Palatino" w:hAnsi="Palatino"/>
        </w:rPr>
        <w:t xml:space="preserve"> </w:t>
      </w:r>
      <w:r>
        <w:rPr>
          <w:rFonts w:ascii="Palatino" w:hAnsi="Palatino"/>
        </w:rPr>
        <w:t xml:space="preserve">in April 2024 </w:t>
      </w:r>
      <w:r w:rsidRPr="00BD38C4">
        <w:rPr>
          <w:rFonts w:ascii="Palatino" w:hAnsi="Palatino"/>
        </w:rPr>
        <w:t xml:space="preserve">the previous government </w:t>
      </w:r>
      <w:r w:rsidRPr="00BD38C4">
        <w:rPr>
          <w:rFonts w:ascii="Palatino" w:hAnsi="Palatino"/>
        </w:rPr>
        <w:t>made</w:t>
      </w:r>
      <w:r w:rsidRPr="00BD38C4">
        <w:rPr>
          <w:rFonts w:ascii="Palatino" w:hAnsi="Palatino"/>
        </w:rPr>
        <w:t xml:space="preserve"> changes </w:t>
      </w:r>
      <w:r w:rsidRPr="00BD38C4">
        <w:rPr>
          <w:rFonts w:ascii="Palatino" w:hAnsi="Palatino"/>
        </w:rPr>
        <w:t>to</w:t>
      </w:r>
      <w:r w:rsidRPr="00BD38C4">
        <w:rPr>
          <w:rFonts w:ascii="Palatino" w:hAnsi="Palatino"/>
        </w:rPr>
        <w:t xml:space="preserve"> a key detention safeguard (the</w:t>
      </w:r>
      <w:r w:rsidRPr="00BD38C4">
        <w:rPr>
          <w:rFonts w:ascii="Palatino" w:hAnsi="Palatino"/>
        </w:rPr>
        <w:t xml:space="preserve"> Adults at Risk in Immigration Detention policy</w:t>
      </w:r>
      <w:r w:rsidRPr="00BD38C4">
        <w:rPr>
          <w:rFonts w:ascii="Palatino" w:hAnsi="Palatino"/>
        </w:rPr>
        <w:t xml:space="preserve">) </w:t>
      </w:r>
      <w:r w:rsidRPr="00BD38C4">
        <w:rPr>
          <w:rFonts w:ascii="Palatino" w:hAnsi="Palatino"/>
        </w:rPr>
        <w:t xml:space="preserve">that </w:t>
      </w:r>
      <w:r w:rsidRPr="00BD38C4">
        <w:rPr>
          <w:rFonts w:ascii="Palatino" w:hAnsi="Palatino"/>
        </w:rPr>
        <w:t>reduce</w:t>
      </w:r>
      <w:r w:rsidRPr="00BD38C4">
        <w:rPr>
          <w:rFonts w:ascii="Palatino" w:hAnsi="Palatino"/>
        </w:rPr>
        <w:t>d</w:t>
      </w:r>
      <w:r w:rsidRPr="00BD38C4">
        <w:rPr>
          <w:rFonts w:ascii="Palatino" w:hAnsi="Palatino"/>
        </w:rPr>
        <w:t xml:space="preserve"> the </w:t>
      </w:r>
      <w:r w:rsidRPr="00BD38C4">
        <w:rPr>
          <w:rFonts w:ascii="Palatino" w:hAnsi="Palatino"/>
        </w:rPr>
        <w:t>protections for vulnerable</w:t>
      </w:r>
      <w:r w:rsidRPr="00BD38C4">
        <w:rPr>
          <w:rFonts w:ascii="Palatino" w:hAnsi="Palatino"/>
        </w:rPr>
        <w:t xml:space="preserve"> detained</w:t>
      </w:r>
      <w:r w:rsidRPr="00BD38C4">
        <w:rPr>
          <w:rFonts w:ascii="Palatino" w:hAnsi="Palatino"/>
        </w:rPr>
        <w:t xml:space="preserve"> </w:t>
      </w:r>
      <w:r w:rsidRPr="00BD38C4">
        <w:rPr>
          <w:rFonts w:ascii="Palatino" w:hAnsi="Palatino"/>
        </w:rPr>
        <w:t>people</w:t>
      </w:r>
      <w:r w:rsidRPr="00BD38C4">
        <w:rPr>
          <w:rFonts w:ascii="Palatino" w:hAnsi="Palatino"/>
        </w:rPr>
        <w:t>. The</w:t>
      </w:r>
      <w:r w:rsidRPr="00BD38C4">
        <w:rPr>
          <w:rFonts w:ascii="Palatino" w:hAnsi="Palatino"/>
        </w:rPr>
        <w:t>se</w:t>
      </w:r>
      <w:r w:rsidRPr="00BD38C4">
        <w:rPr>
          <w:rFonts w:ascii="Palatino" w:hAnsi="Palatino"/>
        </w:rPr>
        <w:t xml:space="preserve"> changes have been kept in place by the current government. F</w:t>
      </w:r>
      <w:r w:rsidRPr="00BD38C4">
        <w:rPr>
          <w:rFonts w:ascii="Palatino" w:hAnsi="Palatino"/>
        </w:rPr>
        <w:t xml:space="preserve">or further </w:t>
      </w:r>
      <w:r w:rsidRPr="00BD38C4">
        <w:rPr>
          <w:rFonts w:ascii="Palatino" w:hAnsi="Palatino"/>
        </w:rPr>
        <w:t>details</w:t>
      </w:r>
      <w:r w:rsidRPr="00BD38C4">
        <w:rPr>
          <w:rFonts w:ascii="Palatino" w:hAnsi="Palatino"/>
        </w:rPr>
        <w:t xml:space="preserve"> see: </w:t>
      </w:r>
      <w:r w:rsidRPr="00BD38C4">
        <w:rPr>
          <w:rFonts w:ascii="Palatino" w:hAnsi="Palatino"/>
        </w:rPr>
        <w:t xml:space="preserve">Secondary Legislation Scrutiny Committee (2024) </w:t>
      </w:r>
      <w:r>
        <w:fldChar w:fldCharType="begin"/>
      </w:r>
      <w:r>
        <w:instrText xml:space="preserve"> HYPERLINK "https://publications.parliament.uk/pa/ld5804/ldselect/ldsecleg/115/115.pdf" </w:instrText>
      </w:r>
      <w:r>
        <w:fldChar w:fldCharType="separate"/>
      </w:r>
      <w:r w:rsidRPr="00BD38C4">
        <w:rPr>
          <w:rStyle w:val="Hyperlink"/>
          <w:rFonts w:ascii="Palatino" w:hAnsi="Palatino"/>
          <w:i/>
          <w:iCs/>
        </w:rPr>
        <w:t>25th Report of Session 2023–24</w:t>
      </w:r>
      <w:r>
        <w:fldChar w:fldCharType="end"/>
      </w:r>
      <w:r w:rsidRPr="00BD38C4">
        <w:rPr>
          <w:rFonts w:ascii="Palatino" w:hAnsi="Palatino"/>
        </w:rPr>
        <w:t>;</w:t>
      </w:r>
      <w:r w:rsidRPr="00BD38C4">
        <w:rPr>
          <w:rFonts w:ascii="Palatino" w:hAnsi="Palatino"/>
        </w:rPr>
        <w:t xml:space="preserve"> and Medical Justice</w:t>
      </w:r>
      <w:r w:rsidRPr="00BD38C4">
        <w:rPr>
          <w:rFonts w:ascii="Palatino" w:hAnsi="Palatino"/>
        </w:rPr>
        <w:t>, Bail for Immigration Detainees et al</w:t>
      </w:r>
      <w:r w:rsidRPr="00BD38C4">
        <w:rPr>
          <w:rFonts w:ascii="Palatino" w:hAnsi="Palatino"/>
        </w:rPr>
        <w:t xml:space="preserve"> (2024)</w:t>
      </w:r>
      <w:r w:rsidRPr="00BD38C4">
        <w:rPr>
          <w:rFonts w:ascii="Palatino" w:hAnsi="Palatino"/>
        </w:rPr>
        <w:t xml:space="preserve"> </w:t>
      </w:r>
      <w:r>
        <w:fldChar w:fldCharType="begin"/>
      </w:r>
      <w:r>
        <w:instrText xml:space="preserve"> HYPERLINK "https://medicaljustice.org.uk/wp-content/uploads/2024/07/20240610_AARSG_BriefingforHAC_Final.pdf" </w:instrText>
      </w:r>
      <w:r>
        <w:fldChar w:fldCharType="separate"/>
      </w:r>
      <w:r w:rsidRPr="00BD38C4">
        <w:rPr>
          <w:rStyle w:val="Hyperlink"/>
          <w:rFonts w:ascii="Palatino" w:hAnsi="Palatino"/>
          <w:i/>
          <w:iCs/>
        </w:rPr>
        <w:t>Briefing on the revised Adults at Risk in Immigration Detention Statutory Guidance</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DE0CDC"/>
    <w:multiLevelType w:val="hybridMultilevel"/>
    <w:tmpl w:val="B84492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5C6C31"/>
    <w:multiLevelType w:val="hybridMultilevel"/>
    <w:tmpl w:val="D676FE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C52098F"/>
    <w:multiLevelType w:val="hybridMultilevel"/>
    <w:tmpl w:val="C7EEA8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E79A7"/>
  </w:style>
  <w:style w:type="paragraph" w:styleId="Heading1">
    <w:name w:val="heading 1"/>
    <w:basedOn w:val="Normal"/>
    <w:next w:val="Normal"/>
    <w:link w:val="Heading1Char"/>
    <w:uiPriority w:val="9"/>
    <w:qFormat/>
    <w:rsid w:val="00431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1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14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14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14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14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4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4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4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4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14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14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14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14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14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4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4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431"/>
    <w:rPr>
      <w:rFonts w:eastAsiaTheme="majorEastAsia" w:cstheme="majorBidi"/>
      <w:color w:val="272727" w:themeColor="text1" w:themeTint="D8"/>
    </w:rPr>
  </w:style>
  <w:style w:type="paragraph" w:styleId="Title">
    <w:name w:val="Title"/>
    <w:basedOn w:val="Normal"/>
    <w:next w:val="Normal"/>
    <w:link w:val="TitleChar"/>
    <w:uiPriority w:val="10"/>
    <w:qFormat/>
    <w:rsid w:val="004314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4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43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4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4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1431"/>
    <w:rPr>
      <w:i/>
      <w:iCs/>
      <w:color w:val="404040" w:themeColor="text1" w:themeTint="BF"/>
    </w:rPr>
  </w:style>
  <w:style w:type="paragraph" w:styleId="ListParagraph">
    <w:name w:val="List Paragraph"/>
    <w:basedOn w:val="Normal"/>
    <w:uiPriority w:val="34"/>
    <w:qFormat/>
    <w:rsid w:val="00431431"/>
    <w:pPr>
      <w:ind w:left="720"/>
      <w:contextualSpacing/>
    </w:pPr>
  </w:style>
  <w:style w:type="character" w:styleId="IntenseEmphasis">
    <w:name w:val="Intense Emphasis"/>
    <w:basedOn w:val="DefaultParagraphFont"/>
    <w:uiPriority w:val="21"/>
    <w:qFormat/>
    <w:rsid w:val="00431431"/>
    <w:rPr>
      <w:i/>
      <w:iCs/>
      <w:color w:val="0F4761" w:themeColor="accent1" w:themeShade="BF"/>
    </w:rPr>
  </w:style>
  <w:style w:type="paragraph" w:styleId="IntenseQuote">
    <w:name w:val="Intense Quote"/>
    <w:basedOn w:val="Normal"/>
    <w:next w:val="Normal"/>
    <w:link w:val="IntenseQuoteChar"/>
    <w:uiPriority w:val="30"/>
    <w:qFormat/>
    <w:rsid w:val="00431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431"/>
    <w:rPr>
      <w:i/>
      <w:iCs/>
      <w:color w:val="0F4761" w:themeColor="accent1" w:themeShade="BF"/>
    </w:rPr>
  </w:style>
  <w:style w:type="character" w:styleId="IntenseReference">
    <w:name w:val="Intense Reference"/>
    <w:basedOn w:val="DefaultParagraphFont"/>
    <w:uiPriority w:val="32"/>
    <w:qFormat/>
    <w:rsid w:val="00431431"/>
    <w:rPr>
      <w:b/>
      <w:bCs/>
      <w:smallCaps/>
      <w:color w:val="0F4761" w:themeColor="accent1" w:themeShade="BF"/>
      <w:spacing w:val="5"/>
    </w:rPr>
  </w:style>
  <w:style w:type="paragraph" w:styleId="FootnoteText">
    <w:name w:val="footnote text"/>
    <w:basedOn w:val="Normal"/>
    <w:link w:val="FootnoteTextChar"/>
    <w:uiPriority w:val="99"/>
    <w:unhideWhenUsed/>
    <w:rsid w:val="006805B5"/>
    <w:rPr>
      <w:sz w:val="20"/>
      <w:szCs w:val="20"/>
    </w:rPr>
  </w:style>
  <w:style w:type="character" w:customStyle="1" w:styleId="FootnoteTextChar">
    <w:name w:val="Footnote Text Char"/>
    <w:basedOn w:val="DefaultParagraphFont"/>
    <w:link w:val="FootnoteText"/>
    <w:uiPriority w:val="99"/>
    <w:rsid w:val="006805B5"/>
    <w:rPr>
      <w:sz w:val="20"/>
      <w:szCs w:val="20"/>
    </w:rPr>
  </w:style>
  <w:style w:type="character" w:styleId="FootnoteReference">
    <w:name w:val="footnote reference"/>
    <w:basedOn w:val="DefaultParagraphFont"/>
    <w:uiPriority w:val="99"/>
    <w:semiHidden/>
    <w:unhideWhenUsed/>
    <w:rsid w:val="006805B5"/>
    <w:rPr>
      <w:vertAlign w:val="superscript"/>
    </w:rPr>
  </w:style>
  <w:style w:type="character" w:styleId="Hyperlink">
    <w:name w:val="Hyperlink"/>
    <w:basedOn w:val="DefaultParagraphFont"/>
    <w:uiPriority w:val="99"/>
    <w:unhideWhenUsed/>
    <w:rsid w:val="004B2A09"/>
    <w:rPr>
      <w:color w:val="467886" w:themeColor="hyperlink"/>
      <w:u w:val="single"/>
    </w:rPr>
  </w:style>
  <w:style w:type="character" w:customStyle="1" w:styleId="UnresolvedMention1">
    <w:name w:val="Unresolved Mention1"/>
    <w:basedOn w:val="DefaultParagraphFont"/>
    <w:uiPriority w:val="99"/>
    <w:semiHidden/>
    <w:unhideWhenUsed/>
    <w:rsid w:val="004B2A09"/>
    <w:rPr>
      <w:color w:val="605E5C"/>
      <w:shd w:val="clear" w:color="auto" w:fill="E1DFDD"/>
    </w:rPr>
  </w:style>
  <w:style w:type="paragraph" w:styleId="Header">
    <w:name w:val="header"/>
    <w:basedOn w:val="Normal"/>
    <w:link w:val="HeaderChar"/>
    <w:uiPriority w:val="99"/>
    <w:unhideWhenUsed/>
    <w:rsid w:val="00CF3718"/>
    <w:pPr>
      <w:tabs>
        <w:tab w:val="center" w:pos="4680"/>
        <w:tab w:val="right" w:pos="9360"/>
      </w:tabs>
    </w:pPr>
  </w:style>
  <w:style w:type="character" w:customStyle="1" w:styleId="HeaderChar">
    <w:name w:val="Header Char"/>
    <w:basedOn w:val="DefaultParagraphFont"/>
    <w:link w:val="Header"/>
    <w:uiPriority w:val="99"/>
    <w:rsid w:val="00CF3718"/>
  </w:style>
  <w:style w:type="paragraph" w:styleId="Footer">
    <w:name w:val="footer"/>
    <w:basedOn w:val="Normal"/>
    <w:link w:val="FooterChar"/>
    <w:uiPriority w:val="99"/>
    <w:unhideWhenUsed/>
    <w:rsid w:val="00CF3718"/>
    <w:pPr>
      <w:tabs>
        <w:tab w:val="center" w:pos="4680"/>
        <w:tab w:val="right" w:pos="9360"/>
      </w:tabs>
    </w:pPr>
  </w:style>
  <w:style w:type="character" w:customStyle="1" w:styleId="FooterChar">
    <w:name w:val="Footer Char"/>
    <w:basedOn w:val="DefaultParagraphFont"/>
    <w:link w:val="Footer"/>
    <w:uiPriority w:val="99"/>
    <w:rsid w:val="00CF3718"/>
  </w:style>
  <w:style w:type="paragraph" w:styleId="Revision">
    <w:name w:val="Revision"/>
    <w:hidden/>
    <w:uiPriority w:val="99"/>
    <w:semiHidden/>
    <w:rsid w:val="002851F9"/>
  </w:style>
  <w:style w:type="character" w:styleId="FollowedHyperlink">
    <w:name w:val="FollowedHyperlink"/>
    <w:basedOn w:val="DefaultParagraphFont"/>
    <w:uiPriority w:val="99"/>
    <w:semiHidden/>
    <w:unhideWhenUsed/>
    <w:rsid w:val="0046029F"/>
    <w:rPr>
      <w:color w:val="96607D" w:themeColor="followedHyperlink"/>
      <w:u w:val="single"/>
    </w:rPr>
  </w:style>
  <w:style w:type="paragraph" w:styleId="CommentText">
    <w:name w:val="annotation text"/>
    <w:basedOn w:val="Normal"/>
    <w:link w:val="CommentTextChar"/>
    <w:uiPriority w:val="99"/>
    <w:unhideWhenUsed/>
    <w:rsid w:val="00E2197A"/>
    <w:rPr>
      <w:sz w:val="20"/>
      <w:szCs w:val="20"/>
    </w:rPr>
  </w:style>
  <w:style w:type="character" w:customStyle="1" w:styleId="CommentTextChar">
    <w:name w:val="Comment Text Char"/>
    <w:basedOn w:val="DefaultParagraphFont"/>
    <w:link w:val="CommentText"/>
    <w:uiPriority w:val="99"/>
    <w:rsid w:val="00E2197A"/>
    <w:rPr>
      <w:sz w:val="20"/>
      <w:szCs w:val="20"/>
    </w:rPr>
  </w:style>
  <w:style w:type="character" w:styleId="CommentReference">
    <w:name w:val="annotation reference"/>
    <w:basedOn w:val="DefaultParagraphFont"/>
    <w:uiPriority w:val="99"/>
    <w:semiHidden/>
    <w:unhideWhenUsed/>
    <w:rsid w:val="00E2197A"/>
    <w:rPr>
      <w:sz w:val="16"/>
      <w:szCs w:val="16"/>
    </w:rPr>
  </w:style>
  <w:style w:type="paragraph" w:styleId="CommentSubject">
    <w:name w:val="annotation subject"/>
    <w:basedOn w:val="CommentText"/>
    <w:next w:val="CommentText"/>
    <w:link w:val="CommentSubjectChar"/>
    <w:uiPriority w:val="99"/>
    <w:semiHidden/>
    <w:unhideWhenUsed/>
    <w:rsid w:val="000F2D22"/>
    <w:rPr>
      <w:b/>
      <w:bCs/>
    </w:rPr>
  </w:style>
  <w:style w:type="character" w:customStyle="1" w:styleId="CommentSubjectChar">
    <w:name w:val="Comment Subject Char"/>
    <w:basedOn w:val="CommentTextChar"/>
    <w:link w:val="CommentSubject"/>
    <w:uiPriority w:val="99"/>
    <w:semiHidden/>
    <w:rsid w:val="000F2D22"/>
    <w:rPr>
      <w:b/>
      <w:bCs/>
      <w:sz w:val="20"/>
      <w:szCs w:val="20"/>
    </w:rPr>
  </w:style>
  <w:style w:type="paragraph" w:styleId="BalloonText">
    <w:name w:val="Balloon Text"/>
    <w:basedOn w:val="Normal"/>
    <w:link w:val="BalloonTextChar"/>
    <w:uiPriority w:val="99"/>
    <w:semiHidden/>
    <w:unhideWhenUsed/>
    <w:rsid w:val="000A3B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B35"/>
    <w:rPr>
      <w:rFonts w:ascii="Segoe UI" w:hAnsi="Segoe UI" w:cs="Segoe UI"/>
      <w:sz w:val="18"/>
      <w:szCs w:val="18"/>
    </w:rPr>
  </w:style>
  <w:style w:type="paragraph" w:customStyle="1" w:styleId="Default">
    <w:name w:val="Default"/>
    <w:rsid w:val="00B86EDA"/>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C5363ACD118A4F886C3384D8CBAC6E" ma:contentTypeVersion="17" ma:contentTypeDescription="Create a new document." ma:contentTypeScope="" ma:versionID="be4eddc0e7f30cad6ce701d4ec6993b3">
  <xsd:schema xmlns:xsd="http://www.w3.org/2001/XMLSchema" xmlns:xs="http://www.w3.org/2001/XMLSchema" xmlns:p="http://schemas.microsoft.com/office/2006/metadata/properties" xmlns:ns2="ebc2e65f-0375-4c2f-b3df-6418e6e5dda2" xmlns:ns3="aed7ed32-7609-4b58-8933-9228009b96ce" targetNamespace="http://schemas.microsoft.com/office/2006/metadata/properties" ma:root="true" ma:fieldsID="b92cdd26b10aef6edf6796d90110ae02" ns2:_="" ns3:_="">
    <xsd:import namespace="ebc2e65f-0375-4c2f-b3df-6418e6e5dda2"/>
    <xsd:import namespace="aed7ed32-7609-4b58-8933-9228009b96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o848dbc78eb3408193ae27679b72462c" minOccurs="0"/>
                <xsd:element ref="ns3:TaxCatchAll"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c2e65f-0375-4c2f-b3df-6418e6e5d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o848dbc78eb3408193ae27679b72462c" ma:index="13" nillable="true" ma:taxonomy="true" ma:internalName="o848dbc78eb3408193ae27679b72462c" ma:taxonomyFieldName="Tags" ma:displayName="Tags" ma:default="" ma:fieldId="{8848dbc7-8eb3-4081-93ae-27679b72462c}" ma:sspId="4184cd6d-e783-4abe-91db-90d319205eee" ma:termSetId="e4574193-9eaa-4579-8244-4b7ee6ed413a" ma:anchorId="00000000-0000-0000-0000-000000000000" ma:open="false" ma:isKeyword="false">
      <xsd:complexType>
        <xsd:sequence>
          <xsd:element ref="pc:Terms" minOccurs="0" maxOccurs="1"/>
        </xsd:sequence>
      </xsd:complex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184cd6d-e783-4abe-91db-90d319205ee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7ed32-7609-4b58-8933-9228009b96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ec3664-6ce9-4795-beef-95b5fc4f275a}" ma:internalName="TaxCatchAll" ma:showField="CatchAllData" ma:web="aed7ed32-7609-4b58-8933-9228009b96ce">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c2e65f-0375-4c2f-b3df-6418e6e5dda2">
      <Terms xmlns="http://schemas.microsoft.com/office/infopath/2007/PartnerControls"/>
    </lcf76f155ced4ddcb4097134ff3c332f>
    <TaxCatchAll xmlns="aed7ed32-7609-4b58-8933-9228009b96ce" xsi:nil="true"/>
    <o848dbc78eb3408193ae27679b72462c xmlns="ebc2e65f-0375-4c2f-b3df-6418e6e5dda2">
      <Terms xmlns="http://schemas.microsoft.com/office/infopath/2007/PartnerControls"/>
    </o848dbc78eb3408193ae27679b72462c>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395CAE-D5A3-40A0-B15D-BBD31B177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c2e65f-0375-4c2f-b3df-6418e6e5dda2"/>
    <ds:schemaRef ds:uri="aed7ed32-7609-4b58-8933-9228009b96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E38DEE-9690-479F-A82F-34F520348AD7}">
  <ds:schemaRefs>
    <ds:schemaRef ds:uri="http://schemas.openxmlformats.org/officeDocument/2006/bibliography"/>
  </ds:schemaRefs>
</ds:datastoreItem>
</file>

<file path=customXml/itemProps3.xml><?xml version="1.0" encoding="utf-8"?>
<ds:datastoreItem xmlns:ds="http://schemas.openxmlformats.org/officeDocument/2006/customXml" ds:itemID="{0C548900-A3FD-4D8E-806E-B847273A4BD2}">
  <ds:schemaRefs>
    <ds:schemaRef ds:uri="http://schemas.microsoft.com/office/2006/metadata/properties"/>
    <ds:schemaRef ds:uri="http://schemas.microsoft.com/office/infopath/2007/PartnerControls"/>
    <ds:schemaRef ds:uri="ebc2e65f-0375-4c2f-b3df-6418e6e5dda2"/>
    <ds:schemaRef ds:uri="aed7ed32-7609-4b58-8933-9228009b96ce"/>
  </ds:schemaRefs>
</ds:datastoreItem>
</file>

<file path=customXml/itemProps4.xml><?xml version="1.0" encoding="utf-8"?>
<ds:datastoreItem xmlns:ds="http://schemas.openxmlformats.org/officeDocument/2006/customXml" ds:itemID="{87CC26FB-B5E8-4666-94DC-6651FFF30779}">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